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6F91D5" w14:textId="77777777" w:rsidR="008801FB" w:rsidRDefault="00E477B6">
      <w:bookmarkStart w:id="0" w:name="_GoBack"/>
      <w:bookmarkEnd w:id="0"/>
      <w:r>
        <w:rPr>
          <w:rFonts w:ascii="Arial" w:eastAsia="Arial" w:hAnsi="Arial" w:cs="Arial"/>
          <w:noProof/>
          <w:sz w:val="28"/>
          <w:szCs w:val="28"/>
          <w:lang w:val="fi-FI"/>
        </w:rPr>
        <w:drawing>
          <wp:inline distT="0" distB="0" distL="0" distR="0" wp14:anchorId="5DF1BF48" wp14:editId="1E4409FF">
            <wp:extent cx="965200" cy="1371600"/>
            <wp:effectExtent l="0" t="0" r="0" b="0"/>
            <wp:docPr id="1" name="image2.png" descr="Kuvaus: logomustanega"/>
            <wp:cNvGraphicFramePr/>
            <a:graphic xmlns:a="http://schemas.openxmlformats.org/drawingml/2006/main">
              <a:graphicData uri="http://schemas.openxmlformats.org/drawingml/2006/picture">
                <pic:pic xmlns:pic="http://schemas.openxmlformats.org/drawingml/2006/picture">
                  <pic:nvPicPr>
                    <pic:cNvPr id="0" name="image2.png" descr="Kuvaus: logomustanega"/>
                    <pic:cNvPicPr preferRelativeResize="0"/>
                  </pic:nvPicPr>
                  <pic:blipFill>
                    <a:blip r:embed="rId7"/>
                    <a:srcRect/>
                    <a:stretch>
                      <a:fillRect/>
                    </a:stretch>
                  </pic:blipFill>
                  <pic:spPr>
                    <a:xfrm>
                      <a:off x="0" y="0"/>
                      <a:ext cx="965200" cy="1371600"/>
                    </a:xfrm>
                    <a:prstGeom prst="rect">
                      <a:avLst/>
                    </a:prstGeom>
                    <a:ln/>
                  </pic:spPr>
                </pic:pic>
              </a:graphicData>
            </a:graphic>
          </wp:inline>
        </w:drawing>
      </w:r>
    </w:p>
    <w:p w14:paraId="543A9BF4" w14:textId="77777777" w:rsidR="008801FB" w:rsidRDefault="008801FB"/>
    <w:p w14:paraId="677DB7FB" w14:textId="77777777" w:rsidR="008801FB" w:rsidRPr="009A44AA" w:rsidRDefault="00E477B6">
      <w:pPr>
        <w:pStyle w:val="Otsikko1"/>
        <w:keepNext w:val="0"/>
        <w:keepLines w:val="0"/>
        <w:spacing w:line="288" w:lineRule="auto"/>
        <w:rPr>
          <w:rFonts w:ascii="Times New Roman" w:eastAsia="Times New Roman" w:hAnsi="Times New Roman" w:cs="Times New Roman"/>
          <w:sz w:val="22"/>
          <w:szCs w:val="22"/>
          <w:lang w:val="fi-FI"/>
        </w:rPr>
      </w:pPr>
      <w:bookmarkStart w:id="1" w:name="_rzxotx2nhuwn" w:colFirst="0" w:colLast="0"/>
      <w:bookmarkEnd w:id="1"/>
      <w:r w:rsidRPr="009A44AA">
        <w:rPr>
          <w:rFonts w:ascii="Times New Roman" w:eastAsia="Times New Roman" w:hAnsi="Times New Roman" w:cs="Times New Roman"/>
          <w:sz w:val="22"/>
          <w:szCs w:val="22"/>
          <w:lang w:val="fi-FI"/>
        </w:rPr>
        <w:t>Opetus- ja kulttuuriministeriö</w:t>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b/>
          <w:sz w:val="22"/>
          <w:szCs w:val="22"/>
          <w:lang w:val="fi-FI"/>
        </w:rPr>
        <w:tab/>
      </w:r>
      <w:r w:rsidRPr="009A44AA">
        <w:rPr>
          <w:rFonts w:ascii="Times New Roman" w:eastAsia="Times New Roman" w:hAnsi="Times New Roman" w:cs="Times New Roman"/>
          <w:sz w:val="22"/>
          <w:szCs w:val="22"/>
          <w:lang w:val="fi-FI"/>
        </w:rPr>
        <w:t>10.8.2017</w:t>
      </w:r>
    </w:p>
    <w:p w14:paraId="5D07F7F1" w14:textId="77777777" w:rsidR="008801FB" w:rsidRPr="009A44AA" w:rsidRDefault="00E477B6">
      <w:pPr>
        <w:spacing w:line="288" w:lineRule="auto"/>
        <w:rPr>
          <w:sz w:val="22"/>
          <w:szCs w:val="22"/>
          <w:lang w:val="fi-FI"/>
        </w:rPr>
      </w:pPr>
      <w:r w:rsidRPr="009A44AA">
        <w:rPr>
          <w:sz w:val="22"/>
          <w:szCs w:val="22"/>
          <w:lang w:val="fi-FI"/>
        </w:rPr>
        <w:t>PL 29</w:t>
      </w:r>
    </w:p>
    <w:p w14:paraId="15BFB7A3" w14:textId="77777777" w:rsidR="008801FB" w:rsidRPr="009A44AA" w:rsidRDefault="00E477B6">
      <w:pPr>
        <w:rPr>
          <w:sz w:val="22"/>
          <w:szCs w:val="22"/>
          <w:lang w:val="fi-FI"/>
        </w:rPr>
      </w:pPr>
      <w:r w:rsidRPr="009A44AA">
        <w:rPr>
          <w:sz w:val="22"/>
          <w:szCs w:val="22"/>
          <w:lang w:val="fi-FI"/>
        </w:rPr>
        <w:t>00023 Valtioneuvosto</w:t>
      </w:r>
    </w:p>
    <w:p w14:paraId="76F4AEF2" w14:textId="77777777" w:rsidR="008801FB" w:rsidRPr="009A44AA" w:rsidRDefault="008801FB">
      <w:pPr>
        <w:rPr>
          <w:sz w:val="22"/>
          <w:szCs w:val="22"/>
          <w:lang w:val="fi-FI"/>
        </w:rPr>
      </w:pPr>
    </w:p>
    <w:p w14:paraId="23E865BD" w14:textId="77777777" w:rsidR="008801FB" w:rsidRPr="009A44AA" w:rsidRDefault="00E477B6">
      <w:pPr>
        <w:rPr>
          <w:sz w:val="22"/>
          <w:szCs w:val="22"/>
          <w:lang w:val="fi-FI"/>
        </w:rPr>
      </w:pPr>
      <w:r w:rsidRPr="009A44AA">
        <w:rPr>
          <w:lang w:val="fi-FI"/>
        </w:rPr>
        <w:t>Asia:</w:t>
      </w:r>
      <w:r w:rsidRPr="009A44AA">
        <w:rPr>
          <w:lang w:val="fi-FI"/>
        </w:rPr>
        <w:tab/>
      </w:r>
      <w:r w:rsidRPr="009A44AA">
        <w:rPr>
          <w:lang w:val="fi-FI"/>
        </w:rPr>
        <w:tab/>
      </w:r>
      <w:r w:rsidRPr="009A44AA">
        <w:rPr>
          <w:sz w:val="22"/>
          <w:szCs w:val="22"/>
          <w:lang w:val="fi-FI"/>
        </w:rPr>
        <w:t xml:space="preserve">Opetus- ja kulttuuriministeriön asetus opiskelijaksi ottamisen perusteista ammatillisessa </w:t>
      </w:r>
    </w:p>
    <w:p w14:paraId="2593C5D3" w14:textId="77777777" w:rsidR="008801FB" w:rsidRPr="009A44AA" w:rsidRDefault="00E477B6">
      <w:pPr>
        <w:rPr>
          <w:lang w:val="fi-FI"/>
        </w:rPr>
      </w:pPr>
      <w:r w:rsidRPr="009A44AA">
        <w:rPr>
          <w:sz w:val="22"/>
          <w:szCs w:val="22"/>
          <w:lang w:val="fi-FI"/>
        </w:rPr>
        <w:tab/>
      </w:r>
      <w:r w:rsidRPr="009A44AA">
        <w:rPr>
          <w:sz w:val="22"/>
          <w:szCs w:val="22"/>
          <w:lang w:val="fi-FI"/>
        </w:rPr>
        <w:tab/>
        <w:t>perustutkintokoulutuksessa</w:t>
      </w:r>
    </w:p>
    <w:p w14:paraId="3118F20A" w14:textId="77777777" w:rsidR="008801FB" w:rsidRPr="009A44AA" w:rsidRDefault="008801FB">
      <w:pPr>
        <w:rPr>
          <w:lang w:val="fi-FI"/>
        </w:rPr>
      </w:pPr>
    </w:p>
    <w:p w14:paraId="250A40ED" w14:textId="77777777" w:rsidR="008801FB" w:rsidRPr="009A44AA" w:rsidRDefault="00E477B6">
      <w:pPr>
        <w:rPr>
          <w:lang w:val="fi-FI"/>
        </w:rPr>
      </w:pPr>
      <w:r w:rsidRPr="009A44AA">
        <w:rPr>
          <w:lang w:val="fi-FI"/>
        </w:rPr>
        <w:t>Viite:</w:t>
      </w:r>
      <w:r w:rsidRPr="009A44AA">
        <w:rPr>
          <w:lang w:val="fi-FI"/>
        </w:rPr>
        <w:tab/>
      </w:r>
      <w:r w:rsidRPr="009A44AA">
        <w:rPr>
          <w:lang w:val="fi-FI"/>
        </w:rPr>
        <w:tab/>
      </w:r>
      <w:r w:rsidRPr="009A44AA">
        <w:rPr>
          <w:sz w:val="22"/>
          <w:szCs w:val="22"/>
          <w:lang w:val="fi-FI"/>
        </w:rPr>
        <w:t>Lausuntopyyntö ammatillisen koulutuksen reformin asetuksista, OKM/28/010/2017</w:t>
      </w:r>
      <w:r w:rsidRPr="009A44AA">
        <w:rPr>
          <w:lang w:val="fi-FI"/>
        </w:rPr>
        <w:tab/>
      </w:r>
    </w:p>
    <w:p w14:paraId="15698F07" w14:textId="77777777" w:rsidR="008801FB" w:rsidRPr="009A44AA" w:rsidRDefault="008801FB">
      <w:pPr>
        <w:rPr>
          <w:rFonts w:ascii="Arial" w:eastAsia="Arial" w:hAnsi="Arial" w:cs="Arial"/>
          <w:sz w:val="22"/>
          <w:szCs w:val="22"/>
          <w:lang w:val="fi-FI"/>
        </w:rPr>
      </w:pPr>
    </w:p>
    <w:p w14:paraId="0DA0CB99" w14:textId="77777777" w:rsidR="008801FB" w:rsidRPr="009A44AA" w:rsidRDefault="008801FB">
      <w:pPr>
        <w:rPr>
          <w:rFonts w:ascii="Arial" w:eastAsia="Arial" w:hAnsi="Arial" w:cs="Arial"/>
          <w:sz w:val="22"/>
          <w:szCs w:val="22"/>
          <w:lang w:val="fi-FI"/>
        </w:rPr>
      </w:pPr>
    </w:p>
    <w:p w14:paraId="6CAF6E11" w14:textId="77777777" w:rsidR="008801FB" w:rsidRPr="009A44AA" w:rsidRDefault="00E477B6">
      <w:pPr>
        <w:rPr>
          <w:b/>
          <w:sz w:val="22"/>
          <w:szCs w:val="22"/>
          <w:lang w:val="fi-FI"/>
        </w:rPr>
      </w:pPr>
      <w:r w:rsidRPr="009A44AA">
        <w:rPr>
          <w:b/>
          <w:sz w:val="22"/>
          <w:szCs w:val="22"/>
          <w:lang w:val="fi-FI"/>
        </w:rPr>
        <w:t>Suomen konservatorioliitto – Finlands konservatorieförbund r.y. haluaa lausuntonaan tuoda julki seuraavaa:</w:t>
      </w:r>
    </w:p>
    <w:p w14:paraId="211E78F0" w14:textId="77777777" w:rsidR="008801FB" w:rsidRPr="009A44AA" w:rsidRDefault="008801FB">
      <w:pPr>
        <w:rPr>
          <w:b/>
          <w:sz w:val="24"/>
          <w:szCs w:val="24"/>
          <w:lang w:val="fi-FI"/>
        </w:rPr>
      </w:pPr>
    </w:p>
    <w:p w14:paraId="29126548" w14:textId="77777777" w:rsidR="008801FB" w:rsidRPr="009A44AA" w:rsidRDefault="00E477B6">
      <w:pPr>
        <w:jc w:val="both"/>
        <w:rPr>
          <w:lang w:val="fi-FI"/>
        </w:rPr>
      </w:pPr>
      <w:r w:rsidRPr="009A44AA">
        <w:rPr>
          <w:lang w:val="fi-FI"/>
        </w:rPr>
        <w:t>Konservatorioliitto haluaa kiittää asetuksen valmistelijoita erinomaisesta työstä. Asetus on selkeä, ja siinä on huomioitu eri koulutus- ja opintoalojen erityispiirteitä. On erittäin hyvä, että asetusluonnokseen on kirjattu, että musiikki- ja tanssialan koulutuksen järjestäjät voivat ottaa opiskelijat koulutukseen järjestäjän oman pääsy- tai soveltuvuuskokeen perusteella.</w:t>
      </w:r>
    </w:p>
    <w:p w14:paraId="41C449AE" w14:textId="77777777" w:rsidR="008801FB" w:rsidRPr="009A44AA" w:rsidRDefault="008801FB">
      <w:pPr>
        <w:jc w:val="both"/>
        <w:rPr>
          <w:lang w:val="fi-FI"/>
        </w:rPr>
      </w:pPr>
    </w:p>
    <w:p w14:paraId="224B7FD7" w14:textId="77777777" w:rsidR="008801FB" w:rsidRPr="009A44AA" w:rsidRDefault="00E477B6">
      <w:pPr>
        <w:jc w:val="both"/>
        <w:rPr>
          <w:lang w:val="fi-FI"/>
        </w:rPr>
      </w:pPr>
      <w:r w:rsidRPr="009A44AA">
        <w:rPr>
          <w:lang w:val="fi-FI"/>
        </w:rPr>
        <w:t>Konservatorioliitto on kuitenkin huolissaan siitä, ettei asetusluonnoksen 2§:ssä ole voimassa olevan asetuksen 3§:ssä mainittuja poikkeuksia: tietyillä erityisaloilla hakukohde voi olla osaamisala tai koulutuksen järjestäjän päättämä muu hakukohde.</w:t>
      </w:r>
    </w:p>
    <w:p w14:paraId="45741699" w14:textId="77777777" w:rsidR="008801FB" w:rsidRPr="009A44AA" w:rsidRDefault="008801FB">
      <w:pPr>
        <w:jc w:val="both"/>
        <w:rPr>
          <w:lang w:val="fi-FI"/>
        </w:rPr>
      </w:pPr>
    </w:p>
    <w:p w14:paraId="1193CDF7" w14:textId="77777777" w:rsidR="008801FB" w:rsidRPr="009A44AA" w:rsidRDefault="00E477B6">
      <w:pPr>
        <w:jc w:val="both"/>
        <w:rPr>
          <w:lang w:val="fi-FI"/>
        </w:rPr>
      </w:pPr>
      <w:r w:rsidRPr="009A44AA">
        <w:rPr>
          <w:lang w:val="fi-FI"/>
        </w:rPr>
        <w:t xml:space="preserve">Musiikin osaamisalalla opintonsa aloittavilla on takanaan vuosien opinnot ja he ovat jo lähtökohtaisesti erikoistuneita johonkin musiikin lajiin ja instrumenttiin. Musiikkiteknologeilla ja pianonvirittäjillä on omat spesifit vaatimuksensa, joten samassa hakukohteessa ei voida arvioida eri osaamisalojen hakijoita. Myöskään opintojen aikainen siirtyminen osaamisalalta toiselle tai instrumentista toiseen ei useinkaan ole mahdollista. </w:t>
      </w:r>
    </w:p>
    <w:p w14:paraId="6E514329" w14:textId="77777777" w:rsidR="008801FB" w:rsidRPr="009A44AA" w:rsidRDefault="008801FB">
      <w:pPr>
        <w:jc w:val="both"/>
        <w:rPr>
          <w:lang w:val="fi-FI"/>
        </w:rPr>
      </w:pPr>
    </w:p>
    <w:p w14:paraId="3E8A7235" w14:textId="77777777" w:rsidR="008801FB" w:rsidRPr="009A44AA" w:rsidRDefault="00E477B6">
      <w:pPr>
        <w:jc w:val="both"/>
        <w:rPr>
          <w:lang w:val="fi-FI"/>
        </w:rPr>
      </w:pPr>
      <w:r w:rsidRPr="009A44AA">
        <w:rPr>
          <w:lang w:val="fi-FI"/>
        </w:rPr>
        <w:t>Koulutuksen tarkoituksenmukainen ja työelämälähtöinen järjestäminen edellyttää, että opiskelijat voidaan jatkossakin valita koulutuksen järjestäjän päättämien hakukohteiden (osaamisala, musiikin laji, instrumentti) perusteella. Tämän myötä varmistetaan, että eri instrumenttien taitajia ja muita musiikkialan osaajia valmistuu työelämän näkökulmasta oikea määrä.</w:t>
      </w:r>
    </w:p>
    <w:p w14:paraId="604C2DE6" w14:textId="77777777" w:rsidR="008801FB" w:rsidRPr="009A44AA" w:rsidRDefault="008801FB">
      <w:pPr>
        <w:jc w:val="both"/>
        <w:rPr>
          <w:lang w:val="fi-FI"/>
        </w:rPr>
      </w:pPr>
    </w:p>
    <w:p w14:paraId="6589B7CE" w14:textId="77777777" w:rsidR="008801FB" w:rsidRPr="009A44AA" w:rsidRDefault="00E477B6">
      <w:pPr>
        <w:jc w:val="both"/>
        <w:rPr>
          <w:lang w:val="fi-FI"/>
        </w:rPr>
      </w:pPr>
      <w:r w:rsidRPr="009A44AA">
        <w:rPr>
          <w:lang w:val="fi-FI"/>
        </w:rPr>
        <w:t>Konservatorioliiton tulkinnan mukaan asetusluonnoksen 11 § antaa koulutuksen järjestäjälle jatkossakin oikeuden ottaa opiskelijat koulutuksen järjestäjän päättämiin, valintakoevaiheessa eriteltyihin hakukohteisiin. Mikäli tulkinta on väärä, Konservatorioliitto toivoo voimassa olevan asetuksen 3§:n poikkeusten lisäämistä asetuksen 2 §:än.</w:t>
      </w:r>
    </w:p>
    <w:p w14:paraId="6F5D3F36" w14:textId="77777777" w:rsidR="008801FB" w:rsidRPr="009A44AA" w:rsidRDefault="008801FB">
      <w:pPr>
        <w:rPr>
          <w:lang w:val="fi-FI"/>
        </w:rPr>
      </w:pPr>
    </w:p>
    <w:p w14:paraId="674EF19A" w14:textId="77777777" w:rsidR="008801FB" w:rsidRPr="009A44AA" w:rsidRDefault="00E477B6">
      <w:pPr>
        <w:rPr>
          <w:lang w:val="fi-FI"/>
        </w:rPr>
      </w:pPr>
      <w:r w:rsidRPr="009A44AA">
        <w:rPr>
          <w:lang w:val="fi-FI"/>
        </w:rPr>
        <w:t>Helsingissä 10.8.2017</w:t>
      </w:r>
    </w:p>
    <w:p w14:paraId="5A978BDE" w14:textId="77777777" w:rsidR="008801FB" w:rsidRPr="009A44AA" w:rsidRDefault="008801FB">
      <w:pPr>
        <w:rPr>
          <w:lang w:val="fi-FI"/>
        </w:rPr>
      </w:pPr>
    </w:p>
    <w:p w14:paraId="02DDA536" w14:textId="77777777" w:rsidR="008801FB" w:rsidRPr="009A44AA" w:rsidRDefault="00E477B6">
      <w:pPr>
        <w:rPr>
          <w:lang w:val="fi-FI"/>
        </w:rPr>
      </w:pPr>
      <w:r w:rsidRPr="009A44AA">
        <w:rPr>
          <w:lang w:val="fi-FI"/>
        </w:rPr>
        <w:t>Suomen konservatorioliitto – Finlands konservatorieförbund r.y:n hallitukselta tehtäväksi saaneena</w:t>
      </w:r>
    </w:p>
    <w:p w14:paraId="0C17A8C4" w14:textId="77777777" w:rsidR="008801FB" w:rsidRPr="009A44AA" w:rsidRDefault="008801FB">
      <w:pPr>
        <w:ind w:left="1304"/>
        <w:rPr>
          <w:lang w:val="fi-FI"/>
        </w:rPr>
      </w:pPr>
    </w:p>
    <w:p w14:paraId="02B217C3" w14:textId="77777777" w:rsidR="008801FB" w:rsidRPr="009A44AA" w:rsidRDefault="008801FB">
      <w:pPr>
        <w:ind w:left="1304"/>
        <w:rPr>
          <w:lang w:val="fi-FI"/>
        </w:rPr>
      </w:pPr>
    </w:p>
    <w:p w14:paraId="054652ED" w14:textId="77777777" w:rsidR="008801FB" w:rsidRPr="009A44AA" w:rsidRDefault="00E477B6">
      <w:pPr>
        <w:rPr>
          <w:lang w:val="fi-FI"/>
        </w:rPr>
      </w:pPr>
      <w:r w:rsidRPr="009A44AA">
        <w:rPr>
          <w:lang w:val="fi-FI"/>
        </w:rPr>
        <w:t>Ranja Purma</w:t>
      </w:r>
    </w:p>
    <w:p w14:paraId="75E7F011" w14:textId="77777777" w:rsidR="008801FB" w:rsidRPr="009A44AA" w:rsidRDefault="00E477B6">
      <w:pPr>
        <w:rPr>
          <w:lang w:val="fi-FI"/>
        </w:rPr>
      </w:pPr>
      <w:r w:rsidRPr="009A44AA">
        <w:rPr>
          <w:lang w:val="fi-FI"/>
        </w:rPr>
        <w:t>toiminnanjohtaja</w:t>
      </w:r>
    </w:p>
    <w:sectPr w:rsidR="008801FB" w:rsidRPr="009A44AA">
      <w:footerReference w:type="default" r:id="rId8"/>
      <w:pgSz w:w="11906" w:h="16838"/>
      <w:pgMar w:top="1417" w:right="1134" w:bottom="1417"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F406" w14:textId="77777777" w:rsidR="00B80239" w:rsidRDefault="00B80239">
      <w:r>
        <w:separator/>
      </w:r>
    </w:p>
  </w:endnote>
  <w:endnote w:type="continuationSeparator" w:id="0">
    <w:p w14:paraId="554F470B" w14:textId="77777777" w:rsidR="00B80239" w:rsidRDefault="00B8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A444" w14:textId="77777777" w:rsidR="008801FB" w:rsidRDefault="008801FB">
    <w:pPr>
      <w:jc w:val="center"/>
      <w:rPr>
        <w:rFonts w:ascii="Arial" w:eastAsia="Arial" w:hAnsi="Arial" w:cs="Arial"/>
      </w:rPr>
    </w:pPr>
  </w:p>
  <w:p w14:paraId="28C69E9E" w14:textId="77777777" w:rsidR="008801FB" w:rsidRDefault="00E477B6">
    <w:pPr>
      <w:jc w:val="center"/>
      <w:rPr>
        <w:rFonts w:ascii="Arial" w:eastAsia="Arial" w:hAnsi="Arial" w:cs="Arial"/>
      </w:rPr>
    </w:pPr>
    <w:r>
      <w:rPr>
        <w:rFonts w:ascii="Arial" w:eastAsia="Arial" w:hAnsi="Arial" w:cs="Arial"/>
      </w:rPr>
      <w:t>Arabiankatu 2, 00560 Helsinki</w:t>
    </w:r>
  </w:p>
  <w:p w14:paraId="66BFEC09" w14:textId="77777777" w:rsidR="008801FB" w:rsidRDefault="00E477B6">
    <w:pPr>
      <w:jc w:val="center"/>
      <w:rPr>
        <w:rFonts w:ascii="Arial" w:eastAsia="Arial" w:hAnsi="Arial" w:cs="Arial"/>
      </w:rPr>
    </w:pPr>
    <w:r>
      <w:rPr>
        <w:rFonts w:ascii="Arial" w:eastAsia="Arial" w:hAnsi="Arial" w:cs="Arial"/>
      </w:rPr>
      <w:t>p. 050-329 6009</w:t>
    </w:r>
  </w:p>
  <w:p w14:paraId="6BCF10E6" w14:textId="77777777" w:rsidR="008801FB" w:rsidRDefault="00B80239">
    <w:pPr>
      <w:jc w:val="center"/>
      <w:rPr>
        <w:rFonts w:ascii="Arial" w:eastAsia="Arial" w:hAnsi="Arial" w:cs="Arial"/>
        <w:sz w:val="24"/>
        <w:szCs w:val="24"/>
      </w:rPr>
    </w:pPr>
    <w:hyperlink r:id="rId1">
      <w:r w:rsidR="00E477B6">
        <w:rPr>
          <w:rFonts w:ascii="Arial" w:eastAsia="Arial" w:hAnsi="Arial" w:cs="Arial"/>
          <w:color w:val="0000FF"/>
          <w:u w:val="single"/>
        </w:rPr>
        <w:t>ranja.purma@konservatorioliitto.fi</w:t>
      </w:r>
    </w:hyperlink>
    <w:r w:rsidR="00E477B6">
      <w:rPr>
        <w:rFonts w:ascii="Arial" w:eastAsia="Arial" w:hAnsi="Arial" w:cs="Arial"/>
      </w:rPr>
      <w:t>, www.konservatorioliitto.fi</w:t>
    </w:r>
  </w:p>
  <w:p w14:paraId="01C83C86" w14:textId="77777777" w:rsidR="008801FB" w:rsidRDefault="008801FB">
    <w:pPr>
      <w:tabs>
        <w:tab w:val="center" w:pos="4819"/>
        <w:tab w:val="right" w:pos="9638"/>
      </w:tabs>
      <w:spacing w:after="7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7D25" w14:textId="77777777" w:rsidR="00B80239" w:rsidRDefault="00B80239">
      <w:r>
        <w:separator/>
      </w:r>
    </w:p>
  </w:footnote>
  <w:footnote w:type="continuationSeparator" w:id="0">
    <w:p w14:paraId="4DE5D88C" w14:textId="77777777" w:rsidR="00B80239" w:rsidRDefault="00B80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01FB"/>
    <w:rsid w:val="00593EA9"/>
    <w:rsid w:val="008801FB"/>
    <w:rsid w:val="009A44AA"/>
    <w:rsid w:val="00B80239"/>
    <w:rsid w:val="00E477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 w:eastAsia="fi-F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outlineLvl w:val="0"/>
    </w:pPr>
    <w:rPr>
      <w:rFonts w:ascii="Arial" w:eastAsia="Arial" w:hAnsi="Arial" w:cs="Arial"/>
      <w:sz w:val="24"/>
      <w:szCs w:val="24"/>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Seliteteksti">
    <w:name w:val="Balloon Text"/>
    <w:basedOn w:val="Normaali"/>
    <w:link w:val="SelitetekstiChar"/>
    <w:uiPriority w:val="99"/>
    <w:semiHidden/>
    <w:unhideWhenUsed/>
    <w:rsid w:val="00593EA9"/>
    <w:rPr>
      <w:rFonts w:ascii="Tahoma" w:hAnsi="Tahoma" w:cs="Tahoma"/>
      <w:sz w:val="16"/>
      <w:szCs w:val="16"/>
    </w:rPr>
  </w:style>
  <w:style w:type="character" w:customStyle="1" w:styleId="SelitetekstiChar">
    <w:name w:val="Seliteteksti Char"/>
    <w:basedOn w:val="Kappaleenoletusfontti"/>
    <w:link w:val="Seliteteksti"/>
    <w:uiPriority w:val="99"/>
    <w:semiHidden/>
    <w:rsid w:val="00593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 w:eastAsia="fi-FI"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outlineLvl w:val="0"/>
    </w:pPr>
    <w:rPr>
      <w:rFonts w:ascii="Arial" w:eastAsia="Arial" w:hAnsi="Arial" w:cs="Arial"/>
      <w:sz w:val="24"/>
      <w:szCs w:val="24"/>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Seliteteksti">
    <w:name w:val="Balloon Text"/>
    <w:basedOn w:val="Normaali"/>
    <w:link w:val="SelitetekstiChar"/>
    <w:uiPriority w:val="99"/>
    <w:semiHidden/>
    <w:unhideWhenUsed/>
    <w:rsid w:val="00593EA9"/>
    <w:rPr>
      <w:rFonts w:ascii="Tahoma" w:hAnsi="Tahoma" w:cs="Tahoma"/>
      <w:sz w:val="16"/>
      <w:szCs w:val="16"/>
    </w:rPr>
  </w:style>
  <w:style w:type="character" w:customStyle="1" w:styleId="SelitetekstiChar">
    <w:name w:val="Seliteteksti Char"/>
    <w:basedOn w:val="Kappaleenoletusfontti"/>
    <w:link w:val="Seliteteksti"/>
    <w:uiPriority w:val="99"/>
    <w:semiHidden/>
    <w:rsid w:val="00593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anja.purma@konservatorio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2070</Characters>
  <Application>Microsoft Office Word</Application>
  <DocSecurity>0</DocSecurity>
  <Lines>17</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Turunen Henna-Maria</dc:creator>
  <cp:lastModifiedBy>Turunen Henna-Maria</cp:lastModifiedBy>
  <cp:revision>2</cp:revision>
  <dcterms:created xsi:type="dcterms:W3CDTF">2017-08-22T07:46:00Z</dcterms:created>
  <dcterms:modified xsi:type="dcterms:W3CDTF">2017-08-22T07:46:00Z</dcterms:modified>
</cp:coreProperties>
</file>