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4574C6">
      <w:pPr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>Amnesty International Suomen osasto</w:t>
      </w:r>
    </w:p>
    <w:p w:rsidR="00A77B3E" w:rsidRDefault="004574C6">
      <w:pPr>
        <w:rPr>
          <w:rFonts w:ascii="Calibri" w:eastAsia="Calibri" w:hAnsi="Calibri" w:cs="Calibri"/>
          <w:color w:val="000000"/>
        </w:rPr>
      </w:pPr>
    </w:p>
    <w:p w:rsidR="00A77B3E" w:rsidRDefault="004574C6">
      <w:pPr>
        <w:spacing w:after="200"/>
        <w:ind w:firstLine="5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Lausunto</w:t>
      </w:r>
    </w:p>
    <w:p w:rsidR="00A77B3E" w:rsidRDefault="004574C6">
      <w:pPr>
        <w:spacing w:after="200"/>
        <w:ind w:firstLine="5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21.09.2021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AI FI 39/2021</w:t>
      </w:r>
    </w:p>
    <w:p w:rsidR="00A77B3E" w:rsidRDefault="004574C6">
      <w:pPr>
        <w:rPr>
          <w:rFonts w:ascii="Calibri" w:eastAsia="Calibri" w:hAnsi="Calibri" w:cs="Calibri"/>
          <w:color w:val="000000"/>
        </w:rPr>
      </w:pPr>
    </w:p>
    <w:p w:rsidR="00A77B3E" w:rsidRDefault="004574C6">
      <w:pPr>
        <w:rPr>
          <w:rFonts w:ascii="Calibri" w:eastAsia="Calibri" w:hAnsi="Calibri" w:cs="Calibri"/>
          <w:color w:val="000000"/>
        </w:rPr>
      </w:pPr>
    </w:p>
    <w:p w:rsidR="00A77B3E" w:rsidRDefault="004574C6">
      <w:pPr>
        <w:rPr>
          <w:rFonts w:ascii="Calibri" w:eastAsia="Calibri" w:hAnsi="Calibri" w:cs="Calibri"/>
          <w:color w:val="000000"/>
        </w:rPr>
      </w:pPr>
    </w:p>
    <w:p w:rsidR="00A77B3E" w:rsidRDefault="004574C6">
      <w:pPr>
        <w:rPr>
          <w:rFonts w:ascii="Calibri" w:eastAsia="Calibri" w:hAnsi="Calibri" w:cs="Calibri"/>
          <w:color w:val="000000"/>
        </w:rPr>
      </w:pPr>
    </w:p>
    <w:p w:rsidR="00A77B3E" w:rsidRDefault="004574C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Asia:  VN/898/2021-PLM-3</w:t>
      </w:r>
    </w:p>
    <w:p w:rsidR="00A77B3E" w:rsidRDefault="004574C6">
      <w:pPr>
        <w:rPr>
          <w:rFonts w:ascii="Calibri" w:eastAsia="Calibri" w:hAnsi="Calibri" w:cs="Calibri"/>
          <w:color w:val="000000"/>
        </w:rPr>
      </w:pPr>
    </w:p>
    <w:p w:rsidR="00A77B3E" w:rsidRDefault="004574C6">
      <w:pPr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Puolustusministeriön lausuntopyyntö; Asevelvollisuuslain 118 §:n ja siviilipalveluslain 79 §:n muuttaminen</w:t>
      </w:r>
    </w:p>
    <w:p w:rsidR="00A77B3E" w:rsidRDefault="004574C6">
      <w:pPr>
        <w:rPr>
          <w:rFonts w:ascii="Calibri" w:eastAsia="Calibri" w:hAnsi="Calibri" w:cs="Calibri"/>
          <w:b/>
          <w:color w:val="000000"/>
          <w:sz w:val="32"/>
        </w:rPr>
      </w:pPr>
    </w:p>
    <w:p w:rsidR="00A77B3E" w:rsidRDefault="004574C6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Asevelvollisuuslain 118 §</w:t>
      </w:r>
    </w:p>
    <w:p w:rsidR="00A77B3E" w:rsidRDefault="004574C6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Huomiot koskien </w:t>
      </w:r>
      <w:r>
        <w:rPr>
          <w:rFonts w:ascii="Calibri" w:eastAsia="Calibri" w:hAnsi="Calibri" w:cs="Calibri"/>
          <w:b/>
          <w:color w:val="000000"/>
        </w:rPr>
        <w:t>asevelvollisuuslain 118 §:ää</w:t>
      </w:r>
    </w:p>
    <w:p w:rsidR="00A77B3E" w:rsidRDefault="004574C6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Asevelvollisuuslain 118 § käsittelee asevelvollisuudesta kieltäytymistä. Puolustusministeriö esittää pykälän muuttamista siten, että mikäli henkilön kohdalla on tehty asevelvollisuudesta kieltäytymisen osalta päätös syyttämättä</w:t>
      </w:r>
      <w:r>
        <w:rPr>
          <w:rFonts w:ascii="Calibri" w:eastAsia="Calibri" w:hAnsi="Calibri" w:cs="Calibri"/>
          <w:color w:val="000000"/>
        </w:rPr>
        <w:t xml:space="preserve"> jättämisestä tai syytteen peruuttamisesta sen johdosta, että henkilö on jo kertaalleen tuomittu lainvoimaisesti asevelvollisuudesta kieltäytymisestä, syyte on tuomioistuimessa lainvoimaisesti hylätty tai asevelvollisuudesta kieltäytymisestä tuomittu on su</w:t>
      </w:r>
      <w:r>
        <w:rPr>
          <w:rFonts w:ascii="Calibri" w:eastAsia="Calibri" w:hAnsi="Calibri" w:cs="Calibri"/>
          <w:color w:val="000000"/>
        </w:rPr>
        <w:t>orittanut kokonaan vankeusrangaistuksen taikka vankeusrangaistus on rauennut, häntä ei enää määrättäisi suorittamaan asevelvollisuuttaan rauhan aikana.</w:t>
      </w:r>
    </w:p>
    <w:p w:rsidR="00A77B3E" w:rsidRDefault="004574C6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4574C6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Amnesty kannattaa muutosesitystä seuraavassa kohdassa mainituilla perusteilla. </w:t>
      </w:r>
    </w:p>
    <w:p w:rsidR="00A77B3E" w:rsidRDefault="004574C6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4574C6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Siviilipalveluslain 79</w:t>
      </w:r>
      <w:r>
        <w:rPr>
          <w:rFonts w:ascii="Calibri" w:eastAsia="Calibri" w:hAnsi="Calibri" w:cs="Calibri"/>
          <w:color w:val="000000"/>
          <w:sz w:val="32"/>
        </w:rPr>
        <w:t xml:space="preserve"> §</w:t>
      </w:r>
    </w:p>
    <w:p w:rsidR="00A77B3E" w:rsidRDefault="004574C6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Huomiot koskien siviilipalveluslain 79 §:ää</w:t>
      </w:r>
    </w:p>
    <w:p w:rsidR="00A77B3E" w:rsidRDefault="004574C6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Siviilipalveluslain 79 §:ssä säädetään uudesta palvelusmääräyksestä. Puolustusministeriö esittää pykälän 2 momenttia muutettavaksi siten, että jos siviilipalvelusvelvollinen on kieltäytynyt siviilipalveluksest</w:t>
      </w:r>
      <w:r>
        <w:rPr>
          <w:rFonts w:ascii="Calibri" w:eastAsia="Calibri" w:hAnsi="Calibri" w:cs="Calibri"/>
          <w:color w:val="000000"/>
        </w:rPr>
        <w:t>a ja hänestä on tehty rikosilmoitus 74 §:ssä tarkoitetusta siviilipalveluksesta kieltäytymisestä, siviilipalvelusvelvollista ei enää määrättäisi suorittamaan siviilipalvelusvelvollisuuttaan rauhan aikana, jos rikosilmoitus on johtanut syyttämättäjättämispä</w:t>
      </w:r>
      <w:r>
        <w:rPr>
          <w:rFonts w:ascii="Calibri" w:eastAsia="Calibri" w:hAnsi="Calibri" w:cs="Calibri"/>
          <w:color w:val="000000"/>
        </w:rPr>
        <w:t>ätökseen tai syytteen peruuttamiseen sen johdosta, että henkilö on jo kertaalleen tuomittu lainvoimaisesti siviilipalveluksesta kieltäytymisestä tai jos rikosilmoitus on johtanut syytteen hylkäämiseen lainvoimaisella tuomiolla.</w:t>
      </w:r>
    </w:p>
    <w:p w:rsidR="00A77B3E" w:rsidRDefault="004574C6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4574C6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Ehdotettujen muutosten tavo</w:t>
      </w:r>
      <w:r>
        <w:rPr>
          <w:rFonts w:ascii="Calibri" w:eastAsia="Calibri" w:hAnsi="Calibri" w:cs="Calibri"/>
          <w:color w:val="000000"/>
        </w:rPr>
        <w:t xml:space="preserve">itteena on, ettei jo kertaalleen palveluksesta kieltäytymisestä tuomittuja määrättäisi enää uudelleen palvelukseen. Tämä poistaisi kierteen, jossa siviilipalveluksesta kieltäytyneelle voidaan antaa uusi palvelukseenastumismääräys yhä uudelleen aina siihen </w:t>
      </w:r>
      <w:r>
        <w:rPr>
          <w:rFonts w:ascii="Calibri" w:eastAsia="Calibri" w:hAnsi="Calibri" w:cs="Calibri"/>
          <w:color w:val="000000"/>
        </w:rPr>
        <w:t xml:space="preserve">saakka, että henkilö on täyttänyt 30 vuotta. Samalla poistuisi Suomen kansainvälisiin ihmisoikeusvelvoitteisiin sisältyvän kaksoisrangaistavuuden kiellon (ne bis in idem) vastainen tilanne.  </w:t>
      </w:r>
    </w:p>
    <w:p w:rsidR="00A77B3E" w:rsidRDefault="004574C6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4574C6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Amnesty kannattaa muutosesitystä ja pitää sitä Suomen ihmisoike</w:t>
      </w:r>
      <w:r>
        <w:rPr>
          <w:rFonts w:ascii="Calibri" w:eastAsia="Calibri" w:hAnsi="Calibri" w:cs="Calibri"/>
          <w:color w:val="000000"/>
        </w:rPr>
        <w:t>usvelvoitteiden näkökulmasta tärkeänä ja kiireellisenä.</w:t>
      </w:r>
    </w:p>
    <w:p w:rsidR="00A77B3E" w:rsidRDefault="004574C6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4574C6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Muut mahdolliset kommentit</w:t>
      </w:r>
    </w:p>
    <w:p w:rsidR="00A77B3E" w:rsidRDefault="004574C6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Muut mahdolliset huomiot</w:t>
      </w:r>
    </w:p>
    <w:p w:rsidR="00A77B3E" w:rsidRDefault="004574C6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Amnesty pitää tärkeänä, että lakiesitysten ihmisoikeusvaikutukset arvioidaan ennalta. Vaikka käsillä oleva esitys edistäisi ihmisoikeuksien toteutumista, se ei sisällä viittauksia Suomen kansainvälisiin velvoitteisiin. Esityksiin tulisikin lisätä asianmuka</w:t>
      </w:r>
      <w:r>
        <w:rPr>
          <w:rFonts w:ascii="Calibri" w:eastAsia="Calibri" w:hAnsi="Calibri" w:cs="Calibri"/>
          <w:color w:val="000000"/>
        </w:rPr>
        <w:t>iset viittaukset muun muassa Euroopan ihmisoikeussopimukseen ja YK:n kansalaisoikeuksia ja poliittisia oikeuksia koskevaan sopimukseen. Lisäksi olisi syytä huomioida myös YK:n ihmisoikeuskomitean Suomelle viimeksi maaliskuussa 2021 antamat aseistakieltäyty</w:t>
      </w:r>
      <w:r>
        <w:rPr>
          <w:rFonts w:ascii="Calibri" w:eastAsia="Calibri" w:hAnsi="Calibri" w:cs="Calibri"/>
          <w:color w:val="000000"/>
        </w:rPr>
        <w:t xml:space="preserve">jien asemaa koskevat suositukset. </w:t>
      </w:r>
    </w:p>
    <w:p w:rsidR="00A77B3E" w:rsidRDefault="004574C6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4574C6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4574C6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4574C6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Laajapuro Niina</w:t>
      </w:r>
    </w:p>
    <w:p w:rsidR="00A77B3E" w:rsidRDefault="004574C6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Amnesty International Suomen osasto</w:t>
      </w:r>
    </w:p>
    <w:p w:rsidR="00A77B3E" w:rsidRDefault="004574C6">
      <w:pPr>
        <w:rPr>
          <w:rFonts w:ascii="Calibri" w:eastAsia="Calibri" w:hAnsi="Calibri" w:cs="Calibri"/>
          <w:color w:val="000000"/>
        </w:rPr>
      </w:pPr>
    </w:p>
    <w:sectPr w:rsidR="00A77B3E">
      <w:footerReference w:type="default" r:id="rId6"/>
      <w:pgSz w:w="12240" w:h="15840"/>
      <w:pgMar w:top="800" w:right="800" w:bottom="0" w:left="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C6" w:rsidRDefault="004574C6">
      <w:r>
        <w:separator/>
      </w:r>
    </w:p>
  </w:endnote>
  <w:endnote w:type="continuationSeparator" w:id="0">
    <w:p w:rsidR="004574C6" w:rsidRDefault="0045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033" w:rsidRDefault="001C7033"/>
  <w:tbl>
    <w:tblPr>
      <w:tblW w:w="5000" w:type="pct"/>
      <w:tblLook w:val="04A0" w:firstRow="1" w:lastRow="0" w:firstColumn="1" w:lastColumn="0" w:noHBand="0" w:noVBand="1"/>
    </w:tblPr>
    <w:tblGrid>
      <w:gridCol w:w="3546"/>
      <w:gridCol w:w="3547"/>
      <w:gridCol w:w="3547"/>
    </w:tblGrid>
    <w:tr w:rsidR="001C7033">
      <w:tc>
        <w:tcPr>
          <w:tcW w:w="1650" w:type="pct"/>
        </w:tcPr>
        <w:p w:rsidR="001C7033" w:rsidRDefault="001C7033"/>
      </w:tc>
      <w:tc>
        <w:tcPr>
          <w:tcW w:w="1650" w:type="pct"/>
        </w:tcPr>
        <w:p w:rsidR="001C7033" w:rsidRDefault="004574C6">
          <w:pP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sz w:val="20"/>
            </w:rPr>
            <w:t>Lausuntopalvelu.fi</w:t>
          </w:r>
        </w:p>
      </w:tc>
      <w:tc>
        <w:tcPr>
          <w:tcW w:w="1650" w:type="pct"/>
        </w:tcPr>
        <w:p w:rsidR="001C7033" w:rsidRDefault="004574C6">
          <w:pPr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PAGE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C34EE4">
            <w:rPr>
              <w:rFonts w:ascii="Arial" w:eastAsia="Arial" w:hAnsi="Arial" w:cs="Arial"/>
              <w:noProof/>
              <w:color w:val="000000"/>
            </w:rPr>
            <w:t>1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  <w:r>
            <w:rPr>
              <w:rFonts w:ascii="Arial" w:eastAsia="Arial" w:hAnsi="Arial" w:cs="Arial"/>
              <w:color w:val="000000"/>
            </w:rPr>
            <w:t>/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NUMPAGES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C34EE4">
            <w:rPr>
              <w:rFonts w:ascii="Arial" w:eastAsia="Arial" w:hAnsi="Arial" w:cs="Arial"/>
              <w:noProof/>
              <w:color w:val="000000"/>
            </w:rPr>
            <w:t>2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</w:p>
      </w:tc>
    </w:tr>
  </w:tbl>
  <w:p w:rsidR="001C7033" w:rsidRDefault="001C70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C6" w:rsidRDefault="004574C6">
      <w:r>
        <w:separator/>
      </w:r>
    </w:p>
  </w:footnote>
  <w:footnote w:type="continuationSeparator" w:id="0">
    <w:p w:rsidR="004574C6" w:rsidRDefault="00457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33"/>
    <w:rsid w:val="001C7033"/>
    <w:rsid w:val="004574C6"/>
    <w:rsid w:val="00C3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412249-B9A3-440D-A5C7-94DDB5B7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Lapinlampi Joona (PLM)</dc:creator>
  <cp:lastModifiedBy>Lapinlampi Joona (PLM)</cp:lastModifiedBy>
  <cp:revision>2</cp:revision>
  <dcterms:created xsi:type="dcterms:W3CDTF">2021-09-22T07:03:00Z</dcterms:created>
  <dcterms:modified xsi:type="dcterms:W3CDTF">2021-09-22T07:03:00Z</dcterms:modified>
</cp:coreProperties>
</file>