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B3E" w:rsidRDefault="00BC099A">
      <w:pPr>
        <w:rPr>
          <w:rFonts w:ascii="Calibri" w:eastAsia="Calibri" w:hAnsi="Calibri" w:cs="Calibri"/>
          <w:color w:val="000000"/>
        </w:rPr>
      </w:pPr>
      <w:bookmarkStart w:id="0" w:name="_GoBack"/>
      <w:bookmarkEnd w:id="0"/>
      <w:r>
        <w:rPr>
          <w:rFonts w:ascii="Calibri" w:eastAsia="Calibri" w:hAnsi="Calibri" w:cs="Calibri"/>
          <w:color w:val="000000"/>
        </w:rPr>
        <w:t>Eduskunnan oikeusasiamiehen kanslia</w:t>
      </w:r>
    </w:p>
    <w:p w:rsidR="00A77B3E" w:rsidRDefault="00BC099A">
      <w:pPr>
        <w:rPr>
          <w:rFonts w:ascii="Calibri" w:eastAsia="Calibri" w:hAnsi="Calibri" w:cs="Calibri"/>
          <w:color w:val="000000"/>
        </w:rPr>
      </w:pPr>
    </w:p>
    <w:p w:rsidR="00A77B3E" w:rsidRDefault="00BC099A">
      <w:pPr>
        <w:spacing w:after="200"/>
        <w:ind w:firstLine="500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Lausunto</w:t>
      </w:r>
    </w:p>
    <w:p w:rsidR="00A77B3E" w:rsidRDefault="00BC099A">
      <w:pPr>
        <w:spacing w:after="200"/>
        <w:ind w:firstLine="500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21.09.2021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  <w:t>EOAK/6288/2021</w:t>
      </w:r>
    </w:p>
    <w:p w:rsidR="00A77B3E" w:rsidRDefault="00BC099A">
      <w:pPr>
        <w:rPr>
          <w:rFonts w:ascii="Calibri" w:eastAsia="Calibri" w:hAnsi="Calibri" w:cs="Calibri"/>
          <w:color w:val="000000"/>
        </w:rPr>
      </w:pPr>
    </w:p>
    <w:p w:rsidR="00A77B3E" w:rsidRDefault="00BC099A">
      <w:pPr>
        <w:rPr>
          <w:rFonts w:ascii="Calibri" w:eastAsia="Calibri" w:hAnsi="Calibri" w:cs="Calibri"/>
          <w:color w:val="000000"/>
        </w:rPr>
      </w:pPr>
    </w:p>
    <w:p w:rsidR="00A77B3E" w:rsidRDefault="00BC099A">
      <w:pPr>
        <w:rPr>
          <w:rFonts w:ascii="Calibri" w:eastAsia="Calibri" w:hAnsi="Calibri" w:cs="Calibri"/>
          <w:color w:val="000000"/>
        </w:rPr>
      </w:pPr>
    </w:p>
    <w:p w:rsidR="00A77B3E" w:rsidRDefault="00BC099A">
      <w:pPr>
        <w:rPr>
          <w:rFonts w:ascii="Calibri" w:eastAsia="Calibri" w:hAnsi="Calibri" w:cs="Calibri"/>
          <w:color w:val="000000"/>
        </w:rPr>
      </w:pPr>
    </w:p>
    <w:p w:rsidR="00A77B3E" w:rsidRDefault="00BC099A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Asia:  VN/898/2021-PLM-3</w:t>
      </w:r>
    </w:p>
    <w:p w:rsidR="00A77B3E" w:rsidRDefault="00BC099A">
      <w:pPr>
        <w:rPr>
          <w:rFonts w:ascii="Calibri" w:eastAsia="Calibri" w:hAnsi="Calibri" w:cs="Calibri"/>
          <w:color w:val="000000"/>
        </w:rPr>
      </w:pPr>
    </w:p>
    <w:p w:rsidR="00A77B3E" w:rsidRDefault="00BC099A">
      <w:pPr>
        <w:rPr>
          <w:rFonts w:ascii="Calibri" w:eastAsia="Calibri" w:hAnsi="Calibri" w:cs="Calibri"/>
          <w:b/>
          <w:color w:val="000000"/>
          <w:sz w:val="32"/>
        </w:rPr>
      </w:pPr>
      <w:r>
        <w:rPr>
          <w:rFonts w:ascii="Calibri" w:eastAsia="Calibri" w:hAnsi="Calibri" w:cs="Calibri"/>
          <w:b/>
          <w:color w:val="000000"/>
          <w:sz w:val="32"/>
        </w:rPr>
        <w:t>Puolustusministeriön lausuntopyyntö; Asevelvollisuuslain 118 §:n ja siviilipalveluslain 79 §:n muuttaminen</w:t>
      </w:r>
    </w:p>
    <w:p w:rsidR="00A77B3E" w:rsidRDefault="00BC099A">
      <w:pPr>
        <w:rPr>
          <w:rFonts w:ascii="Calibri" w:eastAsia="Calibri" w:hAnsi="Calibri" w:cs="Calibri"/>
          <w:b/>
          <w:color w:val="000000"/>
          <w:sz w:val="32"/>
        </w:rPr>
      </w:pPr>
    </w:p>
    <w:p w:rsidR="00A77B3E" w:rsidRDefault="00BC099A">
      <w:pPr>
        <w:spacing w:before="200" w:after="200"/>
        <w:rPr>
          <w:rFonts w:ascii="Calibri" w:eastAsia="Calibri" w:hAnsi="Calibri" w:cs="Calibri"/>
          <w:color w:val="000000"/>
          <w:sz w:val="32"/>
        </w:rPr>
      </w:pPr>
      <w:r>
        <w:rPr>
          <w:rFonts w:ascii="Calibri" w:eastAsia="Calibri" w:hAnsi="Calibri" w:cs="Calibri"/>
          <w:color w:val="000000"/>
          <w:sz w:val="32"/>
        </w:rPr>
        <w:t>Asevelvollisuuslain 118 §</w:t>
      </w:r>
    </w:p>
    <w:p w:rsidR="00A77B3E" w:rsidRDefault="00BC099A">
      <w:pPr>
        <w:spacing w:before="200" w:after="200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Huomiot koskien </w:t>
      </w:r>
      <w:r>
        <w:rPr>
          <w:rFonts w:ascii="Calibri" w:eastAsia="Calibri" w:hAnsi="Calibri" w:cs="Calibri"/>
          <w:b/>
          <w:color w:val="000000"/>
        </w:rPr>
        <w:t>asevelvollisuuslain 118 §:ää</w:t>
      </w:r>
    </w:p>
    <w:p w:rsidR="00A77B3E" w:rsidRDefault="00BC099A">
      <w:pPr>
        <w:spacing w:before="200" w:after="200"/>
        <w:ind w:left="80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Totean säännöksen olevan jo alkujaankin jossain määrin vaikeaselkoinen. Kun kysymyksessä on rangaistussäännös, tulee siltä rikosoikeudellisen legaliteettiperiaatteen näkökulmasta edellyttää kohtuullista ymmärrettävyyttä. Nyt eh</w:t>
      </w:r>
      <w:r>
        <w:rPr>
          <w:rFonts w:ascii="Calibri" w:eastAsia="Calibri" w:hAnsi="Calibri" w:cs="Calibri"/>
          <w:color w:val="000000"/>
        </w:rPr>
        <w:t xml:space="preserve">dotettu lisäys ei ainakaan selkiytä säännöstä kokonaisuutena (ks. KKO 1997:42 ja KKO 1997:32, asevelvollisuudesta kieltäytymisen suhde poissaolorikoksiin). </w:t>
      </w:r>
    </w:p>
    <w:p w:rsidR="00A77B3E" w:rsidRDefault="00BC099A">
      <w:pPr>
        <w:spacing w:before="200" w:after="200"/>
        <w:ind w:left="800"/>
        <w:rPr>
          <w:rFonts w:ascii="Calibri" w:eastAsia="Calibri" w:hAnsi="Calibri" w:cs="Calibri"/>
          <w:color w:val="000000"/>
        </w:rPr>
      </w:pPr>
    </w:p>
    <w:p w:rsidR="00A77B3E" w:rsidRDefault="00BC099A">
      <w:pPr>
        <w:spacing w:before="200" w:after="200"/>
        <w:ind w:left="80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Säännöksessä mainitaan viisi rikosprosessuaalista toimenpiteistä luopumiseen johtavaa tilannetta, </w:t>
      </w:r>
      <w:r>
        <w:rPr>
          <w:rFonts w:ascii="Calibri" w:eastAsia="Calibri" w:hAnsi="Calibri" w:cs="Calibri"/>
          <w:color w:val="000000"/>
        </w:rPr>
        <w:t>jolloin henkilöä ei enää määrätä suorittamaan asevelvollisuuttaan rauhan aikana. Näkemykseni mukaan säännöksen selkeyden kannalta saattaisi olla perustelua käyttää tässä yhteydessä yleisemmin käsitettä ”rangaistus jätetty määräämättä”, joka nähdäkseni katt</w:t>
      </w:r>
      <w:r>
        <w:rPr>
          <w:rFonts w:ascii="Calibri" w:eastAsia="Calibri" w:hAnsi="Calibri" w:cs="Calibri"/>
          <w:color w:val="000000"/>
        </w:rPr>
        <w:t>aisi ainakin laissa mainitut viisi tilannetta.</w:t>
      </w:r>
    </w:p>
    <w:p w:rsidR="00A77B3E" w:rsidRDefault="00BC099A">
      <w:pPr>
        <w:spacing w:before="200" w:after="200"/>
        <w:ind w:left="800"/>
        <w:rPr>
          <w:rFonts w:ascii="Calibri" w:eastAsia="Calibri" w:hAnsi="Calibri" w:cs="Calibri"/>
          <w:color w:val="000000"/>
        </w:rPr>
      </w:pPr>
    </w:p>
    <w:p w:rsidR="00A77B3E" w:rsidRDefault="00BC099A">
      <w:pPr>
        <w:spacing w:before="200" w:after="200"/>
        <w:ind w:left="80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Lisäksi esitöiden valossa jää mielestäni jossain määrin epäselväksi, milloin säännöksen tarkoittama henkilö tai asianomainen tultaisiin määräämään liikekannallepanon aikana palvelukseen tai työhön (asevelvoll</w:t>
      </w:r>
      <w:r>
        <w:rPr>
          <w:rFonts w:ascii="Calibri" w:eastAsia="Calibri" w:hAnsi="Calibri" w:cs="Calibri"/>
          <w:color w:val="000000"/>
        </w:rPr>
        <w:t>isuuslain 87–88 §:t). Kattavatko nykyiset asevelvollisuuslain säännökset muutoksessa tarkoitetulla perusteella palveluksesta rauhan aikana vapautetun henkilön palvelukseen määräämistä koskevat tilanteet?</w:t>
      </w:r>
    </w:p>
    <w:p w:rsidR="00A77B3E" w:rsidRDefault="00BC099A">
      <w:pPr>
        <w:spacing w:before="200" w:after="200"/>
        <w:ind w:left="800"/>
        <w:rPr>
          <w:rFonts w:ascii="Calibri" w:eastAsia="Calibri" w:hAnsi="Calibri" w:cs="Calibri"/>
          <w:color w:val="000000"/>
        </w:rPr>
      </w:pPr>
    </w:p>
    <w:p w:rsidR="00A77B3E" w:rsidRDefault="00BC099A">
      <w:pPr>
        <w:spacing w:before="200" w:after="200"/>
        <w:ind w:left="800"/>
        <w:rPr>
          <w:rFonts w:ascii="Calibri" w:eastAsia="Calibri" w:hAnsi="Calibri" w:cs="Calibri"/>
          <w:color w:val="000000"/>
        </w:rPr>
      </w:pPr>
    </w:p>
    <w:p w:rsidR="00A77B3E" w:rsidRDefault="00BC099A">
      <w:pPr>
        <w:spacing w:before="200" w:after="200"/>
        <w:rPr>
          <w:rFonts w:ascii="Calibri" w:eastAsia="Calibri" w:hAnsi="Calibri" w:cs="Calibri"/>
          <w:color w:val="000000"/>
          <w:sz w:val="32"/>
        </w:rPr>
      </w:pPr>
      <w:r>
        <w:rPr>
          <w:rFonts w:ascii="Calibri" w:eastAsia="Calibri" w:hAnsi="Calibri" w:cs="Calibri"/>
          <w:color w:val="000000"/>
          <w:sz w:val="32"/>
        </w:rPr>
        <w:t>Siviilipalveluslain 79 §</w:t>
      </w:r>
    </w:p>
    <w:p w:rsidR="00A77B3E" w:rsidRDefault="00BC099A">
      <w:pPr>
        <w:spacing w:before="200" w:after="200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Huomiot koskien siviilipa</w:t>
      </w:r>
      <w:r>
        <w:rPr>
          <w:rFonts w:ascii="Calibri" w:eastAsia="Calibri" w:hAnsi="Calibri" w:cs="Calibri"/>
          <w:b/>
          <w:color w:val="000000"/>
        </w:rPr>
        <w:t>lveluslain 79 §:ää</w:t>
      </w:r>
    </w:p>
    <w:p w:rsidR="00A77B3E" w:rsidRDefault="00BC099A">
      <w:pPr>
        <w:spacing w:before="200" w:after="200"/>
        <w:ind w:left="80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Ehdotetun säännöksen 2 momentissa mainitaan siviilipalveluksesta kieltäytyneestä siviilipalvelusvelvollisesta tehtävästä rikosilmoituksesta (”jos hänestä on tehty rikosilmoitus”… ”jos </w:t>
      </w:r>
      <w:r>
        <w:rPr>
          <w:rFonts w:ascii="Calibri" w:eastAsia="Calibri" w:hAnsi="Calibri" w:cs="Calibri"/>
          <w:color w:val="000000"/>
        </w:rPr>
        <w:lastRenderedPageBreak/>
        <w:t>rikosilmoitus on johtanut”). Näkemykseni mukaan rikos</w:t>
      </w:r>
      <w:r>
        <w:rPr>
          <w:rFonts w:ascii="Calibri" w:eastAsia="Calibri" w:hAnsi="Calibri" w:cs="Calibri"/>
          <w:color w:val="000000"/>
        </w:rPr>
        <w:t xml:space="preserve">ilmoitus ei sinällään ole osa rikosprosessia, vaikka rikosprosessi tyypillisimminkin lähtee liikkeelle rikosilmoituksesta. En näe, mitä lisäarvoa rikosilmoituksen mainitseminen säännökseen tuo. Onko kysymys siitä, että säännöksen mainitsemissa tilanteissa </w:t>
      </w:r>
      <w:r>
        <w:rPr>
          <w:rFonts w:ascii="Calibri" w:eastAsia="Calibri" w:hAnsi="Calibri" w:cs="Calibri"/>
          <w:color w:val="000000"/>
        </w:rPr>
        <w:t>rikosilmoitus tehdään poliisille, joka suorittaa esitutkinnan, kun edellä mainitun asevelvollisuuslain 118 §:n mainitsemissa tilanteissa asian esitutkinta voidaan suorittaa puolustusvoimissa? Nähdäkseni tältä osin saattaisi olla perustelua pyrkiä samalaise</w:t>
      </w:r>
      <w:r>
        <w:rPr>
          <w:rFonts w:ascii="Calibri" w:eastAsia="Calibri" w:hAnsi="Calibri" w:cs="Calibri"/>
          <w:color w:val="000000"/>
        </w:rPr>
        <w:t>en ilmaisuun ehdotetun asevelvollisuuslain 118 §:n kanssa.</w:t>
      </w:r>
    </w:p>
    <w:p w:rsidR="00A77B3E" w:rsidRDefault="00BC099A">
      <w:pPr>
        <w:spacing w:before="200" w:after="200"/>
        <w:ind w:left="800"/>
        <w:rPr>
          <w:rFonts w:ascii="Calibri" w:eastAsia="Calibri" w:hAnsi="Calibri" w:cs="Calibri"/>
          <w:color w:val="000000"/>
        </w:rPr>
      </w:pPr>
    </w:p>
    <w:p w:rsidR="00A77B3E" w:rsidRDefault="00BC099A">
      <w:pPr>
        <w:spacing w:before="200" w:after="200"/>
        <w:ind w:left="80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Mainitussa säännöksessä on mainittu kolme rikosprosessuaalista toimenpiteistä luopumiseen johtavaa tilannetta, jolloin henkilöä ei enää määrätä suorittamaan siviilipalvelusvelvollisuuttaan rauhan </w:t>
      </w:r>
      <w:r>
        <w:rPr>
          <w:rFonts w:ascii="Calibri" w:eastAsia="Calibri" w:hAnsi="Calibri" w:cs="Calibri"/>
          <w:color w:val="000000"/>
        </w:rPr>
        <w:t>aikana. Esitöiden valossa jää epäselväksi, miksi säännös poikkeaa tältä osin asevelvollisuuslain 118 §:stä.</w:t>
      </w:r>
    </w:p>
    <w:p w:rsidR="00A77B3E" w:rsidRDefault="00BC099A">
      <w:pPr>
        <w:spacing w:before="200" w:after="200"/>
        <w:ind w:left="800"/>
        <w:rPr>
          <w:rFonts w:ascii="Calibri" w:eastAsia="Calibri" w:hAnsi="Calibri" w:cs="Calibri"/>
          <w:color w:val="000000"/>
        </w:rPr>
      </w:pPr>
    </w:p>
    <w:p w:rsidR="00A77B3E" w:rsidRDefault="00BC099A">
      <w:pPr>
        <w:spacing w:before="200" w:after="200"/>
        <w:rPr>
          <w:rFonts w:ascii="Calibri" w:eastAsia="Calibri" w:hAnsi="Calibri" w:cs="Calibri"/>
          <w:color w:val="000000"/>
          <w:sz w:val="32"/>
        </w:rPr>
      </w:pPr>
      <w:r>
        <w:rPr>
          <w:rFonts w:ascii="Calibri" w:eastAsia="Calibri" w:hAnsi="Calibri" w:cs="Calibri"/>
          <w:color w:val="000000"/>
          <w:sz w:val="32"/>
        </w:rPr>
        <w:t>Muut mahdolliset kommentit</w:t>
      </w:r>
    </w:p>
    <w:p w:rsidR="00A77B3E" w:rsidRDefault="00BC099A">
      <w:pPr>
        <w:spacing w:before="200" w:after="200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Muut mahdolliset huomiot</w:t>
      </w:r>
    </w:p>
    <w:p w:rsidR="00A77B3E" w:rsidRDefault="00BC099A">
      <w:pPr>
        <w:spacing w:before="200" w:after="200"/>
        <w:ind w:left="80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Totean lähtökohtaisesti pitäväni ehdotettuja muutoksia perusteluina, koska niillä vältetään </w:t>
      </w:r>
      <w:r>
        <w:rPr>
          <w:rFonts w:ascii="Calibri" w:eastAsia="Calibri" w:hAnsi="Calibri" w:cs="Calibri"/>
          <w:color w:val="000000"/>
        </w:rPr>
        <w:t>kaksoisrangaistavuuden kannalta ongelmallinen palveluskierre tapauksissa, joissa asevelvollisuudesta tai siviilipalveluksesta kieltäytymisestä ei ole tuomittu rangaistusta.</w:t>
      </w:r>
    </w:p>
    <w:p w:rsidR="00A77B3E" w:rsidRDefault="00BC099A">
      <w:pPr>
        <w:spacing w:before="200" w:after="200"/>
        <w:ind w:left="800"/>
        <w:rPr>
          <w:rFonts w:ascii="Calibri" w:eastAsia="Calibri" w:hAnsi="Calibri" w:cs="Calibri"/>
          <w:color w:val="000000"/>
        </w:rPr>
      </w:pPr>
    </w:p>
    <w:p w:rsidR="00A77B3E" w:rsidRDefault="00BC099A">
      <w:pPr>
        <w:spacing w:before="200" w:after="200"/>
        <w:ind w:left="800"/>
        <w:rPr>
          <w:rFonts w:ascii="Calibri" w:eastAsia="Calibri" w:hAnsi="Calibri" w:cs="Calibri"/>
          <w:color w:val="000000"/>
        </w:rPr>
      </w:pPr>
    </w:p>
    <w:p w:rsidR="00A77B3E" w:rsidRDefault="00BC099A">
      <w:pPr>
        <w:spacing w:before="200" w:after="200"/>
        <w:ind w:left="80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Apulaisoikeusasiamies</w:t>
      </w:r>
      <w:r>
        <w:rPr>
          <w:rFonts w:ascii="Calibri" w:eastAsia="Calibri" w:hAnsi="Calibri" w:cs="Calibri"/>
          <w:color w:val="000000"/>
        </w:rPr>
        <w:tab/>
        <w:t>Pasi Pölönen</w:t>
      </w:r>
    </w:p>
    <w:p w:rsidR="00A77B3E" w:rsidRDefault="00BC099A">
      <w:pPr>
        <w:spacing w:before="200" w:after="200"/>
        <w:ind w:left="800"/>
        <w:rPr>
          <w:rFonts w:ascii="Calibri" w:eastAsia="Calibri" w:hAnsi="Calibri" w:cs="Calibri"/>
          <w:color w:val="000000"/>
        </w:rPr>
      </w:pPr>
    </w:p>
    <w:p w:rsidR="00A77B3E" w:rsidRDefault="00BC099A">
      <w:pPr>
        <w:spacing w:before="200" w:after="200"/>
        <w:ind w:left="800"/>
        <w:rPr>
          <w:rFonts w:ascii="Calibri" w:eastAsia="Calibri" w:hAnsi="Calibri" w:cs="Calibri"/>
          <w:color w:val="000000"/>
        </w:rPr>
      </w:pPr>
    </w:p>
    <w:p w:rsidR="00A77B3E" w:rsidRDefault="00BC099A">
      <w:pPr>
        <w:spacing w:before="200" w:after="200"/>
        <w:ind w:left="800"/>
        <w:rPr>
          <w:rFonts w:ascii="Calibri" w:eastAsia="Calibri" w:hAnsi="Calibri" w:cs="Calibri"/>
          <w:color w:val="000000"/>
        </w:rPr>
      </w:pPr>
    </w:p>
    <w:p w:rsidR="00A77B3E" w:rsidRDefault="00BC099A">
      <w:pPr>
        <w:spacing w:before="200" w:after="200"/>
        <w:ind w:left="80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Vanhempi oikeusasiamiehensihteeri   Kristia</w:t>
      </w:r>
      <w:r>
        <w:rPr>
          <w:rFonts w:ascii="Calibri" w:eastAsia="Calibri" w:hAnsi="Calibri" w:cs="Calibri"/>
          <w:color w:val="000000"/>
        </w:rPr>
        <w:t>n Holman</w:t>
      </w:r>
    </w:p>
    <w:p w:rsidR="00A77B3E" w:rsidRDefault="00BC099A">
      <w:pPr>
        <w:spacing w:before="200" w:after="200"/>
        <w:ind w:left="800"/>
        <w:rPr>
          <w:rFonts w:ascii="Calibri" w:eastAsia="Calibri" w:hAnsi="Calibri" w:cs="Calibri"/>
          <w:color w:val="000000"/>
        </w:rPr>
      </w:pPr>
    </w:p>
    <w:p w:rsidR="00A77B3E" w:rsidRDefault="00BC099A">
      <w:pPr>
        <w:spacing w:before="200" w:after="200"/>
        <w:rPr>
          <w:rFonts w:ascii="Calibri" w:eastAsia="Calibri" w:hAnsi="Calibri" w:cs="Calibri"/>
          <w:color w:val="000000"/>
        </w:rPr>
      </w:pPr>
    </w:p>
    <w:p w:rsidR="00A77B3E" w:rsidRDefault="00BC099A">
      <w:pPr>
        <w:spacing w:before="200" w:after="200"/>
        <w:rPr>
          <w:rFonts w:ascii="Calibri" w:eastAsia="Calibri" w:hAnsi="Calibri" w:cs="Calibri"/>
          <w:color w:val="000000"/>
        </w:rPr>
      </w:pPr>
    </w:p>
    <w:p w:rsidR="00A77B3E" w:rsidRDefault="00BC099A">
      <w:pPr>
        <w:spacing w:before="200" w:after="200"/>
        <w:rPr>
          <w:rFonts w:ascii="Calibri" w:eastAsia="Calibri" w:hAnsi="Calibri" w:cs="Calibri"/>
          <w:color w:val="000000"/>
        </w:rPr>
      </w:pPr>
    </w:p>
    <w:p w:rsidR="00A77B3E" w:rsidRDefault="00BC099A">
      <w:pPr>
        <w:ind w:left="320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Mäkinen Tiina</w:t>
      </w:r>
    </w:p>
    <w:p w:rsidR="00A77B3E" w:rsidRDefault="00BC099A">
      <w:pPr>
        <w:ind w:left="320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Eduskunnan oikeusasiamiehen kanslia</w:t>
      </w:r>
    </w:p>
    <w:p w:rsidR="00A77B3E" w:rsidRDefault="00BC099A">
      <w:pPr>
        <w:rPr>
          <w:rFonts w:ascii="Calibri" w:eastAsia="Calibri" w:hAnsi="Calibri" w:cs="Calibri"/>
          <w:color w:val="000000"/>
        </w:rPr>
      </w:pPr>
    </w:p>
    <w:sectPr w:rsidR="00A77B3E">
      <w:footerReference w:type="default" r:id="rId6"/>
      <w:pgSz w:w="12240" w:h="15840"/>
      <w:pgMar w:top="800" w:right="800" w:bottom="0" w:left="8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99A" w:rsidRDefault="00BC099A">
      <w:r>
        <w:separator/>
      </w:r>
    </w:p>
  </w:endnote>
  <w:endnote w:type="continuationSeparator" w:id="0">
    <w:p w:rsidR="00BC099A" w:rsidRDefault="00BC0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EBB" w:rsidRDefault="00793EBB"/>
  <w:tbl>
    <w:tblPr>
      <w:tblW w:w="5000" w:type="pct"/>
      <w:tblLook w:val="04A0" w:firstRow="1" w:lastRow="0" w:firstColumn="1" w:lastColumn="0" w:noHBand="0" w:noVBand="1"/>
    </w:tblPr>
    <w:tblGrid>
      <w:gridCol w:w="3546"/>
      <w:gridCol w:w="3547"/>
      <w:gridCol w:w="3547"/>
    </w:tblGrid>
    <w:tr w:rsidR="00793EBB">
      <w:tc>
        <w:tcPr>
          <w:tcW w:w="1650" w:type="pct"/>
        </w:tcPr>
        <w:p w:rsidR="00793EBB" w:rsidRDefault="00793EBB"/>
      </w:tc>
      <w:tc>
        <w:tcPr>
          <w:tcW w:w="1650" w:type="pct"/>
        </w:tcPr>
        <w:p w:rsidR="00793EBB" w:rsidRDefault="00BC099A">
          <w:pPr>
            <w:jc w:val="center"/>
            <w:rPr>
              <w:rFonts w:ascii="Arial" w:eastAsia="Arial" w:hAnsi="Arial" w:cs="Arial"/>
              <w:color w:val="000000"/>
            </w:rPr>
          </w:pPr>
          <w:r>
            <w:rPr>
              <w:rFonts w:ascii="Arial" w:eastAsia="Arial" w:hAnsi="Arial" w:cs="Arial"/>
              <w:sz w:val="20"/>
            </w:rPr>
            <w:t>Lausuntopalvelu.fi</w:t>
          </w:r>
        </w:p>
      </w:tc>
      <w:tc>
        <w:tcPr>
          <w:tcW w:w="1650" w:type="pct"/>
        </w:tcPr>
        <w:p w:rsidR="00793EBB" w:rsidRDefault="00BC099A">
          <w:pPr>
            <w:jc w:val="right"/>
            <w:rPr>
              <w:rFonts w:ascii="Arial" w:eastAsia="Arial" w:hAnsi="Arial" w:cs="Arial"/>
              <w:color w:val="000000"/>
            </w:rPr>
          </w:pPr>
          <w:r>
            <w:rPr>
              <w:rFonts w:ascii="Arial" w:eastAsia="Arial" w:hAnsi="Arial" w:cs="Arial"/>
              <w:color w:val="000000"/>
            </w:rPr>
            <w:fldChar w:fldCharType="begin"/>
          </w:r>
          <w:r>
            <w:rPr>
              <w:rFonts w:ascii="Arial" w:eastAsia="Arial" w:hAnsi="Arial" w:cs="Arial"/>
              <w:color w:val="000000"/>
            </w:rPr>
            <w:instrText>PAGE</w:instrText>
          </w:r>
          <w:r>
            <w:rPr>
              <w:rFonts w:ascii="Arial" w:eastAsia="Arial" w:hAnsi="Arial" w:cs="Arial"/>
              <w:color w:val="000000"/>
            </w:rPr>
            <w:fldChar w:fldCharType="separate"/>
          </w:r>
          <w:r w:rsidR="000077F7">
            <w:rPr>
              <w:rFonts w:ascii="Arial" w:eastAsia="Arial" w:hAnsi="Arial" w:cs="Arial"/>
              <w:noProof/>
              <w:color w:val="000000"/>
            </w:rPr>
            <w:t>1</w:t>
          </w:r>
          <w:r>
            <w:rPr>
              <w:rFonts w:ascii="Arial" w:eastAsia="Arial" w:hAnsi="Arial" w:cs="Arial"/>
              <w:color w:val="000000"/>
            </w:rPr>
            <w:fldChar w:fldCharType="end"/>
          </w:r>
          <w:r>
            <w:rPr>
              <w:rFonts w:ascii="Arial" w:eastAsia="Arial" w:hAnsi="Arial" w:cs="Arial"/>
              <w:color w:val="000000"/>
            </w:rPr>
            <w:t>/</w:t>
          </w:r>
          <w:r>
            <w:rPr>
              <w:rFonts w:ascii="Arial" w:eastAsia="Arial" w:hAnsi="Arial" w:cs="Arial"/>
              <w:color w:val="000000"/>
            </w:rPr>
            <w:fldChar w:fldCharType="begin"/>
          </w:r>
          <w:r>
            <w:rPr>
              <w:rFonts w:ascii="Arial" w:eastAsia="Arial" w:hAnsi="Arial" w:cs="Arial"/>
              <w:color w:val="000000"/>
            </w:rPr>
            <w:instrText>NUMPAGES</w:instrText>
          </w:r>
          <w:r>
            <w:rPr>
              <w:rFonts w:ascii="Arial" w:eastAsia="Arial" w:hAnsi="Arial" w:cs="Arial"/>
              <w:color w:val="000000"/>
            </w:rPr>
            <w:fldChar w:fldCharType="separate"/>
          </w:r>
          <w:r w:rsidR="000077F7">
            <w:rPr>
              <w:rFonts w:ascii="Arial" w:eastAsia="Arial" w:hAnsi="Arial" w:cs="Arial"/>
              <w:noProof/>
              <w:color w:val="000000"/>
            </w:rPr>
            <w:t>2</w:t>
          </w:r>
          <w:r>
            <w:rPr>
              <w:rFonts w:ascii="Arial" w:eastAsia="Arial" w:hAnsi="Arial" w:cs="Arial"/>
              <w:color w:val="000000"/>
            </w:rPr>
            <w:fldChar w:fldCharType="end"/>
          </w:r>
        </w:p>
      </w:tc>
    </w:tr>
  </w:tbl>
  <w:p w:rsidR="00793EBB" w:rsidRDefault="00793EB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99A" w:rsidRDefault="00BC099A">
      <w:r>
        <w:separator/>
      </w:r>
    </w:p>
  </w:footnote>
  <w:footnote w:type="continuationSeparator" w:id="0">
    <w:p w:rsidR="00BC099A" w:rsidRDefault="00BC09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EBB"/>
    <w:rsid w:val="000077F7"/>
    <w:rsid w:val="00793EBB"/>
    <w:rsid w:val="00BC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44DD3A7-8156-4AE5-B9E9-0D565ADF7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Pr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344</Words>
  <Characters>2787</Characters>
  <Application>Microsoft Office Word</Application>
  <DocSecurity>0</DocSecurity>
  <Lines>23</Lines>
  <Paragraphs>6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Lapinlampi Joona (PLM)</dc:creator>
  <cp:lastModifiedBy>Lapinlampi Joona (PLM)</cp:lastModifiedBy>
  <cp:revision>2</cp:revision>
  <dcterms:created xsi:type="dcterms:W3CDTF">2021-09-21T08:46:00Z</dcterms:created>
  <dcterms:modified xsi:type="dcterms:W3CDTF">2021-09-21T08:46:00Z</dcterms:modified>
</cp:coreProperties>
</file>