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B552C7">
      <w:pPr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Ihmisoikeuskeskus</w:t>
      </w:r>
    </w:p>
    <w:p w:rsidR="00A77B3E" w:rsidRDefault="00B552C7">
      <w:pPr>
        <w:rPr>
          <w:rFonts w:ascii="Calibri" w:eastAsia="Calibri" w:hAnsi="Calibri" w:cs="Calibri"/>
          <w:color w:val="000000"/>
        </w:rPr>
      </w:pPr>
    </w:p>
    <w:p w:rsidR="00A77B3E" w:rsidRDefault="00B552C7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Lausunto</w:t>
      </w:r>
    </w:p>
    <w:p w:rsidR="00A77B3E" w:rsidRDefault="00B552C7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21.09.2021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IOK/31/2021</w:t>
      </w:r>
    </w:p>
    <w:p w:rsidR="00A77B3E" w:rsidRDefault="00B552C7">
      <w:pPr>
        <w:rPr>
          <w:rFonts w:ascii="Calibri" w:eastAsia="Calibri" w:hAnsi="Calibri" w:cs="Calibri"/>
          <w:color w:val="000000"/>
        </w:rPr>
      </w:pPr>
    </w:p>
    <w:p w:rsidR="00A77B3E" w:rsidRDefault="00B552C7">
      <w:pPr>
        <w:rPr>
          <w:rFonts w:ascii="Calibri" w:eastAsia="Calibri" w:hAnsi="Calibri" w:cs="Calibri"/>
          <w:color w:val="000000"/>
        </w:rPr>
      </w:pPr>
    </w:p>
    <w:p w:rsidR="00A77B3E" w:rsidRDefault="00B552C7">
      <w:pPr>
        <w:rPr>
          <w:rFonts w:ascii="Calibri" w:eastAsia="Calibri" w:hAnsi="Calibri" w:cs="Calibri"/>
          <w:color w:val="000000"/>
        </w:rPr>
      </w:pPr>
    </w:p>
    <w:p w:rsidR="00A77B3E" w:rsidRDefault="00B552C7">
      <w:pPr>
        <w:rPr>
          <w:rFonts w:ascii="Calibri" w:eastAsia="Calibri" w:hAnsi="Calibri" w:cs="Calibri"/>
          <w:color w:val="000000"/>
        </w:rPr>
      </w:pPr>
    </w:p>
    <w:p w:rsidR="00A77B3E" w:rsidRDefault="00B552C7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Asia:  VN/898/2021-PLM-3</w:t>
      </w:r>
    </w:p>
    <w:p w:rsidR="00A77B3E" w:rsidRDefault="00B552C7">
      <w:pPr>
        <w:rPr>
          <w:rFonts w:ascii="Calibri" w:eastAsia="Calibri" w:hAnsi="Calibri" w:cs="Calibri"/>
          <w:color w:val="000000"/>
        </w:rPr>
      </w:pPr>
    </w:p>
    <w:p w:rsidR="00A77B3E" w:rsidRDefault="00B552C7">
      <w:pPr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Puolustusministeriön lausuntopyyntö; Asevelvollisuuslain 118 §:n ja siviilipalveluslain 79 §:n muuttaminen</w:t>
      </w:r>
    </w:p>
    <w:p w:rsidR="00A77B3E" w:rsidRDefault="00B552C7">
      <w:pPr>
        <w:rPr>
          <w:rFonts w:ascii="Calibri" w:eastAsia="Calibri" w:hAnsi="Calibri" w:cs="Calibri"/>
          <w:b/>
          <w:color w:val="000000"/>
          <w:sz w:val="32"/>
        </w:rPr>
      </w:pPr>
    </w:p>
    <w:p w:rsidR="00A77B3E" w:rsidRDefault="00B552C7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Asevelvollisuuslain 118 §</w:t>
      </w:r>
    </w:p>
    <w:p w:rsidR="00A77B3E" w:rsidRDefault="00B552C7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Huomiot koskien asevelvollisuuslain </w:t>
      </w:r>
      <w:r>
        <w:rPr>
          <w:rFonts w:ascii="Calibri" w:eastAsia="Calibri" w:hAnsi="Calibri" w:cs="Calibri"/>
          <w:b/>
          <w:color w:val="000000"/>
        </w:rPr>
        <w:t>118 §:ää</w:t>
      </w: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Voimassa olevan asevelvollisuuslain 118 §:ssä säädetään asevelvollisuudesta kieltäytymisestä. </w:t>
      </w: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YK:n kansalaisoikeuksia ja poliittisia oikeuksia koskevan yleissopimuksen (KP-sopimus) täytäntöönpanon määräaikaisraportoinnin yhteydessä Ihmisoikeuske</w:t>
      </w:r>
      <w:r>
        <w:rPr>
          <w:rFonts w:ascii="Calibri" w:eastAsia="Calibri" w:hAnsi="Calibri" w:cs="Calibri"/>
          <w:color w:val="000000"/>
        </w:rPr>
        <w:t>skus on lausunut YK:n ihmisoikeuskomitealle mm. 22.2.2021 liittyen nyt muutosten kohteena olevasta ne bis in idem-ongelmasta ja siitä, että tuomioistuimen lopullinen ratkaisu ei olekaan lopullinen, vaan palveluksesta kieltäytyvälle henkilölle voidaan antaa</w:t>
      </w:r>
      <w:r>
        <w:rPr>
          <w:rFonts w:ascii="Calibri" w:eastAsia="Calibri" w:hAnsi="Calibri" w:cs="Calibri"/>
          <w:color w:val="000000"/>
        </w:rPr>
        <w:t xml:space="preserve"> uusi palvelusmääräys toistuvasti, kunnes hän täyttää 30 vuotta.  </w:t>
      </w: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Ihmisoikeuskomitea on 23.3.2021 antanut tähän liittyvän suosituksen, para 37 , jossa se kehottaa kappaleen b-kohdassa lopettamaan vireillä olevat aseistakieltäytyjien syyteharkinnat ja vap</w:t>
      </w:r>
      <w:r>
        <w:rPr>
          <w:rFonts w:ascii="Calibri" w:eastAsia="Calibri" w:hAnsi="Calibri" w:cs="Calibri"/>
          <w:color w:val="000000"/>
        </w:rPr>
        <w:t>auttamaan henkilöt, jotka edelleen suorittavat tähän liittyvää vankeusrangaistusta. Lisäksi komitea kehottaa a-kohdassa varmistamaan asepalveluksen vaihtoehtojen syrjimättömyyden palveluksen laadun ja keston osalta sekä takaamaan palveluksen siviililuontee</w:t>
      </w:r>
      <w:r>
        <w:rPr>
          <w:rFonts w:ascii="Calibri" w:eastAsia="Calibri" w:hAnsi="Calibri" w:cs="Calibri"/>
          <w:color w:val="000000"/>
        </w:rPr>
        <w:t>n. Suosituksen c-kohdassa komitea kehottaa lisäämään tietoisuutta yleisesti oikeudesta aseistakieltäytymiseen ja erilaisista vaihtoehdoista aseelliselle palvelukselle. Suositus on annettu myös vuonna 2013.</w:t>
      </w: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37. The State party should: (a) ensure that alter</w:t>
      </w:r>
      <w:r>
        <w:rPr>
          <w:rFonts w:ascii="Calibri" w:eastAsia="Calibri" w:hAnsi="Calibri" w:cs="Calibri"/>
          <w:color w:val="000000"/>
        </w:rPr>
        <w:t>natives to military service are not punitive or discriminatory in terms of their nature or duration and remain of a civilian nature, outside military command; (b) halt all prosecutions of individuals who refuse to perform military service on grounds of con</w:t>
      </w:r>
      <w:r>
        <w:rPr>
          <w:rFonts w:ascii="Calibri" w:eastAsia="Calibri" w:hAnsi="Calibri" w:cs="Calibri"/>
          <w:color w:val="000000"/>
        </w:rPr>
        <w:t>science and release those who are currently serving related prison sentences; and (c) intensify its efforts to raise awareness among the public about the right to conscientious objection and the availability of alternatives to military service.</w:t>
      </w: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 </w:t>
      </w: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Nyt valmi</w:t>
      </w:r>
      <w:r>
        <w:rPr>
          <w:rFonts w:ascii="Calibri" w:eastAsia="Calibri" w:hAnsi="Calibri" w:cs="Calibri"/>
          <w:color w:val="000000"/>
        </w:rPr>
        <w:t xml:space="preserve">steilla olevan uudistuksen tavoitteena on mainitun ne bis in idem-ongelman poistaminen. </w:t>
      </w: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Ehdotuksessa on valittu ratkaisu, jossa tuomioistuimen lainvoimainen päätös ei jää lopulliseksi, vaan uuden palvelusmääräyksen ja siitä kieltäytymisen jälkeen syyttäj</w:t>
      </w:r>
      <w:r>
        <w:rPr>
          <w:rFonts w:ascii="Calibri" w:eastAsia="Calibri" w:hAnsi="Calibri" w:cs="Calibri"/>
          <w:color w:val="000000"/>
        </w:rPr>
        <w:t xml:space="preserve">än tulee tehdä uusi syyteharkinta vielä tämän jälkeen ja päätyä syyttämättäjättämiseen. </w:t>
      </w: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Jos henkilön osalta on tehty syyttäjän toimesta asevelvollisuudesta kieltäytymisen osalta päätös syyttämättä jättämisestä tai syytteen peruuttamisesta sen johdosta, </w:t>
      </w:r>
      <w:r>
        <w:rPr>
          <w:rFonts w:ascii="Calibri" w:eastAsia="Calibri" w:hAnsi="Calibri" w:cs="Calibri"/>
          <w:color w:val="000000"/>
        </w:rPr>
        <w:t>että henkilö on jo kertaalleen tuomittu lainvoimaisesti asevelvollisuudesta kieltäytymisestä, syyte on tuomioistuimessa lainvoimaisesti hylätty tai asevelvollisuudesta kieltäytymisestä tuomittu on suorittanut kokonaan vankeusrangaistuksen taikka vankeusran</w:t>
      </w:r>
      <w:r>
        <w:rPr>
          <w:rFonts w:ascii="Calibri" w:eastAsia="Calibri" w:hAnsi="Calibri" w:cs="Calibri"/>
          <w:color w:val="000000"/>
        </w:rPr>
        <w:t>gaistus on rauennut, häntä ei enää määrätä suorittamaan asevelvollisuuttaan rauhan aikana.</w:t>
      </w: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Ihmisoikeuskeskus katsoo, että tätä prosessia voisi vielä harkita. Asian tultua jo kerran tuomioistuimen osalta ratkaistuksi lainvoimaisesti, tuntuu asian uudelleen</w:t>
      </w:r>
      <w:r>
        <w:rPr>
          <w:rFonts w:ascii="Calibri" w:eastAsia="Calibri" w:hAnsi="Calibri" w:cs="Calibri"/>
          <w:color w:val="000000"/>
        </w:rPr>
        <w:t xml:space="preserve"> avaaminen ja uuden syyteharkinnan tekeminen jossain määrin turhalta. Prosessi rasittaa myös mm. syyttäjäviranomaisia. Yksinkertainen ja kaikilta osin hallinnon resursseja säästävä ratkaisu olisi tuomioistuimen päätöksen jälkeen jättää uusi palvelusmääräys</w:t>
      </w:r>
      <w:r>
        <w:rPr>
          <w:rFonts w:ascii="Calibri" w:eastAsia="Calibri" w:hAnsi="Calibri" w:cs="Calibri"/>
          <w:color w:val="000000"/>
        </w:rPr>
        <w:t xml:space="preserve"> antamatta syyttämättäjättämispäätöksen sijaan. </w:t>
      </w: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</w:p>
    <w:p w:rsidR="00A77B3E" w:rsidRDefault="00B552C7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Siviilipalveluslain 79 §</w:t>
      </w:r>
    </w:p>
    <w:p w:rsidR="00A77B3E" w:rsidRDefault="00B552C7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koskien siviilipalveluslain 79 §:ää</w:t>
      </w: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</w:p>
    <w:p w:rsidR="00A77B3E" w:rsidRDefault="00B552C7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Muut mahdolliset kommentit</w:t>
      </w:r>
    </w:p>
    <w:p w:rsidR="00A77B3E" w:rsidRDefault="00B552C7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Muut mahdolliset huomiot</w:t>
      </w:r>
    </w:p>
    <w:p w:rsidR="00A77B3E" w:rsidRDefault="00B552C7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Ihmisoikeuskeskus kehottaa ministeriötä huomioimaan mainitun YK:n </w:t>
      </w:r>
      <w:r>
        <w:rPr>
          <w:rFonts w:ascii="Calibri" w:eastAsia="Calibri" w:hAnsi="Calibri" w:cs="Calibri"/>
          <w:color w:val="000000"/>
        </w:rPr>
        <w:t>Ihmisoikeuskomitean v. 2021 (ja v. 2013) antaman suosituksen HE:n tekstissä ja ryhtymään toimenpiteisiin mainitun suosituksen muidenkin alakohtien osalta.</w:t>
      </w:r>
    </w:p>
    <w:p w:rsidR="00A77B3E" w:rsidRDefault="00B552C7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B552C7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B552C7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B552C7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Leikas Leena</w:t>
      </w:r>
    </w:p>
    <w:p w:rsidR="00A77B3E" w:rsidRDefault="00B552C7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Ihmisoikeuskeskus</w:t>
      </w:r>
    </w:p>
    <w:p w:rsidR="00A77B3E" w:rsidRDefault="00B552C7">
      <w:pPr>
        <w:rPr>
          <w:rFonts w:ascii="Calibri" w:eastAsia="Calibri" w:hAnsi="Calibri" w:cs="Calibri"/>
          <w:color w:val="000000"/>
        </w:rPr>
      </w:pPr>
    </w:p>
    <w:sectPr w:rsidR="00A77B3E">
      <w:footerReference w:type="default" r:id="rId6"/>
      <w:pgSz w:w="12240" w:h="15840"/>
      <w:pgMar w:top="800" w:right="800" w:bottom="0" w:left="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C7" w:rsidRDefault="00B552C7">
      <w:r>
        <w:separator/>
      </w:r>
    </w:p>
  </w:endnote>
  <w:endnote w:type="continuationSeparator" w:id="0">
    <w:p w:rsidR="00B552C7" w:rsidRDefault="00B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FA" w:rsidRDefault="00D269FA"/>
  <w:tbl>
    <w:tblPr>
      <w:tblW w:w="5000" w:type="pct"/>
      <w:tblLook w:val="04A0" w:firstRow="1" w:lastRow="0" w:firstColumn="1" w:lastColumn="0" w:noHBand="0" w:noVBand="1"/>
    </w:tblPr>
    <w:tblGrid>
      <w:gridCol w:w="3546"/>
      <w:gridCol w:w="3547"/>
      <w:gridCol w:w="3547"/>
    </w:tblGrid>
    <w:tr w:rsidR="00D269FA">
      <w:tc>
        <w:tcPr>
          <w:tcW w:w="1650" w:type="pct"/>
        </w:tcPr>
        <w:p w:rsidR="00D269FA" w:rsidRDefault="00D269FA"/>
      </w:tc>
      <w:tc>
        <w:tcPr>
          <w:tcW w:w="1650" w:type="pct"/>
        </w:tcPr>
        <w:p w:rsidR="00D269FA" w:rsidRDefault="00B552C7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sz w:val="20"/>
            </w:rPr>
            <w:t>Lausuntopalvelu.fi</w:t>
          </w:r>
        </w:p>
      </w:tc>
      <w:tc>
        <w:tcPr>
          <w:tcW w:w="1650" w:type="pct"/>
        </w:tcPr>
        <w:p w:rsidR="00D269FA" w:rsidRDefault="00B552C7">
          <w:pPr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35125B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>/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35125B">
            <w:rPr>
              <w:rFonts w:ascii="Arial" w:eastAsia="Arial" w:hAnsi="Arial" w:cs="Arial"/>
              <w:noProof/>
              <w:color w:val="000000"/>
            </w:rPr>
            <w:t>3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D269FA" w:rsidRDefault="00D269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C7" w:rsidRDefault="00B552C7">
      <w:r>
        <w:separator/>
      </w:r>
    </w:p>
  </w:footnote>
  <w:footnote w:type="continuationSeparator" w:id="0">
    <w:p w:rsidR="00B552C7" w:rsidRDefault="00B5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FA"/>
    <w:rsid w:val="0035125B"/>
    <w:rsid w:val="00B552C7"/>
    <w:rsid w:val="00D2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096A03-9F63-4043-962D-8706B69E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Lapinlampi Joona (PLM)</dc:creator>
  <cp:lastModifiedBy>Lapinlampi Joona (PLM)</cp:lastModifiedBy>
  <cp:revision>2</cp:revision>
  <dcterms:created xsi:type="dcterms:W3CDTF">2021-09-21T11:31:00Z</dcterms:created>
  <dcterms:modified xsi:type="dcterms:W3CDTF">2021-09-21T11:31:00Z</dcterms:modified>
</cp:coreProperties>
</file>