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F3F2F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Ulkoministeriö</w:t>
      </w:r>
    </w:p>
    <w:p w:rsidR="00A77B3E" w:rsidRDefault="00EF3F2F">
      <w:pPr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EF3F2F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77B3E" w:rsidRDefault="00EF3F2F">
      <w:pPr>
        <w:rPr>
          <w:rFonts w:ascii="Calibri" w:eastAsia="Calibri" w:hAnsi="Calibri" w:cs="Calibri"/>
          <w:color w:val="000000"/>
        </w:rPr>
      </w:pPr>
    </w:p>
    <w:p w:rsidR="00A77B3E" w:rsidRDefault="00EF3F2F">
      <w:pPr>
        <w:rPr>
          <w:rFonts w:ascii="Calibri" w:eastAsia="Calibri" w:hAnsi="Calibri" w:cs="Calibri"/>
          <w:color w:val="000000"/>
        </w:rPr>
      </w:pPr>
    </w:p>
    <w:p w:rsidR="00A77B3E" w:rsidRDefault="00EF3F2F">
      <w:pPr>
        <w:rPr>
          <w:rFonts w:ascii="Calibri" w:eastAsia="Calibri" w:hAnsi="Calibri" w:cs="Calibri"/>
          <w:color w:val="000000"/>
        </w:rPr>
      </w:pPr>
    </w:p>
    <w:p w:rsidR="00A77B3E" w:rsidRDefault="00EF3F2F">
      <w:pPr>
        <w:rPr>
          <w:rFonts w:ascii="Calibri" w:eastAsia="Calibri" w:hAnsi="Calibri" w:cs="Calibri"/>
          <w:color w:val="000000"/>
        </w:rPr>
      </w:pPr>
    </w:p>
    <w:p w:rsidR="00A77B3E" w:rsidRDefault="00EF3F2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EF3F2F">
      <w:pPr>
        <w:rPr>
          <w:rFonts w:ascii="Calibri" w:eastAsia="Calibri" w:hAnsi="Calibri" w:cs="Calibri"/>
          <w:color w:val="000000"/>
        </w:rPr>
      </w:pPr>
    </w:p>
    <w:p w:rsidR="00A77B3E" w:rsidRDefault="00EF3F2F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EF3F2F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EF3F2F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EF3F2F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asevelvollisuuslain 118 §:ää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EF3F2F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EF3F2F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EF3F2F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EF3F2F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Ulkoministeriö pitää ehdotettuja muutoksia kannatettavana ja esittää lausuntonaan seuraavaa: 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Esityksen tavoitteena on selkeyttää oi</w:t>
      </w:r>
      <w:r>
        <w:rPr>
          <w:rFonts w:ascii="Calibri" w:eastAsia="Calibri" w:hAnsi="Calibri" w:cs="Calibri"/>
          <w:color w:val="000000"/>
        </w:rPr>
        <w:t>keustilaa ja jo kertaalleen asevelvollisuudesta ja siviilipalveluksesta kieltäytymisestä tuomittujen tilannetta.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Ulkoministeriö kiinnittää huomiota siihen, että luonnoksessa ei käsitellä lainkaan Suomen kansainvälisiä ihmisoikeusvelvoitteita. 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Kansalaisoikeuksia ja poliittisia oikeuksia koskeva kansainvälinen yleissopimus (SopS 7 ja 8/1976) on merkittävä sekä yleisen syrjinnän kiellon (2 artikla) että myös asepalvelukseen liittyvien ihmisoikeuskysymysten osalta, kuten myös yleissopimus ihmisoike</w:t>
      </w:r>
      <w:r>
        <w:rPr>
          <w:rFonts w:ascii="Calibri" w:eastAsia="Calibri" w:hAnsi="Calibri" w:cs="Calibri"/>
          <w:color w:val="000000"/>
        </w:rPr>
        <w:t xml:space="preserve">uksien ja perusvapauksien suojaamiseksi (SopS 18 ja 19/1990; sellaisena kuin se on myöhemmin muutettuna SopS 71 ja 72/1994, SopS 85 ja 86/1998, SopS 8 ja 9/2005, SopS 6 ja 7/2005 sekä SopS 50 ja 51/2010; Euroopan </w:t>
      </w:r>
      <w:r>
        <w:rPr>
          <w:rFonts w:ascii="Calibri" w:eastAsia="Calibri" w:hAnsi="Calibri" w:cs="Calibri"/>
          <w:color w:val="000000"/>
        </w:rPr>
        <w:lastRenderedPageBreak/>
        <w:t>ihmisoikeussopimus). Euroopan ihmisoikeusso</w:t>
      </w:r>
      <w:r>
        <w:rPr>
          <w:rFonts w:ascii="Calibri" w:eastAsia="Calibri" w:hAnsi="Calibri" w:cs="Calibri"/>
          <w:color w:val="000000"/>
        </w:rPr>
        <w:t xml:space="preserve">pimuksen 14 artikla kieltää syrjinnän muun muassa uskonnon perusteella. Suomi on osapuolena myös Euroopan ihmisoikeussopimuksen 12. pöytäkirjassa (SopS 8 ja 9/2005), jonka 1 artiklassa on kaikkinaisen syrjinnän kielto. 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Uudella sääntelyllä pyritään välttä</w:t>
      </w:r>
      <w:r>
        <w:rPr>
          <w:rFonts w:ascii="Calibri" w:eastAsia="Calibri" w:hAnsi="Calibri" w:cs="Calibri"/>
          <w:color w:val="000000"/>
        </w:rPr>
        <w:t>mään kaksoisrangaistavuuden ne bis in idem -periaatteen kannalta ongelmallinen palveluskierre tapauksissa, joissa asevelvollisuudesta tai siviilipalveluksesta kieltäytymisestä ei ole tuomittu rangaistusta.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 bis in idem -periaate (kielto syyttää ja ranga</w:t>
      </w:r>
      <w:r>
        <w:rPr>
          <w:rFonts w:ascii="Calibri" w:eastAsia="Calibri" w:hAnsi="Calibri" w:cs="Calibri"/>
          <w:color w:val="000000"/>
        </w:rPr>
        <w:t>ista kahdesti) sisältyy Euroopan ihmisoikeussopimuksen seitsemännen lisäpöytäkirjan 4 artiklaan.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Euroopan ihmisoikeussopimuksen seitsemännen lisäpöytäkirjan 4 artiklan mukaan: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1." Ketään ei saa saman valtion tuomiovallan nojalla tutkia uudelleen tai ranga</w:t>
      </w:r>
      <w:r>
        <w:rPr>
          <w:rFonts w:ascii="Calibri" w:eastAsia="Calibri" w:hAnsi="Calibri" w:cs="Calibri"/>
          <w:color w:val="000000"/>
        </w:rPr>
        <w:t>ista oikeudenkäynnissä rikoksesta, josta hänet on jo lopullisesti va-pautettu tai tuomittu syylliseksi kyseisen valtion lakien ja oikeudenkäynti-menettelyn mukaisesti.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Edellisen kappaleen määräykset eivät estä ottamasta juttua uudelleen tutkittavaksi </w:t>
      </w:r>
      <w:r>
        <w:rPr>
          <w:rFonts w:ascii="Calibri" w:eastAsia="Calibri" w:hAnsi="Calibri" w:cs="Calibri"/>
          <w:color w:val="000000"/>
        </w:rPr>
        <w:t>asianomaisen valtion lakien ja oikeudenkäyntimenettelyn mu-kaisesti, jos on näyttöä uusista tai vasta esiin tulleista tosiseikoista tai jos aiemmassa prosessissa on tapahtunut sellainen perustavaa laatua oleva virhe, joka voisi vaikuttaa lopputulokseen.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>. Tästä artiklasta ei saa poiketa yleissopimuksen 15 artiklan perusteella"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Myös kansalaisoikeuksia ja poliittisia oikeuksia koskeva kansainvälinen yleissopimuksen 14 artiklan 7 kohta sisältää ne bis in idem -kieltoa koskevan määräyksen: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"7. Ketään ei saa</w:t>
      </w:r>
      <w:r>
        <w:rPr>
          <w:rFonts w:ascii="Calibri" w:eastAsia="Calibri" w:hAnsi="Calibri" w:cs="Calibri"/>
          <w:color w:val="000000"/>
        </w:rPr>
        <w:t xml:space="preserve"> tutkia tai rangaista uudelleen rikoksesta, josta hänet on jo lopullisesti tuomittu syylliseksi tai vapautettu asianomaisen maan lain ja oi-keudenkäyntijärjestyksen mukaisesti."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Ulkoministeriö esittää, että tämä tuodaan esille esityksessä. </w:t>
      </w:r>
    </w:p>
    <w:p w:rsidR="00A77B3E" w:rsidRDefault="00EF3F2F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EF3F2F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EF3F2F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Fokin Katj</w:t>
      </w:r>
      <w:r>
        <w:rPr>
          <w:rFonts w:ascii="Calibri" w:eastAsia="Calibri" w:hAnsi="Calibri" w:cs="Calibri"/>
          <w:color w:val="000000"/>
        </w:rPr>
        <w:t>a</w:t>
      </w:r>
    </w:p>
    <w:p w:rsidR="00A77B3E" w:rsidRDefault="00EF3F2F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Ulkoministeriö</w:t>
      </w:r>
    </w:p>
    <w:p w:rsidR="00A77B3E" w:rsidRDefault="00EF3F2F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2F" w:rsidRDefault="00EF3F2F">
      <w:r>
        <w:separator/>
      </w:r>
    </w:p>
  </w:endnote>
  <w:endnote w:type="continuationSeparator" w:id="0">
    <w:p w:rsidR="00EF3F2F" w:rsidRDefault="00E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9F" w:rsidRDefault="00C3169F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C3169F">
      <w:tc>
        <w:tcPr>
          <w:tcW w:w="1650" w:type="pct"/>
        </w:tcPr>
        <w:p w:rsidR="00C3169F" w:rsidRDefault="00C3169F"/>
      </w:tc>
      <w:tc>
        <w:tcPr>
          <w:tcW w:w="1650" w:type="pct"/>
        </w:tcPr>
        <w:p w:rsidR="00C3169F" w:rsidRDefault="00EF3F2F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C3169F" w:rsidRDefault="00EF3F2F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F255BC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F255BC">
            <w:rPr>
              <w:rFonts w:ascii="Arial" w:eastAsia="Arial" w:hAnsi="Arial" w:cs="Arial"/>
              <w:noProof/>
              <w:color w:val="000000"/>
            </w:rPr>
            <w:t>3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C3169F" w:rsidRDefault="00C31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2F" w:rsidRDefault="00EF3F2F">
      <w:r>
        <w:separator/>
      </w:r>
    </w:p>
  </w:footnote>
  <w:footnote w:type="continuationSeparator" w:id="0">
    <w:p w:rsidR="00EF3F2F" w:rsidRDefault="00EF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9F"/>
    <w:rsid w:val="00C3169F"/>
    <w:rsid w:val="00EF3F2F"/>
    <w:rsid w:val="00F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AA5B68-6334-4A24-8437-030E0729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2021-09-21T14:03:00Z</dcterms:created>
  <dcterms:modified xsi:type="dcterms:W3CDTF">2021-09-21T14:03:00Z</dcterms:modified>
</cp:coreProperties>
</file>