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51" w:rsidRDefault="009C0751" w:rsidP="00BF643E">
      <w:pPr>
        <w:jc w:val="center"/>
        <w:rPr>
          <w:b/>
          <w:sz w:val="96"/>
          <w:szCs w:val="96"/>
          <w:lang w:val="fi-FI"/>
        </w:rPr>
      </w:pPr>
    </w:p>
    <w:p w:rsidR="009C0751" w:rsidRDefault="009C0751" w:rsidP="00BF643E">
      <w:pPr>
        <w:jc w:val="center"/>
        <w:rPr>
          <w:b/>
          <w:sz w:val="96"/>
          <w:szCs w:val="96"/>
          <w:lang w:val="fi-FI"/>
        </w:rPr>
      </w:pPr>
    </w:p>
    <w:p w:rsidR="009C0751" w:rsidRDefault="009C0751" w:rsidP="00BF643E">
      <w:pPr>
        <w:jc w:val="center"/>
        <w:rPr>
          <w:b/>
          <w:sz w:val="96"/>
          <w:szCs w:val="96"/>
          <w:lang w:val="fi-FI"/>
        </w:rPr>
      </w:pPr>
    </w:p>
    <w:p w:rsidR="009C0751" w:rsidRDefault="009C0751" w:rsidP="00BF643E">
      <w:pPr>
        <w:jc w:val="center"/>
        <w:rPr>
          <w:b/>
          <w:sz w:val="56"/>
          <w:szCs w:val="96"/>
          <w:lang w:val="fi-FI"/>
        </w:rPr>
      </w:pPr>
      <w:r w:rsidRPr="00F018E9">
        <w:rPr>
          <w:b/>
          <w:sz w:val="72"/>
          <w:szCs w:val="72"/>
          <w:lang w:val="fi-FI"/>
        </w:rPr>
        <w:t>VY työasemaratkaisun</w:t>
      </w:r>
      <w:r w:rsidRPr="00F018E9">
        <w:rPr>
          <w:b/>
          <w:sz w:val="96"/>
          <w:szCs w:val="96"/>
          <w:lang w:val="fi-FI"/>
        </w:rPr>
        <w:t xml:space="preserve"> </w:t>
      </w:r>
      <w:r w:rsidRPr="00F018E9">
        <w:rPr>
          <w:b/>
          <w:sz w:val="96"/>
          <w:szCs w:val="96"/>
          <w:lang w:val="fi-FI"/>
        </w:rPr>
        <w:br/>
      </w:r>
      <w:r>
        <w:rPr>
          <w:b/>
          <w:sz w:val="56"/>
          <w:szCs w:val="96"/>
          <w:lang w:val="fi-FI"/>
        </w:rPr>
        <w:t>esitutkimuksen</w:t>
      </w:r>
      <w:r w:rsidRPr="00F018E9">
        <w:rPr>
          <w:b/>
          <w:sz w:val="56"/>
          <w:szCs w:val="96"/>
          <w:lang w:val="fi-FI"/>
        </w:rPr>
        <w:t xml:space="preserve"> lausunto</w:t>
      </w:r>
    </w:p>
    <w:p w:rsidR="009C0751" w:rsidRDefault="009C0751" w:rsidP="00BF643E">
      <w:pPr>
        <w:jc w:val="center"/>
        <w:rPr>
          <w:b/>
          <w:sz w:val="56"/>
          <w:szCs w:val="96"/>
          <w:lang w:val="fi-FI"/>
        </w:rPr>
      </w:pPr>
    </w:p>
    <w:p w:rsidR="009C0751" w:rsidRDefault="009C0751" w:rsidP="00BF643E">
      <w:pPr>
        <w:jc w:val="center"/>
        <w:rPr>
          <w:b/>
          <w:sz w:val="56"/>
          <w:szCs w:val="96"/>
          <w:lang w:val="fi-FI"/>
        </w:rPr>
      </w:pPr>
    </w:p>
    <w:p w:rsidR="009C0751" w:rsidRPr="00F018E9" w:rsidRDefault="009C0751" w:rsidP="00F018E9">
      <w:pPr>
        <w:jc w:val="center"/>
        <w:rPr>
          <w:b/>
          <w:sz w:val="56"/>
          <w:szCs w:val="96"/>
          <w:lang w:val="fi-FI"/>
        </w:rPr>
      </w:pPr>
      <w:r>
        <w:rPr>
          <w:b/>
          <w:sz w:val="56"/>
          <w:szCs w:val="96"/>
          <w:lang w:val="fi-FI"/>
        </w:rPr>
        <w:t>VMware Finland</w:t>
      </w:r>
    </w:p>
    <w:p w:rsidR="009C0751" w:rsidRDefault="009C0751">
      <w:pPr>
        <w:rPr>
          <w:lang w:val="fi-FI"/>
        </w:rPr>
      </w:pPr>
    </w:p>
    <w:p w:rsidR="009C0751" w:rsidRPr="00F018E9" w:rsidRDefault="009C0751">
      <w:pPr>
        <w:rPr>
          <w:lang w:val="fi-FI"/>
        </w:rPr>
      </w:pPr>
    </w:p>
    <w:p w:rsidR="009C0751" w:rsidRPr="00F018E9" w:rsidRDefault="009C0751">
      <w:pPr>
        <w:rPr>
          <w:lang w:val="fi-FI"/>
        </w:rPr>
      </w:pPr>
    </w:p>
    <w:p w:rsidR="009C0751" w:rsidRPr="00F018E9" w:rsidRDefault="009C0751">
      <w:pPr>
        <w:rPr>
          <w:lang w:val="fi-FI"/>
        </w:rPr>
      </w:pPr>
    </w:p>
    <w:tbl>
      <w:tblPr>
        <w:tblW w:w="0" w:type="auto"/>
        <w:tblBorders>
          <w:left w:val="single" w:sz="4" w:space="0" w:color="auto"/>
          <w:right w:val="single" w:sz="4" w:space="0" w:color="auto"/>
          <w:insideV w:val="single" w:sz="4" w:space="0" w:color="auto"/>
        </w:tblBorders>
        <w:tblLook w:val="00A0"/>
      </w:tblPr>
      <w:tblGrid>
        <w:gridCol w:w="917"/>
        <w:gridCol w:w="1076"/>
        <w:gridCol w:w="5709"/>
        <w:gridCol w:w="1541"/>
      </w:tblGrid>
      <w:tr w:rsidR="009C0751" w:rsidRPr="003206E5" w:rsidTr="003206E5">
        <w:tc>
          <w:tcPr>
            <w:tcW w:w="917" w:type="dxa"/>
            <w:tcBorders>
              <w:top w:val="single" w:sz="4" w:space="0" w:color="auto"/>
            </w:tcBorders>
            <w:shd w:val="clear" w:color="auto" w:fill="D9D9D9"/>
          </w:tcPr>
          <w:p w:rsidR="009C0751" w:rsidRPr="003206E5" w:rsidRDefault="009C0751" w:rsidP="003206E5">
            <w:pPr>
              <w:spacing w:after="0" w:line="240" w:lineRule="auto"/>
              <w:jc w:val="center"/>
              <w:rPr>
                <w:b/>
                <w:lang w:val="fi-FI"/>
              </w:rPr>
            </w:pPr>
            <w:r w:rsidRPr="003206E5">
              <w:rPr>
                <w:b/>
                <w:lang w:val="fi-FI"/>
              </w:rPr>
              <w:t>Versio</w:t>
            </w:r>
          </w:p>
        </w:tc>
        <w:tc>
          <w:tcPr>
            <w:tcW w:w="1076" w:type="dxa"/>
            <w:tcBorders>
              <w:top w:val="single" w:sz="4" w:space="0" w:color="auto"/>
            </w:tcBorders>
            <w:shd w:val="clear" w:color="auto" w:fill="D9D9D9"/>
          </w:tcPr>
          <w:p w:rsidR="009C0751" w:rsidRPr="003206E5" w:rsidRDefault="009C0751" w:rsidP="003206E5">
            <w:pPr>
              <w:spacing w:after="0" w:line="240" w:lineRule="auto"/>
              <w:rPr>
                <w:b/>
                <w:lang w:val="fi-FI"/>
              </w:rPr>
            </w:pPr>
            <w:r w:rsidRPr="003206E5">
              <w:rPr>
                <w:b/>
                <w:lang w:val="fi-FI"/>
              </w:rPr>
              <w:t>Päiväys</w:t>
            </w:r>
          </w:p>
        </w:tc>
        <w:tc>
          <w:tcPr>
            <w:tcW w:w="5709" w:type="dxa"/>
            <w:tcBorders>
              <w:top w:val="single" w:sz="4" w:space="0" w:color="auto"/>
            </w:tcBorders>
            <w:shd w:val="clear" w:color="auto" w:fill="D9D9D9"/>
          </w:tcPr>
          <w:p w:rsidR="009C0751" w:rsidRPr="003206E5" w:rsidRDefault="009C0751" w:rsidP="003206E5">
            <w:pPr>
              <w:spacing w:after="0" w:line="240" w:lineRule="auto"/>
              <w:rPr>
                <w:b/>
                <w:lang w:val="fi-FI"/>
              </w:rPr>
            </w:pPr>
            <w:r w:rsidRPr="003206E5">
              <w:rPr>
                <w:b/>
                <w:lang w:val="fi-FI"/>
              </w:rPr>
              <w:t>Kuvaus</w:t>
            </w:r>
          </w:p>
        </w:tc>
        <w:tc>
          <w:tcPr>
            <w:tcW w:w="1541" w:type="dxa"/>
            <w:tcBorders>
              <w:top w:val="single" w:sz="4" w:space="0" w:color="auto"/>
            </w:tcBorders>
            <w:shd w:val="clear" w:color="auto" w:fill="D9D9D9"/>
          </w:tcPr>
          <w:p w:rsidR="009C0751" w:rsidRPr="003206E5" w:rsidRDefault="009C0751" w:rsidP="003206E5">
            <w:pPr>
              <w:spacing w:after="0" w:line="240" w:lineRule="auto"/>
              <w:rPr>
                <w:b/>
                <w:lang w:val="fi-FI"/>
              </w:rPr>
            </w:pPr>
            <w:r w:rsidRPr="003206E5">
              <w:rPr>
                <w:b/>
                <w:lang w:val="fi-FI"/>
              </w:rPr>
              <w:t>Omistaja</w:t>
            </w:r>
          </w:p>
        </w:tc>
      </w:tr>
      <w:tr w:rsidR="009C0751" w:rsidRPr="003206E5" w:rsidTr="003206E5">
        <w:tc>
          <w:tcPr>
            <w:tcW w:w="917" w:type="dxa"/>
          </w:tcPr>
          <w:p w:rsidR="009C0751" w:rsidRPr="003206E5" w:rsidRDefault="009C0751" w:rsidP="003206E5">
            <w:pPr>
              <w:spacing w:after="0" w:line="240" w:lineRule="auto"/>
              <w:jc w:val="center"/>
              <w:rPr>
                <w:lang w:val="fi-FI"/>
              </w:rPr>
            </w:pPr>
            <w:r w:rsidRPr="003206E5">
              <w:rPr>
                <w:lang w:val="fi-FI"/>
              </w:rPr>
              <w:t>0.10</w:t>
            </w:r>
          </w:p>
          <w:p w:rsidR="009C0751" w:rsidRPr="003206E5" w:rsidRDefault="009C0751" w:rsidP="003206E5">
            <w:pPr>
              <w:spacing w:after="0" w:line="240" w:lineRule="auto"/>
              <w:jc w:val="center"/>
              <w:rPr>
                <w:lang w:val="fi-FI"/>
              </w:rPr>
            </w:pPr>
            <w:r w:rsidRPr="003206E5">
              <w:rPr>
                <w:lang w:val="fi-FI"/>
              </w:rPr>
              <w:t>0.20</w:t>
            </w:r>
          </w:p>
        </w:tc>
        <w:tc>
          <w:tcPr>
            <w:tcW w:w="1076" w:type="dxa"/>
          </w:tcPr>
          <w:p w:rsidR="009C0751" w:rsidRPr="003206E5" w:rsidRDefault="009C0751" w:rsidP="003206E5">
            <w:pPr>
              <w:spacing w:after="0" w:line="240" w:lineRule="auto"/>
              <w:rPr>
                <w:lang w:val="fi-FI"/>
              </w:rPr>
            </w:pPr>
            <w:r w:rsidRPr="003206E5">
              <w:rPr>
                <w:lang w:val="fi-FI"/>
              </w:rPr>
              <w:t>19.08.10</w:t>
            </w:r>
          </w:p>
          <w:p w:rsidR="009C0751" w:rsidRPr="003206E5" w:rsidRDefault="009C0751" w:rsidP="003206E5">
            <w:pPr>
              <w:spacing w:after="0" w:line="240" w:lineRule="auto"/>
              <w:rPr>
                <w:lang w:val="fi-FI"/>
              </w:rPr>
            </w:pPr>
            <w:r w:rsidRPr="003206E5">
              <w:rPr>
                <w:lang w:val="fi-FI"/>
              </w:rPr>
              <w:t>24.08.10</w:t>
            </w:r>
          </w:p>
        </w:tc>
        <w:tc>
          <w:tcPr>
            <w:tcW w:w="5709" w:type="dxa"/>
          </w:tcPr>
          <w:p w:rsidR="009C0751" w:rsidRPr="003206E5" w:rsidRDefault="009C0751" w:rsidP="003206E5">
            <w:pPr>
              <w:spacing w:after="0" w:line="240" w:lineRule="auto"/>
              <w:rPr>
                <w:lang w:val="fi-FI"/>
              </w:rPr>
            </w:pPr>
            <w:r w:rsidRPr="003206E5">
              <w:rPr>
                <w:lang w:val="fi-FI"/>
              </w:rPr>
              <w:t>Ehdotus keskustelun avaukseksi</w:t>
            </w:r>
          </w:p>
          <w:p w:rsidR="009C0751" w:rsidRPr="003206E5" w:rsidRDefault="009C0751" w:rsidP="003206E5">
            <w:pPr>
              <w:spacing w:after="0" w:line="240" w:lineRule="auto"/>
              <w:rPr>
                <w:lang w:val="fi-FI"/>
              </w:rPr>
            </w:pPr>
            <w:r w:rsidRPr="003206E5">
              <w:rPr>
                <w:lang w:val="fi-FI"/>
              </w:rPr>
              <w:t>Petrin lopullinen versio Jukan täydennettäväksi</w:t>
            </w:r>
          </w:p>
        </w:tc>
        <w:tc>
          <w:tcPr>
            <w:tcW w:w="1541" w:type="dxa"/>
          </w:tcPr>
          <w:p w:rsidR="009C0751" w:rsidRPr="003206E5" w:rsidRDefault="009C0751" w:rsidP="003206E5">
            <w:pPr>
              <w:spacing w:after="0" w:line="240" w:lineRule="auto"/>
            </w:pPr>
            <w:r w:rsidRPr="003206E5">
              <w:t>Petri Ulmanen</w:t>
            </w:r>
          </w:p>
          <w:p w:rsidR="009C0751" w:rsidRPr="003206E5" w:rsidRDefault="009C0751" w:rsidP="003206E5">
            <w:pPr>
              <w:spacing w:after="0" w:line="240" w:lineRule="auto"/>
            </w:pPr>
            <w:r w:rsidRPr="003206E5">
              <w:t>Petri Ulmanen</w:t>
            </w:r>
          </w:p>
        </w:tc>
      </w:tr>
      <w:tr w:rsidR="009C0751" w:rsidRPr="003206E5" w:rsidTr="003206E5">
        <w:tc>
          <w:tcPr>
            <w:tcW w:w="917" w:type="dxa"/>
          </w:tcPr>
          <w:p w:rsidR="009C0751" w:rsidRPr="003206E5" w:rsidRDefault="009C0751" w:rsidP="003206E5">
            <w:pPr>
              <w:spacing w:after="0" w:line="240" w:lineRule="auto"/>
              <w:jc w:val="center"/>
            </w:pPr>
            <w:r w:rsidRPr="003206E5">
              <w:t>1.00</w:t>
            </w:r>
          </w:p>
        </w:tc>
        <w:tc>
          <w:tcPr>
            <w:tcW w:w="1076" w:type="dxa"/>
          </w:tcPr>
          <w:p w:rsidR="009C0751" w:rsidRPr="003206E5" w:rsidRDefault="009C0751" w:rsidP="003206E5">
            <w:pPr>
              <w:spacing w:after="0" w:line="240" w:lineRule="auto"/>
            </w:pPr>
            <w:r w:rsidRPr="003206E5">
              <w:t>24.08.10</w:t>
            </w:r>
          </w:p>
        </w:tc>
        <w:tc>
          <w:tcPr>
            <w:tcW w:w="5709" w:type="dxa"/>
          </w:tcPr>
          <w:p w:rsidR="009C0751" w:rsidRPr="003206E5" w:rsidRDefault="009C0751" w:rsidP="003206E5">
            <w:pPr>
              <w:spacing w:after="0" w:line="240" w:lineRule="auto"/>
            </w:pPr>
            <w:r w:rsidRPr="003206E5">
              <w:t>Lopullinen lausunto vm:lle</w:t>
            </w:r>
          </w:p>
        </w:tc>
        <w:tc>
          <w:tcPr>
            <w:tcW w:w="1541" w:type="dxa"/>
          </w:tcPr>
          <w:p w:rsidR="009C0751" w:rsidRPr="003206E5" w:rsidRDefault="009C0751" w:rsidP="003206E5">
            <w:pPr>
              <w:spacing w:after="0" w:line="240" w:lineRule="auto"/>
            </w:pPr>
            <w:r w:rsidRPr="003206E5">
              <w:t>Jukka Jyränoja</w:t>
            </w:r>
          </w:p>
        </w:tc>
      </w:tr>
      <w:tr w:rsidR="009C0751" w:rsidRPr="003206E5" w:rsidTr="003206E5">
        <w:tc>
          <w:tcPr>
            <w:tcW w:w="917" w:type="dxa"/>
          </w:tcPr>
          <w:p w:rsidR="009C0751" w:rsidRPr="003206E5" w:rsidRDefault="009C0751" w:rsidP="003206E5">
            <w:pPr>
              <w:spacing w:after="0" w:line="240" w:lineRule="auto"/>
              <w:jc w:val="center"/>
            </w:pPr>
          </w:p>
        </w:tc>
        <w:tc>
          <w:tcPr>
            <w:tcW w:w="1076" w:type="dxa"/>
          </w:tcPr>
          <w:p w:rsidR="009C0751" w:rsidRPr="003206E5" w:rsidRDefault="009C0751" w:rsidP="003206E5">
            <w:pPr>
              <w:spacing w:after="0" w:line="240" w:lineRule="auto"/>
            </w:pPr>
          </w:p>
        </w:tc>
        <w:tc>
          <w:tcPr>
            <w:tcW w:w="5709" w:type="dxa"/>
          </w:tcPr>
          <w:p w:rsidR="009C0751" w:rsidRPr="003206E5" w:rsidRDefault="009C0751" w:rsidP="003206E5">
            <w:pPr>
              <w:spacing w:after="0" w:line="240" w:lineRule="auto"/>
            </w:pPr>
          </w:p>
        </w:tc>
        <w:tc>
          <w:tcPr>
            <w:tcW w:w="1541" w:type="dxa"/>
          </w:tcPr>
          <w:p w:rsidR="009C0751" w:rsidRPr="003206E5" w:rsidRDefault="009C0751" w:rsidP="003206E5">
            <w:pPr>
              <w:spacing w:after="0" w:line="240" w:lineRule="auto"/>
            </w:pPr>
          </w:p>
        </w:tc>
      </w:tr>
      <w:tr w:rsidR="009C0751" w:rsidRPr="003206E5" w:rsidTr="003206E5">
        <w:tc>
          <w:tcPr>
            <w:tcW w:w="917" w:type="dxa"/>
          </w:tcPr>
          <w:p w:rsidR="009C0751" w:rsidRPr="003206E5" w:rsidRDefault="009C0751" w:rsidP="003206E5">
            <w:pPr>
              <w:spacing w:after="0" w:line="240" w:lineRule="auto"/>
            </w:pPr>
          </w:p>
        </w:tc>
        <w:tc>
          <w:tcPr>
            <w:tcW w:w="1076" w:type="dxa"/>
          </w:tcPr>
          <w:p w:rsidR="009C0751" w:rsidRPr="003206E5" w:rsidRDefault="009C0751" w:rsidP="003206E5">
            <w:pPr>
              <w:spacing w:after="0" w:line="240" w:lineRule="auto"/>
            </w:pPr>
          </w:p>
        </w:tc>
        <w:tc>
          <w:tcPr>
            <w:tcW w:w="5709" w:type="dxa"/>
          </w:tcPr>
          <w:p w:rsidR="009C0751" w:rsidRPr="003206E5" w:rsidRDefault="009C0751" w:rsidP="003206E5">
            <w:pPr>
              <w:spacing w:after="0" w:line="240" w:lineRule="auto"/>
            </w:pPr>
          </w:p>
        </w:tc>
        <w:tc>
          <w:tcPr>
            <w:tcW w:w="1541" w:type="dxa"/>
          </w:tcPr>
          <w:p w:rsidR="009C0751" w:rsidRPr="003206E5" w:rsidRDefault="009C0751" w:rsidP="003206E5">
            <w:pPr>
              <w:spacing w:after="0" w:line="240" w:lineRule="auto"/>
            </w:pPr>
          </w:p>
        </w:tc>
      </w:tr>
    </w:tbl>
    <w:p w:rsidR="009C0751" w:rsidRDefault="009C0751"/>
    <w:p w:rsidR="009C0751" w:rsidRPr="00BF643E" w:rsidRDefault="009C0751">
      <w:pPr>
        <w:sectPr w:rsidR="009C0751" w:rsidRPr="00BF643E" w:rsidSect="00F26346">
          <w:headerReference w:type="default" r:id="rId7"/>
          <w:pgSz w:w="11907" w:h="16839" w:code="9"/>
          <w:pgMar w:top="1440" w:right="1440" w:bottom="1440" w:left="1440" w:header="708" w:footer="708" w:gutter="0"/>
          <w:cols w:space="708"/>
          <w:docGrid w:linePitch="360"/>
        </w:sectPr>
      </w:pPr>
    </w:p>
    <w:p w:rsidR="009C0751" w:rsidRDefault="009C0751"/>
    <w:p w:rsidR="009C0751" w:rsidRPr="00544CE8" w:rsidRDefault="009C0751" w:rsidP="0020794B">
      <w:pPr>
        <w:pStyle w:val="Heading1"/>
        <w:rPr>
          <w:lang w:val="fi-FI"/>
        </w:rPr>
      </w:pPr>
      <w:bookmarkStart w:id="0" w:name="_Toc270372012"/>
      <w:r w:rsidRPr="00544CE8">
        <w:rPr>
          <w:lang w:val="fi-FI"/>
        </w:rPr>
        <w:t>Johdanto</w:t>
      </w:r>
      <w:bookmarkEnd w:id="0"/>
    </w:p>
    <w:p w:rsidR="009C0751" w:rsidRDefault="009C0751" w:rsidP="00396762">
      <w:pPr>
        <w:rPr>
          <w:lang w:val="fi-FI"/>
        </w:rPr>
      </w:pPr>
      <w:r w:rsidRPr="00D0788C">
        <w:rPr>
          <w:lang w:val="fi-FI"/>
        </w:rPr>
        <w:t xml:space="preserve">Tämä dokumentti sisältää VMware:n kommentit </w:t>
      </w:r>
      <w:r>
        <w:rPr>
          <w:lang w:val="fi-FI"/>
        </w:rPr>
        <w:t>dokumenttiin ”08.06.2010, Valtionhallinnon yhteisen työasemaratkaisun ja käyttäjätuen esiselvitys, Raportti versio 0.99”.</w:t>
      </w:r>
    </w:p>
    <w:p w:rsidR="009C0751" w:rsidRDefault="009C0751" w:rsidP="00396762">
      <w:pPr>
        <w:rPr>
          <w:lang w:val="fi-FI"/>
        </w:rPr>
      </w:pPr>
      <w:r>
        <w:rPr>
          <w:lang w:val="fi-FI"/>
        </w:rPr>
        <w:t>Olemme rajoittaneet kommenttimme niihin osuuksiin raportissa, jotka liittyvät tai olennaisesti sivuavat VMware:n edustamia tuotteita ja teknologioita.</w:t>
      </w:r>
    </w:p>
    <w:p w:rsidR="009C0751" w:rsidRDefault="009C0751" w:rsidP="00396762">
      <w:pPr>
        <w:rPr>
          <w:lang w:val="fi-FI"/>
        </w:rPr>
      </w:pPr>
      <w:r>
        <w:rPr>
          <w:lang w:val="fi-FI"/>
        </w:rPr>
        <w:t>Kommenttien otsikoinnissa ja numeroinnissa olemme seuranneet kommentoitavan raportin otsikkorakennetta ja -numeroita lukemisen helpottamiseksi.</w:t>
      </w:r>
    </w:p>
    <w:p w:rsidR="009C0751" w:rsidRDefault="009C0751" w:rsidP="00396762">
      <w:pPr>
        <w:rPr>
          <w:lang w:val="fi-FI"/>
        </w:rPr>
      </w:pPr>
      <w:r>
        <w:rPr>
          <w:lang w:val="fi-FI"/>
        </w:rPr>
        <w:t>Tulemme erittäin mielellämme vierailemaan ja keskustelemaan kommenteistamme, mikäli katsotte sen olevan hyödyllistä teille.</w:t>
      </w:r>
    </w:p>
    <w:p w:rsidR="009C0751" w:rsidRDefault="009C0751" w:rsidP="00396762">
      <w:pPr>
        <w:rPr>
          <w:lang w:val="fi-FI"/>
        </w:rPr>
      </w:pPr>
      <w:r>
        <w:rPr>
          <w:lang w:val="fi-FI"/>
        </w:rPr>
        <w:t>Lisätietoja antavat hallinnollisissa ja kaupallisissa asioissa:</w:t>
      </w:r>
    </w:p>
    <w:p w:rsidR="009C0751" w:rsidRDefault="009C0751" w:rsidP="00396762">
      <w:r w:rsidRPr="00D0788C">
        <w:t>Jukka Jyränoja, Country Manager, Finland</w:t>
      </w:r>
      <w:r w:rsidRPr="00D0788C">
        <w:br/>
      </w:r>
      <w:r>
        <w:t xml:space="preserve">040 5801221, </w:t>
      </w:r>
      <w:hyperlink r:id="rId8" w:history="1">
        <w:r w:rsidRPr="00B82F38">
          <w:rPr>
            <w:rStyle w:val="Hyperlink"/>
          </w:rPr>
          <w:t>jjyranoja@vmware.com</w:t>
        </w:r>
      </w:hyperlink>
    </w:p>
    <w:p w:rsidR="009C0751" w:rsidRPr="009D7ACA" w:rsidRDefault="009C0751" w:rsidP="00396762">
      <w:pPr>
        <w:rPr>
          <w:lang w:val="fi-FI"/>
        </w:rPr>
      </w:pPr>
      <w:r w:rsidRPr="009D7ACA">
        <w:rPr>
          <w:lang w:val="fi-FI"/>
        </w:rPr>
        <w:t>Pasi Haataja, Territory Manager</w:t>
      </w:r>
      <w:r w:rsidRPr="009D7ACA">
        <w:rPr>
          <w:lang w:val="fi-FI"/>
        </w:rPr>
        <w:br/>
        <w:t xml:space="preserve">040 3568074, </w:t>
      </w:r>
      <w:hyperlink r:id="rId9" w:history="1">
        <w:r w:rsidRPr="009D7ACA">
          <w:rPr>
            <w:rStyle w:val="Hyperlink"/>
            <w:lang w:val="fi-FI"/>
          </w:rPr>
          <w:t>phaataja@vmware.com</w:t>
        </w:r>
      </w:hyperlink>
    </w:p>
    <w:p w:rsidR="009C0751" w:rsidRPr="009D7ACA" w:rsidRDefault="009C0751" w:rsidP="00396762">
      <w:pPr>
        <w:rPr>
          <w:lang w:val="fi-FI"/>
        </w:rPr>
      </w:pPr>
      <w:r w:rsidRPr="009D7ACA">
        <w:rPr>
          <w:lang w:val="fi-FI"/>
        </w:rPr>
        <w:t>sekä tekn</w:t>
      </w:r>
      <w:r>
        <w:rPr>
          <w:lang w:val="fi-FI"/>
        </w:rPr>
        <w:t>ologioihin liittyvissä</w:t>
      </w:r>
      <w:r w:rsidRPr="009D7ACA">
        <w:rPr>
          <w:lang w:val="fi-FI"/>
        </w:rPr>
        <w:t xml:space="preserve"> asioissa:</w:t>
      </w:r>
    </w:p>
    <w:p w:rsidR="009C0751" w:rsidRDefault="009C0751" w:rsidP="00396762">
      <w:pPr>
        <w:rPr>
          <w:lang w:val="fi-FI"/>
        </w:rPr>
      </w:pPr>
      <w:r>
        <w:rPr>
          <w:lang w:val="fi-FI"/>
        </w:rPr>
        <w:t>Petri Ulmanen, Sr. Systems Engineer</w:t>
      </w:r>
      <w:r>
        <w:rPr>
          <w:lang w:val="fi-FI"/>
        </w:rPr>
        <w:br/>
        <w:t xml:space="preserve">0400 384633, </w:t>
      </w:r>
      <w:hyperlink r:id="rId10" w:history="1">
        <w:r w:rsidRPr="00B82F38">
          <w:rPr>
            <w:rStyle w:val="Hyperlink"/>
            <w:lang w:val="fi-FI"/>
          </w:rPr>
          <w:t>pulmanen@vmware.com</w:t>
        </w:r>
      </w:hyperlink>
    </w:p>
    <w:p w:rsidR="009C0751" w:rsidRDefault="009C0751">
      <w:pPr>
        <w:rPr>
          <w:lang w:val="fi-FI"/>
        </w:rPr>
      </w:pPr>
      <w:r>
        <w:rPr>
          <w:lang w:val="fi-FI"/>
        </w:rPr>
        <w:br w:type="page"/>
      </w:r>
    </w:p>
    <w:p w:rsidR="009C0751" w:rsidRPr="009D7ACA" w:rsidRDefault="009C0751" w:rsidP="00396762">
      <w:pPr>
        <w:rPr>
          <w:lang w:val="fi-FI"/>
        </w:rPr>
      </w:pPr>
    </w:p>
    <w:p w:rsidR="009C0751" w:rsidRDefault="009C0751" w:rsidP="00396762">
      <w:pPr>
        <w:pStyle w:val="TOCHeading"/>
      </w:pPr>
      <w:r>
        <w:t>Sisältö</w:t>
      </w:r>
    </w:p>
    <w:p w:rsidR="009C0751" w:rsidRDefault="009C0751">
      <w:pPr>
        <w:pStyle w:val="TOC1"/>
        <w:tabs>
          <w:tab w:val="right" w:leader="dot" w:pos="9017"/>
        </w:tabs>
        <w:rPr>
          <w:noProof/>
        </w:rPr>
      </w:pPr>
      <w:r>
        <w:fldChar w:fldCharType="begin"/>
      </w:r>
      <w:r>
        <w:instrText xml:space="preserve"> TOC \o "1-3" \h \z \u </w:instrText>
      </w:r>
      <w:r>
        <w:fldChar w:fldCharType="separate"/>
      </w:r>
      <w:hyperlink w:anchor="_Toc270372012" w:history="1">
        <w:r w:rsidRPr="00D86ECD">
          <w:rPr>
            <w:rStyle w:val="Hyperlink"/>
            <w:noProof/>
          </w:rPr>
          <w:t>Johdanto</w:t>
        </w:r>
        <w:r>
          <w:rPr>
            <w:noProof/>
            <w:webHidden/>
          </w:rPr>
          <w:tab/>
        </w:r>
        <w:r>
          <w:rPr>
            <w:noProof/>
            <w:webHidden/>
          </w:rPr>
          <w:fldChar w:fldCharType="begin"/>
        </w:r>
        <w:r>
          <w:rPr>
            <w:noProof/>
            <w:webHidden/>
          </w:rPr>
          <w:instrText xml:space="preserve"> PAGEREF _Toc270372012 \h </w:instrText>
        </w:r>
        <w:r>
          <w:rPr>
            <w:noProof/>
          </w:rPr>
        </w:r>
        <w:r>
          <w:rPr>
            <w:noProof/>
            <w:webHidden/>
          </w:rPr>
          <w:fldChar w:fldCharType="separate"/>
        </w:r>
        <w:r>
          <w:rPr>
            <w:noProof/>
            <w:webHidden/>
          </w:rPr>
          <w:t>2</w:t>
        </w:r>
        <w:r>
          <w:rPr>
            <w:noProof/>
            <w:webHidden/>
          </w:rPr>
          <w:fldChar w:fldCharType="end"/>
        </w:r>
      </w:hyperlink>
    </w:p>
    <w:p w:rsidR="009C0751" w:rsidRDefault="009C0751">
      <w:pPr>
        <w:pStyle w:val="TOC1"/>
        <w:tabs>
          <w:tab w:val="right" w:leader="dot" w:pos="9017"/>
        </w:tabs>
        <w:rPr>
          <w:noProof/>
        </w:rPr>
      </w:pPr>
      <w:hyperlink w:anchor="_Toc270372013" w:history="1">
        <w:r w:rsidRPr="00D86ECD">
          <w:rPr>
            <w:rStyle w:val="Hyperlink"/>
            <w:noProof/>
            <w:lang w:val="fi-FI"/>
          </w:rPr>
          <w:t>2. Tiivistelmä</w:t>
        </w:r>
        <w:r>
          <w:rPr>
            <w:noProof/>
            <w:webHidden/>
          </w:rPr>
          <w:tab/>
        </w:r>
        <w:r>
          <w:rPr>
            <w:noProof/>
            <w:webHidden/>
          </w:rPr>
          <w:fldChar w:fldCharType="begin"/>
        </w:r>
        <w:r>
          <w:rPr>
            <w:noProof/>
            <w:webHidden/>
          </w:rPr>
          <w:instrText xml:space="preserve"> PAGEREF _Toc270372013 \h </w:instrText>
        </w:r>
        <w:r>
          <w:rPr>
            <w:noProof/>
          </w:rPr>
        </w:r>
        <w:r>
          <w:rPr>
            <w:noProof/>
            <w:webHidden/>
          </w:rPr>
          <w:fldChar w:fldCharType="separate"/>
        </w:r>
        <w:r>
          <w:rPr>
            <w:noProof/>
            <w:webHidden/>
          </w:rPr>
          <w:t>4</w:t>
        </w:r>
        <w:r>
          <w:rPr>
            <w:noProof/>
            <w:webHidden/>
          </w:rPr>
          <w:fldChar w:fldCharType="end"/>
        </w:r>
      </w:hyperlink>
    </w:p>
    <w:p w:rsidR="009C0751" w:rsidRDefault="009C0751">
      <w:pPr>
        <w:pStyle w:val="TOC2"/>
        <w:tabs>
          <w:tab w:val="right" w:leader="dot" w:pos="9017"/>
        </w:tabs>
        <w:rPr>
          <w:noProof/>
        </w:rPr>
      </w:pPr>
      <w:hyperlink w:anchor="_Toc270372014" w:history="1">
        <w:r w:rsidRPr="00D86ECD">
          <w:rPr>
            <w:rStyle w:val="Hyperlink"/>
            <w:noProof/>
            <w:lang w:val="fi-FI"/>
          </w:rPr>
          <w:t>Sivu 7, kappale 4: “Työasemaratkaisun teknologianäkökulmassa….”</w:t>
        </w:r>
        <w:r>
          <w:rPr>
            <w:noProof/>
            <w:webHidden/>
          </w:rPr>
          <w:tab/>
        </w:r>
        <w:r>
          <w:rPr>
            <w:noProof/>
            <w:webHidden/>
          </w:rPr>
          <w:fldChar w:fldCharType="begin"/>
        </w:r>
        <w:r>
          <w:rPr>
            <w:noProof/>
            <w:webHidden/>
          </w:rPr>
          <w:instrText xml:space="preserve"> PAGEREF _Toc270372014 \h </w:instrText>
        </w:r>
        <w:r>
          <w:rPr>
            <w:noProof/>
          </w:rPr>
        </w:r>
        <w:r>
          <w:rPr>
            <w:noProof/>
            <w:webHidden/>
          </w:rPr>
          <w:fldChar w:fldCharType="separate"/>
        </w:r>
        <w:r>
          <w:rPr>
            <w:noProof/>
            <w:webHidden/>
          </w:rPr>
          <w:t>4</w:t>
        </w:r>
        <w:r>
          <w:rPr>
            <w:noProof/>
            <w:webHidden/>
          </w:rPr>
          <w:fldChar w:fldCharType="end"/>
        </w:r>
      </w:hyperlink>
    </w:p>
    <w:p w:rsidR="009C0751" w:rsidRDefault="009C0751">
      <w:pPr>
        <w:pStyle w:val="TOC2"/>
        <w:tabs>
          <w:tab w:val="right" w:leader="dot" w:pos="9017"/>
        </w:tabs>
        <w:rPr>
          <w:noProof/>
        </w:rPr>
      </w:pPr>
      <w:hyperlink w:anchor="_Toc270372015" w:history="1">
        <w:r w:rsidRPr="00D86ECD">
          <w:rPr>
            <w:rStyle w:val="Hyperlink"/>
            <w:noProof/>
            <w:lang w:val="fi-FI"/>
          </w:rPr>
          <w:t>Sivu 7, kappale 8: ”Säästöpotentiaali...”</w:t>
        </w:r>
        <w:r>
          <w:rPr>
            <w:noProof/>
            <w:webHidden/>
          </w:rPr>
          <w:tab/>
        </w:r>
        <w:r>
          <w:rPr>
            <w:noProof/>
            <w:webHidden/>
          </w:rPr>
          <w:fldChar w:fldCharType="begin"/>
        </w:r>
        <w:r>
          <w:rPr>
            <w:noProof/>
            <w:webHidden/>
          </w:rPr>
          <w:instrText xml:space="preserve"> PAGEREF _Toc270372015 \h </w:instrText>
        </w:r>
        <w:r>
          <w:rPr>
            <w:noProof/>
          </w:rPr>
        </w:r>
        <w:r>
          <w:rPr>
            <w:noProof/>
            <w:webHidden/>
          </w:rPr>
          <w:fldChar w:fldCharType="separate"/>
        </w:r>
        <w:r>
          <w:rPr>
            <w:noProof/>
            <w:webHidden/>
          </w:rPr>
          <w:t>4</w:t>
        </w:r>
        <w:r>
          <w:rPr>
            <w:noProof/>
            <w:webHidden/>
          </w:rPr>
          <w:fldChar w:fldCharType="end"/>
        </w:r>
      </w:hyperlink>
    </w:p>
    <w:p w:rsidR="009C0751" w:rsidRDefault="009C0751">
      <w:pPr>
        <w:pStyle w:val="TOC2"/>
        <w:tabs>
          <w:tab w:val="right" w:leader="dot" w:pos="9017"/>
        </w:tabs>
        <w:rPr>
          <w:noProof/>
        </w:rPr>
      </w:pPr>
      <w:hyperlink w:anchor="_Toc270372016" w:history="1">
        <w:r w:rsidRPr="00D86ECD">
          <w:rPr>
            <w:rStyle w:val="Hyperlink"/>
            <w:noProof/>
            <w:lang w:val="fi-FI"/>
          </w:rPr>
          <w:t>Sivu 8, kappale 1: ”Esitutkimuksen johtopäätöksenä esitetään...”</w:t>
        </w:r>
        <w:r>
          <w:rPr>
            <w:noProof/>
            <w:webHidden/>
          </w:rPr>
          <w:tab/>
        </w:r>
        <w:r>
          <w:rPr>
            <w:noProof/>
            <w:webHidden/>
          </w:rPr>
          <w:fldChar w:fldCharType="begin"/>
        </w:r>
        <w:r>
          <w:rPr>
            <w:noProof/>
            <w:webHidden/>
          </w:rPr>
          <w:instrText xml:space="preserve"> PAGEREF _Toc270372016 \h </w:instrText>
        </w:r>
        <w:r>
          <w:rPr>
            <w:noProof/>
          </w:rPr>
        </w:r>
        <w:r>
          <w:rPr>
            <w:noProof/>
            <w:webHidden/>
          </w:rPr>
          <w:fldChar w:fldCharType="separate"/>
        </w:r>
        <w:r>
          <w:rPr>
            <w:noProof/>
            <w:webHidden/>
          </w:rPr>
          <w:t>4</w:t>
        </w:r>
        <w:r>
          <w:rPr>
            <w:noProof/>
            <w:webHidden/>
          </w:rPr>
          <w:fldChar w:fldCharType="end"/>
        </w:r>
      </w:hyperlink>
    </w:p>
    <w:p w:rsidR="009C0751" w:rsidRDefault="009C0751">
      <w:pPr>
        <w:pStyle w:val="TOC1"/>
        <w:tabs>
          <w:tab w:val="right" w:leader="dot" w:pos="9017"/>
        </w:tabs>
        <w:rPr>
          <w:noProof/>
        </w:rPr>
      </w:pPr>
      <w:hyperlink w:anchor="_Toc270372017" w:history="1">
        <w:r w:rsidRPr="00D86ECD">
          <w:rPr>
            <w:rStyle w:val="Hyperlink"/>
            <w:noProof/>
            <w:lang w:val="fi-FI"/>
          </w:rPr>
          <w:t>5. Lähtötilanne</w:t>
        </w:r>
        <w:r>
          <w:rPr>
            <w:noProof/>
            <w:webHidden/>
          </w:rPr>
          <w:tab/>
        </w:r>
        <w:r>
          <w:rPr>
            <w:noProof/>
            <w:webHidden/>
          </w:rPr>
          <w:fldChar w:fldCharType="begin"/>
        </w:r>
        <w:r>
          <w:rPr>
            <w:noProof/>
            <w:webHidden/>
          </w:rPr>
          <w:instrText xml:space="preserve"> PAGEREF _Toc270372017 \h </w:instrText>
        </w:r>
        <w:r>
          <w:rPr>
            <w:noProof/>
          </w:rPr>
        </w:r>
        <w:r>
          <w:rPr>
            <w:noProof/>
            <w:webHidden/>
          </w:rPr>
          <w:fldChar w:fldCharType="separate"/>
        </w:r>
        <w:r>
          <w:rPr>
            <w:noProof/>
            <w:webHidden/>
          </w:rPr>
          <w:t>5</w:t>
        </w:r>
        <w:r>
          <w:rPr>
            <w:noProof/>
            <w:webHidden/>
          </w:rPr>
          <w:fldChar w:fldCharType="end"/>
        </w:r>
      </w:hyperlink>
    </w:p>
    <w:p w:rsidR="009C0751" w:rsidRDefault="009C0751">
      <w:pPr>
        <w:pStyle w:val="TOC2"/>
        <w:tabs>
          <w:tab w:val="right" w:leader="dot" w:pos="9017"/>
        </w:tabs>
        <w:rPr>
          <w:noProof/>
        </w:rPr>
      </w:pPr>
      <w:hyperlink w:anchor="_Toc270372018" w:history="1">
        <w:r w:rsidRPr="00D86ECD">
          <w:rPr>
            <w:rStyle w:val="Hyperlink"/>
            <w:noProof/>
            <w:lang w:val="fi-FI"/>
          </w:rPr>
          <w:t>Sivu 16, kappale 3: ”Virastoissa ja laitoksissa on...”</w:t>
        </w:r>
        <w:r>
          <w:rPr>
            <w:noProof/>
            <w:webHidden/>
          </w:rPr>
          <w:tab/>
        </w:r>
        <w:r>
          <w:rPr>
            <w:noProof/>
            <w:webHidden/>
          </w:rPr>
          <w:fldChar w:fldCharType="begin"/>
        </w:r>
        <w:r>
          <w:rPr>
            <w:noProof/>
            <w:webHidden/>
          </w:rPr>
          <w:instrText xml:space="preserve"> PAGEREF _Toc270372018 \h </w:instrText>
        </w:r>
        <w:r>
          <w:rPr>
            <w:noProof/>
          </w:rPr>
        </w:r>
        <w:r>
          <w:rPr>
            <w:noProof/>
            <w:webHidden/>
          </w:rPr>
          <w:fldChar w:fldCharType="separate"/>
        </w:r>
        <w:r>
          <w:rPr>
            <w:noProof/>
            <w:webHidden/>
          </w:rPr>
          <w:t>5</w:t>
        </w:r>
        <w:r>
          <w:rPr>
            <w:noProof/>
            <w:webHidden/>
          </w:rPr>
          <w:fldChar w:fldCharType="end"/>
        </w:r>
      </w:hyperlink>
    </w:p>
    <w:p w:rsidR="009C0751" w:rsidRDefault="009C0751">
      <w:pPr>
        <w:pStyle w:val="TOC1"/>
        <w:tabs>
          <w:tab w:val="right" w:leader="dot" w:pos="9017"/>
        </w:tabs>
        <w:rPr>
          <w:noProof/>
        </w:rPr>
      </w:pPr>
      <w:hyperlink w:anchor="_Toc270372019" w:history="1">
        <w:r w:rsidRPr="00D86ECD">
          <w:rPr>
            <w:rStyle w:val="Hyperlink"/>
            <w:noProof/>
            <w:lang w:val="fi-FI"/>
          </w:rPr>
          <w:t>6. Lähtötilanteen palvelutarve</w:t>
        </w:r>
        <w:r>
          <w:rPr>
            <w:noProof/>
            <w:webHidden/>
          </w:rPr>
          <w:tab/>
        </w:r>
        <w:r>
          <w:rPr>
            <w:noProof/>
            <w:webHidden/>
          </w:rPr>
          <w:fldChar w:fldCharType="begin"/>
        </w:r>
        <w:r>
          <w:rPr>
            <w:noProof/>
            <w:webHidden/>
          </w:rPr>
          <w:instrText xml:space="preserve"> PAGEREF _Toc270372019 \h </w:instrText>
        </w:r>
        <w:r>
          <w:rPr>
            <w:noProof/>
          </w:rPr>
        </w:r>
        <w:r>
          <w:rPr>
            <w:noProof/>
            <w:webHidden/>
          </w:rPr>
          <w:fldChar w:fldCharType="separate"/>
        </w:r>
        <w:r>
          <w:rPr>
            <w:noProof/>
            <w:webHidden/>
          </w:rPr>
          <w:t>5</w:t>
        </w:r>
        <w:r>
          <w:rPr>
            <w:noProof/>
            <w:webHidden/>
          </w:rPr>
          <w:fldChar w:fldCharType="end"/>
        </w:r>
      </w:hyperlink>
    </w:p>
    <w:p w:rsidR="009C0751" w:rsidRDefault="009C0751">
      <w:pPr>
        <w:pStyle w:val="TOC2"/>
        <w:tabs>
          <w:tab w:val="right" w:leader="dot" w:pos="9017"/>
        </w:tabs>
        <w:rPr>
          <w:noProof/>
        </w:rPr>
      </w:pPr>
      <w:hyperlink w:anchor="_Toc270372020" w:history="1">
        <w:r w:rsidRPr="00D86ECD">
          <w:rPr>
            <w:rStyle w:val="Hyperlink"/>
            <w:noProof/>
            <w:lang w:val="fi-FI"/>
          </w:rPr>
          <w:t>6.2 Tarpeet</w:t>
        </w:r>
        <w:r>
          <w:rPr>
            <w:noProof/>
            <w:webHidden/>
          </w:rPr>
          <w:tab/>
        </w:r>
        <w:r>
          <w:rPr>
            <w:noProof/>
            <w:webHidden/>
          </w:rPr>
          <w:fldChar w:fldCharType="begin"/>
        </w:r>
        <w:r>
          <w:rPr>
            <w:noProof/>
            <w:webHidden/>
          </w:rPr>
          <w:instrText xml:space="preserve"> PAGEREF _Toc270372020 \h </w:instrText>
        </w:r>
        <w:r>
          <w:rPr>
            <w:noProof/>
          </w:rPr>
        </w:r>
        <w:r>
          <w:rPr>
            <w:noProof/>
            <w:webHidden/>
          </w:rPr>
          <w:fldChar w:fldCharType="separate"/>
        </w:r>
        <w:r>
          <w:rPr>
            <w:noProof/>
            <w:webHidden/>
          </w:rPr>
          <w:t>5</w:t>
        </w:r>
        <w:r>
          <w:rPr>
            <w:noProof/>
            <w:webHidden/>
          </w:rPr>
          <w:fldChar w:fldCharType="end"/>
        </w:r>
      </w:hyperlink>
    </w:p>
    <w:p w:rsidR="009C0751" w:rsidRDefault="009C0751">
      <w:pPr>
        <w:pStyle w:val="TOC1"/>
        <w:tabs>
          <w:tab w:val="right" w:leader="dot" w:pos="9017"/>
        </w:tabs>
        <w:rPr>
          <w:noProof/>
        </w:rPr>
      </w:pPr>
      <w:hyperlink w:anchor="_Toc270372021" w:history="1">
        <w:r w:rsidRPr="00D86ECD">
          <w:rPr>
            <w:rStyle w:val="Hyperlink"/>
            <w:noProof/>
            <w:lang w:val="fi-FI"/>
          </w:rPr>
          <w:t>7. Työasemapalveluiden tulevaisuudennäkymät</w:t>
        </w:r>
        <w:r>
          <w:rPr>
            <w:noProof/>
            <w:webHidden/>
          </w:rPr>
          <w:tab/>
        </w:r>
        <w:r>
          <w:rPr>
            <w:noProof/>
            <w:webHidden/>
          </w:rPr>
          <w:fldChar w:fldCharType="begin"/>
        </w:r>
        <w:r>
          <w:rPr>
            <w:noProof/>
            <w:webHidden/>
          </w:rPr>
          <w:instrText xml:space="preserve"> PAGEREF _Toc270372021 \h </w:instrText>
        </w:r>
        <w:r>
          <w:rPr>
            <w:noProof/>
          </w:rPr>
        </w:r>
        <w:r>
          <w:rPr>
            <w:noProof/>
            <w:webHidden/>
          </w:rPr>
          <w:fldChar w:fldCharType="separate"/>
        </w:r>
        <w:r>
          <w:rPr>
            <w:noProof/>
            <w:webHidden/>
          </w:rPr>
          <w:t>6</w:t>
        </w:r>
        <w:r>
          <w:rPr>
            <w:noProof/>
            <w:webHidden/>
          </w:rPr>
          <w:fldChar w:fldCharType="end"/>
        </w:r>
      </w:hyperlink>
    </w:p>
    <w:p w:rsidR="009C0751" w:rsidRDefault="009C0751">
      <w:pPr>
        <w:pStyle w:val="TOC2"/>
        <w:tabs>
          <w:tab w:val="right" w:leader="dot" w:pos="9017"/>
        </w:tabs>
        <w:rPr>
          <w:noProof/>
        </w:rPr>
      </w:pPr>
      <w:hyperlink w:anchor="_Toc270372022" w:history="1">
        <w:r w:rsidRPr="00D86ECD">
          <w:rPr>
            <w:rStyle w:val="Hyperlink"/>
            <w:noProof/>
            <w:lang w:val="fi-FI"/>
          </w:rPr>
          <w:t>Sivu 24, kappale 4: ”Virtualisointi tulee muuttamaan merkittävästi...”</w:t>
        </w:r>
        <w:r>
          <w:rPr>
            <w:noProof/>
            <w:webHidden/>
          </w:rPr>
          <w:tab/>
        </w:r>
        <w:r>
          <w:rPr>
            <w:noProof/>
            <w:webHidden/>
          </w:rPr>
          <w:fldChar w:fldCharType="begin"/>
        </w:r>
        <w:r>
          <w:rPr>
            <w:noProof/>
            <w:webHidden/>
          </w:rPr>
          <w:instrText xml:space="preserve"> PAGEREF _Toc270372022 \h </w:instrText>
        </w:r>
        <w:r>
          <w:rPr>
            <w:noProof/>
          </w:rPr>
        </w:r>
        <w:r>
          <w:rPr>
            <w:noProof/>
            <w:webHidden/>
          </w:rPr>
          <w:fldChar w:fldCharType="separate"/>
        </w:r>
        <w:r>
          <w:rPr>
            <w:noProof/>
            <w:webHidden/>
          </w:rPr>
          <w:t>6</w:t>
        </w:r>
        <w:r>
          <w:rPr>
            <w:noProof/>
            <w:webHidden/>
          </w:rPr>
          <w:fldChar w:fldCharType="end"/>
        </w:r>
      </w:hyperlink>
    </w:p>
    <w:p w:rsidR="009C0751" w:rsidRDefault="009C0751">
      <w:pPr>
        <w:pStyle w:val="TOC2"/>
        <w:tabs>
          <w:tab w:val="right" w:leader="dot" w:pos="9017"/>
        </w:tabs>
        <w:rPr>
          <w:noProof/>
        </w:rPr>
      </w:pPr>
      <w:hyperlink w:anchor="_Toc270372023" w:history="1">
        <w:r w:rsidRPr="00D86ECD">
          <w:rPr>
            <w:rStyle w:val="Hyperlink"/>
            <w:noProof/>
            <w:lang w:val="fi-FI"/>
          </w:rPr>
          <w:t>Sivut 28, 29 ja 30</w:t>
        </w:r>
        <w:r>
          <w:rPr>
            <w:noProof/>
            <w:webHidden/>
          </w:rPr>
          <w:tab/>
        </w:r>
        <w:r>
          <w:rPr>
            <w:noProof/>
            <w:webHidden/>
          </w:rPr>
          <w:fldChar w:fldCharType="begin"/>
        </w:r>
        <w:r>
          <w:rPr>
            <w:noProof/>
            <w:webHidden/>
          </w:rPr>
          <w:instrText xml:space="preserve"> PAGEREF _Toc270372023 \h </w:instrText>
        </w:r>
        <w:r>
          <w:rPr>
            <w:noProof/>
          </w:rPr>
        </w:r>
        <w:r>
          <w:rPr>
            <w:noProof/>
            <w:webHidden/>
          </w:rPr>
          <w:fldChar w:fldCharType="separate"/>
        </w:r>
        <w:r>
          <w:rPr>
            <w:noProof/>
            <w:webHidden/>
          </w:rPr>
          <w:t>8</w:t>
        </w:r>
        <w:r>
          <w:rPr>
            <w:noProof/>
            <w:webHidden/>
          </w:rPr>
          <w:fldChar w:fldCharType="end"/>
        </w:r>
      </w:hyperlink>
    </w:p>
    <w:p w:rsidR="009C0751" w:rsidRDefault="009C0751">
      <w:pPr>
        <w:pStyle w:val="TOC2"/>
        <w:tabs>
          <w:tab w:val="right" w:leader="dot" w:pos="9017"/>
        </w:tabs>
        <w:rPr>
          <w:noProof/>
        </w:rPr>
      </w:pPr>
      <w:hyperlink w:anchor="_Toc270372024" w:history="1">
        <w:r w:rsidRPr="00D86ECD">
          <w:rPr>
            <w:rStyle w:val="Hyperlink"/>
            <w:noProof/>
            <w:lang w:val="fi-FI"/>
          </w:rPr>
          <w:t>Sivu 31, kappale 4: ”Virtualisoiduntyöasemapalvelun keskeisimmät haasteet...”</w:t>
        </w:r>
        <w:r>
          <w:rPr>
            <w:noProof/>
            <w:webHidden/>
          </w:rPr>
          <w:tab/>
        </w:r>
        <w:r>
          <w:rPr>
            <w:noProof/>
            <w:webHidden/>
          </w:rPr>
          <w:fldChar w:fldCharType="begin"/>
        </w:r>
        <w:r>
          <w:rPr>
            <w:noProof/>
            <w:webHidden/>
          </w:rPr>
          <w:instrText xml:space="preserve"> PAGEREF _Toc270372024 \h </w:instrText>
        </w:r>
        <w:r>
          <w:rPr>
            <w:noProof/>
          </w:rPr>
        </w:r>
        <w:r>
          <w:rPr>
            <w:noProof/>
            <w:webHidden/>
          </w:rPr>
          <w:fldChar w:fldCharType="separate"/>
        </w:r>
        <w:r>
          <w:rPr>
            <w:noProof/>
            <w:webHidden/>
          </w:rPr>
          <w:t>9</w:t>
        </w:r>
        <w:r>
          <w:rPr>
            <w:noProof/>
            <w:webHidden/>
          </w:rPr>
          <w:fldChar w:fldCharType="end"/>
        </w:r>
      </w:hyperlink>
    </w:p>
    <w:p w:rsidR="009C0751" w:rsidRDefault="009C0751">
      <w:pPr>
        <w:pStyle w:val="TOC1"/>
        <w:tabs>
          <w:tab w:val="right" w:leader="dot" w:pos="9017"/>
        </w:tabs>
        <w:rPr>
          <w:noProof/>
        </w:rPr>
      </w:pPr>
      <w:hyperlink w:anchor="_Toc270372025" w:history="1">
        <w:r w:rsidRPr="00D86ECD">
          <w:rPr>
            <w:rStyle w:val="Hyperlink"/>
            <w:noProof/>
            <w:lang w:val="fi-FI"/>
          </w:rPr>
          <w:t>11. Tietoturvallisuus</w:t>
        </w:r>
        <w:r>
          <w:rPr>
            <w:noProof/>
            <w:webHidden/>
          </w:rPr>
          <w:tab/>
        </w:r>
        <w:r>
          <w:rPr>
            <w:noProof/>
            <w:webHidden/>
          </w:rPr>
          <w:fldChar w:fldCharType="begin"/>
        </w:r>
        <w:r>
          <w:rPr>
            <w:noProof/>
            <w:webHidden/>
          </w:rPr>
          <w:instrText xml:space="preserve"> PAGEREF _Toc270372025 \h </w:instrText>
        </w:r>
        <w:r>
          <w:rPr>
            <w:noProof/>
          </w:rPr>
        </w:r>
        <w:r>
          <w:rPr>
            <w:noProof/>
            <w:webHidden/>
          </w:rPr>
          <w:fldChar w:fldCharType="separate"/>
        </w:r>
        <w:r>
          <w:rPr>
            <w:noProof/>
            <w:webHidden/>
          </w:rPr>
          <w:t>9</w:t>
        </w:r>
        <w:r>
          <w:rPr>
            <w:noProof/>
            <w:webHidden/>
          </w:rPr>
          <w:fldChar w:fldCharType="end"/>
        </w:r>
      </w:hyperlink>
    </w:p>
    <w:p w:rsidR="009C0751" w:rsidRDefault="009C0751">
      <w:pPr>
        <w:pStyle w:val="TOC2"/>
        <w:tabs>
          <w:tab w:val="right" w:leader="dot" w:pos="9017"/>
        </w:tabs>
        <w:rPr>
          <w:noProof/>
        </w:rPr>
      </w:pPr>
      <w:hyperlink w:anchor="_Toc270372026" w:history="1">
        <w:r w:rsidRPr="00D86ECD">
          <w:rPr>
            <w:rStyle w:val="Hyperlink"/>
            <w:noProof/>
            <w:lang w:val="fi-FI"/>
          </w:rPr>
          <w:t>Sivu 60, kappale 5: ”Tietoliikenteen osuus korostuu...”</w:t>
        </w:r>
        <w:r>
          <w:rPr>
            <w:noProof/>
            <w:webHidden/>
          </w:rPr>
          <w:tab/>
        </w:r>
        <w:r>
          <w:rPr>
            <w:noProof/>
            <w:webHidden/>
          </w:rPr>
          <w:fldChar w:fldCharType="begin"/>
        </w:r>
        <w:r>
          <w:rPr>
            <w:noProof/>
            <w:webHidden/>
          </w:rPr>
          <w:instrText xml:space="preserve"> PAGEREF _Toc270372026 \h </w:instrText>
        </w:r>
        <w:r>
          <w:rPr>
            <w:noProof/>
          </w:rPr>
        </w:r>
        <w:r>
          <w:rPr>
            <w:noProof/>
            <w:webHidden/>
          </w:rPr>
          <w:fldChar w:fldCharType="separate"/>
        </w:r>
        <w:r>
          <w:rPr>
            <w:noProof/>
            <w:webHidden/>
          </w:rPr>
          <w:t>9</w:t>
        </w:r>
        <w:r>
          <w:rPr>
            <w:noProof/>
            <w:webHidden/>
          </w:rPr>
          <w:fldChar w:fldCharType="end"/>
        </w:r>
      </w:hyperlink>
    </w:p>
    <w:p w:rsidR="009C0751" w:rsidRDefault="009C0751">
      <w:pPr>
        <w:pStyle w:val="TOC1"/>
        <w:tabs>
          <w:tab w:val="right" w:leader="dot" w:pos="9017"/>
        </w:tabs>
        <w:rPr>
          <w:noProof/>
        </w:rPr>
      </w:pPr>
      <w:hyperlink w:anchor="_Toc270372027" w:history="1">
        <w:r w:rsidRPr="00D86ECD">
          <w:rPr>
            <w:rStyle w:val="Hyperlink"/>
            <w:noProof/>
            <w:lang w:val="fi-FI"/>
          </w:rPr>
          <w:t>12. Tavoitetilan kustannus-hyötyanalyysi</w:t>
        </w:r>
        <w:r>
          <w:rPr>
            <w:noProof/>
            <w:webHidden/>
          </w:rPr>
          <w:tab/>
        </w:r>
        <w:r>
          <w:rPr>
            <w:noProof/>
            <w:webHidden/>
          </w:rPr>
          <w:fldChar w:fldCharType="begin"/>
        </w:r>
        <w:r>
          <w:rPr>
            <w:noProof/>
            <w:webHidden/>
          </w:rPr>
          <w:instrText xml:space="preserve"> PAGEREF _Toc270372027 \h </w:instrText>
        </w:r>
        <w:r>
          <w:rPr>
            <w:noProof/>
          </w:rPr>
        </w:r>
        <w:r>
          <w:rPr>
            <w:noProof/>
            <w:webHidden/>
          </w:rPr>
          <w:fldChar w:fldCharType="separate"/>
        </w:r>
        <w:r>
          <w:rPr>
            <w:noProof/>
            <w:webHidden/>
          </w:rPr>
          <w:t>9</w:t>
        </w:r>
        <w:r>
          <w:rPr>
            <w:noProof/>
            <w:webHidden/>
          </w:rPr>
          <w:fldChar w:fldCharType="end"/>
        </w:r>
      </w:hyperlink>
    </w:p>
    <w:p w:rsidR="009C0751" w:rsidRDefault="009C0751">
      <w:pPr>
        <w:pStyle w:val="TOC2"/>
        <w:tabs>
          <w:tab w:val="right" w:leader="dot" w:pos="9017"/>
        </w:tabs>
        <w:rPr>
          <w:noProof/>
        </w:rPr>
      </w:pPr>
      <w:hyperlink w:anchor="_Toc270372028" w:history="1">
        <w:r w:rsidRPr="00D86ECD">
          <w:rPr>
            <w:rStyle w:val="Hyperlink"/>
            <w:noProof/>
            <w:lang w:val="fi-FI"/>
          </w:rPr>
          <w:t>12.2 Palvelumallien muutokset</w:t>
        </w:r>
        <w:r>
          <w:rPr>
            <w:noProof/>
            <w:webHidden/>
          </w:rPr>
          <w:tab/>
        </w:r>
        <w:r>
          <w:rPr>
            <w:noProof/>
            <w:webHidden/>
          </w:rPr>
          <w:fldChar w:fldCharType="begin"/>
        </w:r>
        <w:r>
          <w:rPr>
            <w:noProof/>
            <w:webHidden/>
          </w:rPr>
          <w:instrText xml:space="preserve"> PAGEREF _Toc270372028 \h </w:instrText>
        </w:r>
        <w:r>
          <w:rPr>
            <w:noProof/>
          </w:rPr>
        </w:r>
        <w:r>
          <w:rPr>
            <w:noProof/>
            <w:webHidden/>
          </w:rPr>
          <w:fldChar w:fldCharType="separate"/>
        </w:r>
        <w:r>
          <w:rPr>
            <w:noProof/>
            <w:webHidden/>
          </w:rPr>
          <w:t>9</w:t>
        </w:r>
        <w:r>
          <w:rPr>
            <w:noProof/>
            <w:webHidden/>
          </w:rPr>
          <w:fldChar w:fldCharType="end"/>
        </w:r>
      </w:hyperlink>
    </w:p>
    <w:p w:rsidR="009C0751" w:rsidRDefault="009C0751">
      <w:pPr>
        <w:pStyle w:val="TOC1"/>
        <w:tabs>
          <w:tab w:val="right" w:leader="dot" w:pos="9017"/>
        </w:tabs>
        <w:rPr>
          <w:noProof/>
        </w:rPr>
      </w:pPr>
      <w:hyperlink w:anchor="_Toc270372029" w:history="1">
        <w:r w:rsidRPr="00D86ECD">
          <w:rPr>
            <w:rStyle w:val="Hyperlink"/>
            <w:noProof/>
            <w:lang w:val="fi-FI"/>
          </w:rPr>
          <w:t>13. Tavoitetilan saavuttamisen kriittiset menestystekijät ja riskit</w:t>
        </w:r>
        <w:r>
          <w:rPr>
            <w:noProof/>
            <w:webHidden/>
          </w:rPr>
          <w:tab/>
        </w:r>
        <w:r>
          <w:rPr>
            <w:noProof/>
            <w:webHidden/>
          </w:rPr>
          <w:fldChar w:fldCharType="begin"/>
        </w:r>
        <w:r>
          <w:rPr>
            <w:noProof/>
            <w:webHidden/>
          </w:rPr>
          <w:instrText xml:space="preserve"> PAGEREF _Toc270372029 \h </w:instrText>
        </w:r>
        <w:r>
          <w:rPr>
            <w:noProof/>
          </w:rPr>
        </w:r>
        <w:r>
          <w:rPr>
            <w:noProof/>
            <w:webHidden/>
          </w:rPr>
          <w:fldChar w:fldCharType="separate"/>
        </w:r>
        <w:r>
          <w:rPr>
            <w:noProof/>
            <w:webHidden/>
          </w:rPr>
          <w:t>10</w:t>
        </w:r>
        <w:r>
          <w:rPr>
            <w:noProof/>
            <w:webHidden/>
          </w:rPr>
          <w:fldChar w:fldCharType="end"/>
        </w:r>
      </w:hyperlink>
    </w:p>
    <w:p w:rsidR="009C0751" w:rsidRDefault="009C0751">
      <w:pPr>
        <w:pStyle w:val="TOC2"/>
        <w:tabs>
          <w:tab w:val="right" w:leader="dot" w:pos="9017"/>
        </w:tabs>
        <w:rPr>
          <w:noProof/>
        </w:rPr>
      </w:pPr>
      <w:hyperlink w:anchor="_Toc270372030" w:history="1">
        <w:r w:rsidRPr="00D86ECD">
          <w:rPr>
            <w:rStyle w:val="Hyperlink"/>
            <w:noProof/>
            <w:lang w:val="fi-FI"/>
          </w:rPr>
          <w:t>Sivu 70: ”Virtuaalimalliin siirtymisen oikea-aikaisuus”</w:t>
        </w:r>
        <w:r>
          <w:rPr>
            <w:noProof/>
            <w:webHidden/>
          </w:rPr>
          <w:tab/>
        </w:r>
        <w:r>
          <w:rPr>
            <w:noProof/>
            <w:webHidden/>
          </w:rPr>
          <w:fldChar w:fldCharType="begin"/>
        </w:r>
        <w:r>
          <w:rPr>
            <w:noProof/>
            <w:webHidden/>
          </w:rPr>
          <w:instrText xml:space="preserve"> PAGEREF _Toc270372030 \h </w:instrText>
        </w:r>
        <w:r>
          <w:rPr>
            <w:noProof/>
          </w:rPr>
        </w:r>
        <w:r>
          <w:rPr>
            <w:noProof/>
            <w:webHidden/>
          </w:rPr>
          <w:fldChar w:fldCharType="separate"/>
        </w:r>
        <w:r>
          <w:rPr>
            <w:noProof/>
            <w:webHidden/>
          </w:rPr>
          <w:t>10</w:t>
        </w:r>
        <w:r>
          <w:rPr>
            <w:noProof/>
            <w:webHidden/>
          </w:rPr>
          <w:fldChar w:fldCharType="end"/>
        </w:r>
      </w:hyperlink>
    </w:p>
    <w:p w:rsidR="009C0751" w:rsidRDefault="009C0751">
      <w:pPr>
        <w:pStyle w:val="TOC1"/>
        <w:tabs>
          <w:tab w:val="right" w:leader="dot" w:pos="9017"/>
        </w:tabs>
        <w:rPr>
          <w:noProof/>
        </w:rPr>
      </w:pPr>
      <w:hyperlink w:anchor="_Toc270372031" w:history="1">
        <w:r w:rsidRPr="00D86ECD">
          <w:rPr>
            <w:rStyle w:val="Hyperlink"/>
            <w:noProof/>
            <w:lang w:val="fi-FI"/>
          </w:rPr>
          <w:t>14. Käyttöönottomalli</w:t>
        </w:r>
        <w:r>
          <w:rPr>
            <w:noProof/>
            <w:webHidden/>
          </w:rPr>
          <w:tab/>
        </w:r>
        <w:r>
          <w:rPr>
            <w:noProof/>
            <w:webHidden/>
          </w:rPr>
          <w:fldChar w:fldCharType="begin"/>
        </w:r>
        <w:r>
          <w:rPr>
            <w:noProof/>
            <w:webHidden/>
          </w:rPr>
          <w:instrText xml:space="preserve"> PAGEREF _Toc270372031 \h </w:instrText>
        </w:r>
        <w:r>
          <w:rPr>
            <w:noProof/>
          </w:rPr>
        </w:r>
        <w:r>
          <w:rPr>
            <w:noProof/>
            <w:webHidden/>
          </w:rPr>
          <w:fldChar w:fldCharType="separate"/>
        </w:r>
        <w:r>
          <w:rPr>
            <w:noProof/>
            <w:webHidden/>
          </w:rPr>
          <w:t>10</w:t>
        </w:r>
        <w:r>
          <w:rPr>
            <w:noProof/>
            <w:webHidden/>
          </w:rPr>
          <w:fldChar w:fldCharType="end"/>
        </w:r>
      </w:hyperlink>
    </w:p>
    <w:p w:rsidR="009C0751" w:rsidRDefault="009C0751">
      <w:pPr>
        <w:pStyle w:val="TOC2"/>
        <w:tabs>
          <w:tab w:val="right" w:leader="dot" w:pos="9017"/>
        </w:tabs>
        <w:rPr>
          <w:noProof/>
        </w:rPr>
      </w:pPr>
      <w:hyperlink w:anchor="_Toc270372032" w:history="1">
        <w:r w:rsidRPr="00D86ECD">
          <w:rPr>
            <w:rStyle w:val="Hyperlink"/>
            <w:noProof/>
            <w:lang w:val="fi-FI"/>
          </w:rPr>
          <w:t>14.3 Virtualisoitu työasemapalvelu (VTAP)</w:t>
        </w:r>
        <w:r>
          <w:rPr>
            <w:noProof/>
            <w:webHidden/>
          </w:rPr>
          <w:tab/>
        </w:r>
        <w:r>
          <w:rPr>
            <w:noProof/>
            <w:webHidden/>
          </w:rPr>
          <w:fldChar w:fldCharType="begin"/>
        </w:r>
        <w:r>
          <w:rPr>
            <w:noProof/>
            <w:webHidden/>
          </w:rPr>
          <w:instrText xml:space="preserve"> PAGEREF _Toc270372032 \h </w:instrText>
        </w:r>
        <w:r>
          <w:rPr>
            <w:noProof/>
          </w:rPr>
        </w:r>
        <w:r>
          <w:rPr>
            <w:noProof/>
            <w:webHidden/>
          </w:rPr>
          <w:fldChar w:fldCharType="separate"/>
        </w:r>
        <w:r>
          <w:rPr>
            <w:noProof/>
            <w:webHidden/>
          </w:rPr>
          <w:t>10</w:t>
        </w:r>
        <w:r>
          <w:rPr>
            <w:noProof/>
            <w:webHidden/>
          </w:rPr>
          <w:fldChar w:fldCharType="end"/>
        </w:r>
      </w:hyperlink>
    </w:p>
    <w:p w:rsidR="009C0751" w:rsidRDefault="009C0751" w:rsidP="00396762">
      <w:r>
        <w:fldChar w:fldCharType="end"/>
      </w:r>
    </w:p>
    <w:p w:rsidR="009C0751" w:rsidRPr="00903CDF" w:rsidRDefault="009C0751" w:rsidP="00396762">
      <w:pPr>
        <w:rPr>
          <w:lang w:val="fi-FI"/>
        </w:rPr>
      </w:pPr>
      <w:r w:rsidRPr="00903CDF">
        <w:rPr>
          <w:lang w:val="fi-FI"/>
        </w:rPr>
        <w:t xml:space="preserve"> </w:t>
      </w:r>
      <w:r w:rsidRPr="00903CDF">
        <w:rPr>
          <w:lang w:val="fi-FI"/>
        </w:rPr>
        <w:br w:type="page"/>
      </w:r>
    </w:p>
    <w:p w:rsidR="009C0751" w:rsidRPr="009D7ACA" w:rsidRDefault="009C0751" w:rsidP="009D7ACA">
      <w:pPr>
        <w:pStyle w:val="Heading1"/>
        <w:rPr>
          <w:lang w:val="fi-FI"/>
        </w:rPr>
      </w:pPr>
      <w:r>
        <w:rPr>
          <w:lang w:val="fi-FI"/>
        </w:rPr>
        <w:br/>
      </w:r>
      <w:bookmarkStart w:id="1" w:name="_Toc270372013"/>
      <w:r w:rsidRPr="009D7ACA">
        <w:rPr>
          <w:lang w:val="fi-FI"/>
        </w:rPr>
        <w:t>2. Tiivistelmä</w:t>
      </w:r>
      <w:bookmarkEnd w:id="1"/>
    </w:p>
    <w:p w:rsidR="009C0751" w:rsidRPr="009D7ACA" w:rsidRDefault="009C0751" w:rsidP="009D7ACA">
      <w:pPr>
        <w:pStyle w:val="Heading2"/>
        <w:rPr>
          <w:lang w:val="fi-FI"/>
        </w:rPr>
      </w:pPr>
      <w:bookmarkStart w:id="2" w:name="_Toc270372014"/>
      <w:r w:rsidRPr="009D7ACA">
        <w:rPr>
          <w:lang w:val="fi-FI"/>
        </w:rPr>
        <w:t>Sivu 7, kappale 4</w:t>
      </w:r>
      <w:r>
        <w:rPr>
          <w:lang w:val="fi-FI"/>
        </w:rPr>
        <w:t>:</w:t>
      </w:r>
      <w:r w:rsidRPr="009D7ACA">
        <w:rPr>
          <w:lang w:val="fi-FI"/>
        </w:rPr>
        <w:t xml:space="preserve"> “Työasemaratkaisun teknologianäkökulmassa….”</w:t>
      </w:r>
      <w:bookmarkEnd w:id="2"/>
    </w:p>
    <w:p w:rsidR="009C0751" w:rsidRDefault="009C0751" w:rsidP="009D7ACA">
      <w:pPr>
        <w:rPr>
          <w:lang w:val="fi-FI"/>
        </w:rPr>
      </w:pPr>
      <w:r>
        <w:rPr>
          <w:lang w:val="fi-FI"/>
        </w:rPr>
        <w:t>Ratkaisuun siirtymisen edellytyksenä on siirtyminen yhteen yhteiseen virtualisoituun työasema-arkkitehtuuriin. Toisaalta kannattaa mahdollisimman tehokkaasti ja varhaisessa vaiheessa tukea ja koordinoida virastokohtaisten virtuaalisten työasemaympäristöjen syntymistä. Näin saataisiin kerättyä arvokasta kokemusta varsinaisen keskitetyn ympäristön tarpeisiin.</w:t>
      </w:r>
    </w:p>
    <w:p w:rsidR="009C0751" w:rsidRDefault="009C0751" w:rsidP="009D7ACA">
      <w:pPr>
        <w:rPr>
          <w:lang w:val="fi-FI"/>
        </w:rPr>
      </w:pPr>
      <w:r>
        <w:rPr>
          <w:lang w:val="fi-FI"/>
        </w:rPr>
        <w:t xml:space="preserve">Koordinointi voitaisiin helposti varmistaa esimerkiksi siten, että virallisesti mukaan hyväksyttyjen virastokohtaisten tuotanto/pilotti –projektien kustannukset osittain hyvitettäisiin ja hankitut lisenssit/laitteet soveltuvin osin hyödynnettäisiin siirryttäessä keskitettyyn VTAP-palveluun. </w:t>
      </w:r>
    </w:p>
    <w:p w:rsidR="009C0751" w:rsidRDefault="009C0751" w:rsidP="007F453F">
      <w:pPr>
        <w:pStyle w:val="Heading2"/>
        <w:rPr>
          <w:lang w:val="fi-FI"/>
        </w:rPr>
      </w:pPr>
      <w:bookmarkStart w:id="3" w:name="_Toc270372015"/>
      <w:r>
        <w:rPr>
          <w:lang w:val="fi-FI"/>
        </w:rPr>
        <w:t>Sivu 7, kappale 8: ”Säästöpotentiaali...”</w:t>
      </w:r>
      <w:bookmarkEnd w:id="3"/>
    </w:p>
    <w:p w:rsidR="009C0751" w:rsidRDefault="009C0751" w:rsidP="007F453F">
      <w:pPr>
        <w:rPr>
          <w:lang w:val="fi-FI"/>
        </w:rPr>
      </w:pPr>
      <w:r>
        <w:rPr>
          <w:lang w:val="fi-FI"/>
        </w:rPr>
        <w:t xml:space="preserve">Edellisessä kommentissa ehdotetulla järjestelyllä (hyväksyttyjen virastokohtaisten projektien joustava yhdistäminen VTAP-palveluun) voitaisiin </w:t>
      </w:r>
      <w:r w:rsidRPr="00211A85">
        <w:rPr>
          <w:u w:val="single"/>
          <w:lang w:val="fi-FI"/>
        </w:rPr>
        <w:t>aikaistaa</w:t>
      </w:r>
      <w:r>
        <w:rPr>
          <w:lang w:val="fi-FI"/>
        </w:rPr>
        <w:t xml:space="preserve"> todetun 11 miljoonan euron vuosisäästön realisoitumista huomattavasti.</w:t>
      </w:r>
    </w:p>
    <w:p w:rsidR="009C0751" w:rsidRDefault="009C0751" w:rsidP="007F453F">
      <w:pPr>
        <w:pStyle w:val="Heading2"/>
        <w:rPr>
          <w:lang w:val="fi-FI"/>
        </w:rPr>
      </w:pPr>
      <w:bookmarkStart w:id="4" w:name="_Toc270372016"/>
      <w:r>
        <w:rPr>
          <w:lang w:val="fi-FI"/>
        </w:rPr>
        <w:t>Sivu 8, kappale 1: ”Esitutkimuksen johtopäätöksenä esitetään...”</w:t>
      </w:r>
      <w:bookmarkEnd w:id="4"/>
    </w:p>
    <w:p w:rsidR="009C0751" w:rsidRDefault="009C0751" w:rsidP="007F453F">
      <w:pPr>
        <w:rPr>
          <w:lang w:val="fi-FI"/>
        </w:rPr>
      </w:pPr>
      <w:r>
        <w:rPr>
          <w:lang w:val="fi-FI"/>
        </w:rPr>
        <w:t>Erittäin todennäköisesti jo määrittely- ja hankintavaiheen alkumetreillä tullaan toteamaan, että VMwaren tuotteita tullaan käyttämään yhdessä tai useammassa osa-alueessa sekä PTAP- että VTAP –palvelussa. Tällöin suosittelemme, että pieni osuus esitetystä 3-4 konsultin työpanoksesta tilattaisiin VMwaren TAM (Technical Account Manager) –palveluna. Näin voitaisiin parhaalla mahdollisella tavalla varmistaa se, että ajallisesti pitkähkössä projektissa osattaisiin ottaa huomioon myös tuotteiden tulevan kehityksen suuntaviivat.</w:t>
      </w:r>
    </w:p>
    <w:p w:rsidR="009C0751" w:rsidRDefault="009C0751">
      <w:pPr>
        <w:rPr>
          <w:rFonts w:ascii="Cambria" w:hAnsi="Cambria"/>
          <w:b/>
          <w:bCs/>
          <w:color w:val="365F91"/>
          <w:sz w:val="28"/>
          <w:szCs w:val="28"/>
          <w:lang w:val="fi-FI"/>
        </w:rPr>
      </w:pPr>
      <w:r>
        <w:rPr>
          <w:lang w:val="fi-FI"/>
        </w:rPr>
        <w:br w:type="page"/>
      </w:r>
    </w:p>
    <w:p w:rsidR="009C0751" w:rsidRDefault="009C0751" w:rsidP="007F453F">
      <w:pPr>
        <w:pStyle w:val="Heading1"/>
        <w:rPr>
          <w:lang w:val="fi-FI"/>
        </w:rPr>
      </w:pPr>
      <w:r>
        <w:rPr>
          <w:lang w:val="fi-FI"/>
        </w:rPr>
        <w:br/>
      </w:r>
      <w:bookmarkStart w:id="5" w:name="_Toc270372017"/>
      <w:r>
        <w:rPr>
          <w:lang w:val="fi-FI"/>
        </w:rPr>
        <w:t>5. Lähtötilanne</w:t>
      </w:r>
      <w:bookmarkEnd w:id="5"/>
    </w:p>
    <w:p w:rsidR="009C0751" w:rsidRDefault="009C0751" w:rsidP="007F453F">
      <w:pPr>
        <w:pStyle w:val="Heading2"/>
        <w:rPr>
          <w:lang w:val="fi-FI"/>
        </w:rPr>
      </w:pPr>
      <w:bookmarkStart w:id="6" w:name="_Toc270372018"/>
      <w:r>
        <w:rPr>
          <w:lang w:val="fi-FI"/>
        </w:rPr>
        <w:t>Sivu 16, kappale 3: ”Virastoissa ja laitoksissa on...”</w:t>
      </w:r>
      <w:bookmarkEnd w:id="6"/>
    </w:p>
    <w:p w:rsidR="009C0751" w:rsidRPr="00F17224" w:rsidRDefault="009C0751">
      <w:pPr>
        <w:rPr>
          <w:lang w:val="fi-FI"/>
        </w:rPr>
      </w:pPr>
      <w:r>
        <w:rPr>
          <w:lang w:val="fi-FI"/>
        </w:rPr>
        <w:t>Aina silloin, kun jokin virasto päättää vaihtaa käytöjärjestemänsä keskitetysti Windows XP:stä Windows 7:ään, syntyy hetki, jolloin kaikkein kustannustehokkaimmin voitaisiin samalla rakentaa virastokohtainen tuotantopilotti hyödyntämään VTAP-palvelun tarpeita. Nämä vaihdosajankohdat kannattaisi kartoittaa ja ajoitetusti tiedottaa virastoja potentiaalisesta mahdollisuudesta koordinoituun pilotointiin.</w:t>
      </w:r>
    </w:p>
    <w:p w:rsidR="009C0751" w:rsidRDefault="009C0751" w:rsidP="007F453F">
      <w:pPr>
        <w:pStyle w:val="Heading1"/>
        <w:rPr>
          <w:lang w:val="fi-FI"/>
        </w:rPr>
      </w:pPr>
      <w:bookmarkStart w:id="7" w:name="_Toc270372019"/>
      <w:r>
        <w:rPr>
          <w:lang w:val="fi-FI"/>
        </w:rPr>
        <w:t>6. Lähtötilanteen palvelutarve</w:t>
      </w:r>
      <w:bookmarkEnd w:id="7"/>
    </w:p>
    <w:p w:rsidR="009C0751" w:rsidRDefault="009C0751" w:rsidP="007F453F">
      <w:pPr>
        <w:pStyle w:val="Heading2"/>
        <w:rPr>
          <w:lang w:val="fi-FI"/>
        </w:rPr>
      </w:pPr>
      <w:bookmarkStart w:id="8" w:name="_Toc270372020"/>
      <w:r>
        <w:rPr>
          <w:lang w:val="fi-FI"/>
        </w:rPr>
        <w:t>6.2 Tarpeet</w:t>
      </w:r>
      <w:bookmarkEnd w:id="8"/>
    </w:p>
    <w:p w:rsidR="009C0751" w:rsidRDefault="009C0751" w:rsidP="007F453F">
      <w:pPr>
        <w:rPr>
          <w:lang w:val="fi-FI"/>
        </w:rPr>
      </w:pPr>
      <w:r>
        <w:rPr>
          <w:lang w:val="fi-FI"/>
        </w:rPr>
        <w:t>Listatut tarpeet (joissa yhtenä tarpeena mainittu työasemien virtualisointi) ovat juuri niitä asioita, joihin työasemien virtualisoinnilla on selkeästi positiivinen ja parantava vaikutus.</w:t>
      </w:r>
    </w:p>
    <w:p w:rsidR="009C0751" w:rsidRDefault="009C0751">
      <w:pPr>
        <w:rPr>
          <w:rFonts w:ascii="Cambria" w:hAnsi="Cambria"/>
          <w:b/>
          <w:bCs/>
          <w:color w:val="365F91"/>
          <w:sz w:val="28"/>
          <w:szCs w:val="28"/>
          <w:lang w:val="fi-FI"/>
        </w:rPr>
      </w:pPr>
      <w:r>
        <w:rPr>
          <w:lang w:val="fi-FI"/>
        </w:rPr>
        <w:br w:type="page"/>
      </w:r>
    </w:p>
    <w:p w:rsidR="009C0751" w:rsidRDefault="009C0751" w:rsidP="007F453F">
      <w:pPr>
        <w:pStyle w:val="Heading1"/>
        <w:rPr>
          <w:lang w:val="fi-FI"/>
        </w:rPr>
      </w:pPr>
      <w:r>
        <w:rPr>
          <w:lang w:val="fi-FI"/>
        </w:rPr>
        <w:br/>
      </w:r>
      <w:bookmarkStart w:id="9" w:name="_Toc270372021"/>
      <w:r>
        <w:rPr>
          <w:lang w:val="fi-FI"/>
        </w:rPr>
        <w:t>7. Työasemapalveluiden tulevaisuudennäkymät</w:t>
      </w:r>
      <w:bookmarkEnd w:id="9"/>
    </w:p>
    <w:p w:rsidR="009C0751" w:rsidRDefault="009C0751" w:rsidP="007F453F">
      <w:pPr>
        <w:pStyle w:val="Heading2"/>
        <w:rPr>
          <w:lang w:val="fi-FI"/>
        </w:rPr>
      </w:pPr>
      <w:bookmarkStart w:id="10" w:name="_Toc270372022"/>
      <w:r>
        <w:rPr>
          <w:lang w:val="fi-FI"/>
        </w:rPr>
        <w:t>Sivu 24, kappale 4: ”Virtualisointi tulee muuttamaan merkittävästi...”</w:t>
      </w:r>
      <w:bookmarkEnd w:id="10"/>
    </w:p>
    <w:p w:rsidR="009C0751" w:rsidRDefault="009C0751" w:rsidP="007F453F">
      <w:pPr>
        <w:rPr>
          <w:lang w:val="fi-FI"/>
        </w:rPr>
      </w:pPr>
      <w:r>
        <w:rPr>
          <w:lang w:val="fi-FI"/>
        </w:rPr>
        <w:t>Alla Gartnerin toukokuussa julkaisema näkemys tämän hetken virtualisointimarkkinassa toimivien yritysten sijoittumisesta ”Magick Quadrant”:iin.</w:t>
      </w:r>
    </w:p>
    <w:p w:rsidR="009C0751" w:rsidRDefault="009C0751" w:rsidP="00893AB3">
      <w:pPr>
        <w:pBdr>
          <w:top w:val="single" w:sz="12" w:space="1" w:color="auto"/>
          <w:left w:val="single" w:sz="12" w:space="4" w:color="auto"/>
          <w:bottom w:val="single" w:sz="12" w:space="1" w:color="auto"/>
          <w:right w:val="single" w:sz="12" w:space="4" w:color="auto"/>
        </w:pBdr>
        <w:jc w:val="center"/>
        <w:rPr>
          <w:lang w:val="fi-FI"/>
        </w:rPr>
      </w:pPr>
      <w:r w:rsidRPr="003206E5">
        <w:rPr>
          <w:noProof/>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3.2pt;height:363.6pt;visibility:visible">
            <v:imagedata r:id="rId11" o:title="" croptop="1982f" cropbottom="1098f" cropright="5068f"/>
          </v:shape>
        </w:pict>
      </w:r>
    </w:p>
    <w:p w:rsidR="009C0751" w:rsidRPr="00F17224" w:rsidRDefault="009C0751" w:rsidP="00893AB3">
      <w:pPr>
        <w:pBdr>
          <w:top w:val="single" w:sz="12" w:space="1" w:color="auto"/>
          <w:left w:val="single" w:sz="12" w:space="4" w:color="auto"/>
          <w:bottom w:val="single" w:sz="12" w:space="1" w:color="auto"/>
          <w:right w:val="single" w:sz="12" w:space="4" w:color="auto"/>
        </w:pBdr>
        <w:rPr>
          <w:sz w:val="16"/>
        </w:rPr>
      </w:pPr>
      <w:r w:rsidRPr="00F17224">
        <w:rPr>
          <w:sz w:val="16"/>
        </w:rPr>
        <w:t>Gartner, Inc. Magic Quadrant for x86 Server Virtualization Infrastructure, Thomas J. Bittman, Philip Dawson, George J. Weiss, 26 May 2010.</w:t>
      </w:r>
    </w:p>
    <w:p w:rsidR="009C0751" w:rsidRPr="00F17224" w:rsidRDefault="009C0751" w:rsidP="00893AB3">
      <w:pPr>
        <w:pBdr>
          <w:top w:val="single" w:sz="12" w:space="1" w:color="auto"/>
          <w:left w:val="single" w:sz="12" w:space="4" w:color="auto"/>
          <w:bottom w:val="single" w:sz="12" w:space="1" w:color="auto"/>
          <w:right w:val="single" w:sz="12" w:space="4" w:color="auto"/>
        </w:pBdr>
        <w:rPr>
          <w:sz w:val="16"/>
        </w:rPr>
      </w:pPr>
      <w:r w:rsidRPr="00F17224">
        <w:rPr>
          <w:sz w:val="16"/>
        </w:rPr>
        <w:t xml:space="preserve">This Magic Quadrant graphic was published by Gartner, Inc. as part of a larger research note and should be evaluated in the context of the entire report. The Gartner report is available upon request from VMware. </w:t>
      </w:r>
    </w:p>
    <w:p w:rsidR="009C0751" w:rsidRPr="00F17224" w:rsidRDefault="009C0751" w:rsidP="00893AB3">
      <w:pPr>
        <w:pBdr>
          <w:top w:val="single" w:sz="12" w:space="1" w:color="auto"/>
          <w:left w:val="single" w:sz="12" w:space="4" w:color="auto"/>
          <w:bottom w:val="single" w:sz="12" w:space="1" w:color="auto"/>
          <w:right w:val="single" w:sz="12" w:space="4" w:color="auto"/>
        </w:pBdr>
        <w:rPr>
          <w:sz w:val="16"/>
        </w:rPr>
      </w:pPr>
      <w:r w:rsidRPr="00F17224">
        <w:rPr>
          <w:sz w:val="16"/>
        </w:rPr>
        <w:t xml:space="preserve">The Magic Quadrant is copyrighted  2010 by Gartner, Inc. and is reused with permission. The Magic Quadrant is a graphical representation of a marketplace at and for a specific time period. It depicts Gartner's analysis of how certain vendors measure against criteria for that marketplace, as defined by Gartner. Gartner does not endorse any vendor, product or service depicted in the Magic Quadrant, and does not advise technology users to select only those vendors placed in the "Leaders" quadrant. The Magic Quadrant is intended solely as a research tool, and is not meant to be a specific guide to action. Gartner disclaims all warranties, express or implied, with respect to this research, including any warranties of merchantability or fitness for a particular purpose. </w:t>
      </w:r>
    </w:p>
    <w:p w:rsidR="009C0751" w:rsidRPr="007F453F" w:rsidRDefault="009C0751" w:rsidP="007F453F">
      <w:pPr>
        <w:rPr>
          <w:lang w:val="fi-FI"/>
        </w:rPr>
      </w:pPr>
      <w:r>
        <w:rPr>
          <w:lang w:val="fi-FI"/>
        </w:rPr>
        <w:t>Käsityksemme mukaan lähes kaikki tuotantokäytössä olevat tuhansien virtuaalityöasemien ympäristöt on rakennettu VMwaren vSphere-virtualisointialustalle, riippumatta siitä, minkä valmistajan brokerointiratkaisua tai esitysprotokollaa käytetään.</w:t>
      </w:r>
    </w:p>
    <w:p w:rsidR="009C0751" w:rsidRDefault="009C0751">
      <w:pPr>
        <w:rPr>
          <w:rFonts w:ascii="Cambria" w:hAnsi="Cambria"/>
          <w:b/>
          <w:bCs/>
          <w:color w:val="4F81BD"/>
          <w:sz w:val="26"/>
          <w:szCs w:val="26"/>
          <w:lang w:val="fi-FI"/>
        </w:rPr>
      </w:pPr>
      <w:r>
        <w:rPr>
          <w:lang w:val="fi-FI"/>
        </w:rPr>
        <w:br w:type="page"/>
      </w:r>
    </w:p>
    <w:p w:rsidR="009C0751" w:rsidRDefault="009C0751" w:rsidP="007F453F">
      <w:pPr>
        <w:pStyle w:val="Heading2"/>
        <w:rPr>
          <w:lang w:val="fi-FI"/>
        </w:rPr>
      </w:pPr>
      <w:r>
        <w:rPr>
          <w:lang w:val="fi-FI"/>
        </w:rPr>
        <w:br/>
      </w:r>
      <w:bookmarkStart w:id="11" w:name="_Toc270372023"/>
      <w:r>
        <w:rPr>
          <w:lang w:val="fi-FI"/>
        </w:rPr>
        <w:t>Sivut 28, 29 ja 30</w:t>
      </w:r>
      <w:bookmarkEnd w:id="11"/>
    </w:p>
    <w:p w:rsidR="009C0751" w:rsidRDefault="009C0751" w:rsidP="007F453F">
      <w:pPr>
        <w:rPr>
          <w:lang w:val="fi-FI"/>
        </w:rPr>
      </w:pPr>
      <w:r>
        <w:rPr>
          <w:lang w:val="fi-FI"/>
        </w:rPr>
        <w:t>Haluamme edelleen korostaa sitä, että mitä aiemmaksi kuviassa esitetty tarkan ajoituksen vaihe ja koordinoidut kokeilut saadaan hallitusti ajoittumaan, sitä nopeammin ratkaisusta saatavat hyödyt alkavat realisoitumaan</w:t>
      </w:r>
    </w:p>
    <w:p w:rsidR="009C0751" w:rsidRDefault="009C0751" w:rsidP="00893AB3">
      <w:pPr>
        <w:jc w:val="center"/>
        <w:rPr>
          <w:lang w:val="fi-FI"/>
        </w:rPr>
      </w:pPr>
      <w:r>
        <w:rPr>
          <w:noProof/>
          <w:lang w:val="fi-FI" w:eastAsia="fi-FI"/>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88.8pt;margin-top:67.95pt;width:72.7pt;height:58.4pt;z-index:251657216" fillcolor="red" stroked="f">
            <v:fill opacity="17695f"/>
          </v:shape>
        </w:pict>
      </w:r>
      <w:r w:rsidRPr="003206E5">
        <w:rPr>
          <w:noProof/>
          <w:lang w:val="fi-FI" w:eastAsia="fi-FI"/>
        </w:rPr>
        <w:pict>
          <v:shape id="_x0000_i1026" type="#_x0000_t75" style="width:313.8pt;height:234.6pt;visibility:visible" o:bordertopcolor="#4f81bd" o:borderleftcolor="#4f81bd" o:borderbottomcolor="#4f81bd" o:borderrightcolor="#4f81bd">
            <v:imagedata r:id="rId12" o:title=""/>
            <w10:bordertop type="single" width="6"/>
            <w10:borderleft type="single" width="6"/>
            <w10:borderbottom type="single" width="6"/>
            <w10:borderright type="single" width="6"/>
          </v:shape>
        </w:pict>
      </w:r>
    </w:p>
    <w:p w:rsidR="009C0751" w:rsidRDefault="009C0751" w:rsidP="009C3513">
      <w:pPr>
        <w:rPr>
          <w:lang w:val="fi-FI"/>
        </w:rPr>
      </w:pPr>
      <w:r>
        <w:rPr>
          <w:lang w:val="fi-FI"/>
        </w:rPr>
        <w:t>PTAP-vaiheessa ja jo siihen valmistauduttaessa kannattaa hyödyntää mahdollisimman paljon sovellusvirtualisointiteknologioita, esimerkiksi VMwaren ThinApp-tuotetta. Näin mahdollisimman suuri osuus sovelluksista on valmiiksi helposti siirrettävissä VTAP-työasemille. Samalla saadaan pienennettyä huomattavasti erilaisten virastokohtaisten PTAP-työasemakonfiguraatioiden lukumäärää.</w:t>
      </w:r>
    </w:p>
    <w:p w:rsidR="009C0751" w:rsidRDefault="009C0751" w:rsidP="00893AB3">
      <w:pPr>
        <w:jc w:val="center"/>
        <w:rPr>
          <w:lang w:val="fi-FI"/>
        </w:rPr>
      </w:pPr>
      <w:r>
        <w:rPr>
          <w:noProof/>
          <w:lang w:val="fi-FI" w:eastAsia="fi-FI"/>
        </w:rPr>
        <w:pict>
          <v:shape id="_x0000_s1028" type="#_x0000_t66" style="position:absolute;left:0;text-align:left;margin-left:125.4pt;margin-top:68.55pt;width:72.7pt;height:58.4pt;z-index:251658240" fillcolor="red" stroked="f">
            <v:fill opacity="17695f"/>
          </v:shape>
        </w:pict>
      </w:r>
      <w:r w:rsidRPr="003206E5">
        <w:rPr>
          <w:noProof/>
          <w:lang w:val="fi-FI" w:eastAsia="fi-FI"/>
        </w:rPr>
        <w:pict>
          <v:shape id="Picture 2" o:spid="_x0000_i1027" type="#_x0000_t75" style="width:326.4pt;height:204.6pt;visibility:visible" o:bordertopcolor="#4f81bd" o:borderleftcolor="#4f81bd" o:borderbottomcolor="#4f81bd" o:borderrightcolor="#4f81bd">
            <v:imagedata r:id="rId13" o:title=""/>
            <w10:bordertop type="single" width="6"/>
            <w10:borderleft type="single" width="6"/>
            <w10:borderbottom type="single" width="6"/>
            <w10:borderright type="single" width="6"/>
          </v:shape>
        </w:pict>
      </w:r>
    </w:p>
    <w:p w:rsidR="009C0751" w:rsidRDefault="009C0751">
      <w:pPr>
        <w:rPr>
          <w:rFonts w:ascii="Cambria" w:hAnsi="Cambria"/>
          <w:b/>
          <w:bCs/>
          <w:color w:val="4F81BD"/>
          <w:sz w:val="26"/>
          <w:szCs w:val="26"/>
          <w:lang w:val="fi-FI"/>
        </w:rPr>
      </w:pPr>
      <w:r>
        <w:rPr>
          <w:lang w:val="fi-FI"/>
        </w:rPr>
        <w:br w:type="page"/>
      </w:r>
    </w:p>
    <w:p w:rsidR="009C0751" w:rsidRDefault="009C0751" w:rsidP="00042F37">
      <w:pPr>
        <w:pStyle w:val="Heading2"/>
        <w:rPr>
          <w:lang w:val="fi-FI"/>
        </w:rPr>
      </w:pPr>
      <w:r>
        <w:rPr>
          <w:lang w:val="fi-FI"/>
        </w:rPr>
        <w:br/>
      </w:r>
      <w:bookmarkStart w:id="12" w:name="_Toc270372024"/>
      <w:r>
        <w:rPr>
          <w:lang w:val="fi-FI"/>
        </w:rPr>
        <w:t>Sivu 31, kappale 4: ”Virtualisoiduntyöasemapalvelun keskeisimmät haasteet...”</w:t>
      </w:r>
      <w:bookmarkEnd w:id="12"/>
    </w:p>
    <w:p w:rsidR="009C0751" w:rsidRPr="007B6244" w:rsidRDefault="009C0751">
      <w:pPr>
        <w:rPr>
          <w:lang w:val="fi-FI"/>
        </w:rPr>
      </w:pPr>
      <w:r>
        <w:rPr>
          <w:lang w:val="fi-FI"/>
        </w:rPr>
        <w:t>Tietoliikennekapasiteetista tulee virtualisoitujen työasemien käytön kannalta ensiarvoisen tärkeää. Varsinaista kaistanleveyttä kriittisempää on kuitenkin se, että verkkoissa on mahdollisuus QoS-määrityksillä varmistaa jatkuva riittävä palvelu työasemien näytönpäivitysliikenteelle myös mahdollisten kuormitushuippujen aikana ja että vähempiarvoinen liikenne, esimerkiksi tulostus, saadaan pidettyä riittävän alhaisella prioriteetilla.</w:t>
      </w:r>
    </w:p>
    <w:p w:rsidR="009C0751" w:rsidRDefault="009C0751" w:rsidP="00936B1E">
      <w:pPr>
        <w:pStyle w:val="Heading1"/>
        <w:rPr>
          <w:lang w:val="fi-FI"/>
        </w:rPr>
      </w:pPr>
      <w:bookmarkStart w:id="13" w:name="_Toc270372025"/>
      <w:r>
        <w:rPr>
          <w:lang w:val="fi-FI"/>
        </w:rPr>
        <w:t>11. Tietoturvallisuus</w:t>
      </w:r>
      <w:bookmarkEnd w:id="13"/>
    </w:p>
    <w:p w:rsidR="009C0751" w:rsidRDefault="009C0751" w:rsidP="00936B1E">
      <w:pPr>
        <w:pStyle w:val="Heading2"/>
        <w:rPr>
          <w:lang w:val="fi-FI"/>
        </w:rPr>
      </w:pPr>
      <w:bookmarkStart w:id="14" w:name="_Toc270372026"/>
      <w:r>
        <w:rPr>
          <w:lang w:val="fi-FI"/>
        </w:rPr>
        <w:t>Sivu 60, kappale 5: ”Tietoliikenteen osuus korostuu...”</w:t>
      </w:r>
      <w:bookmarkEnd w:id="14"/>
    </w:p>
    <w:p w:rsidR="009C0751" w:rsidRDefault="009C0751" w:rsidP="00936B1E">
      <w:pPr>
        <w:rPr>
          <w:lang w:val="fi-FI"/>
        </w:rPr>
      </w:pPr>
      <w:r>
        <w:rPr>
          <w:lang w:val="fi-FI"/>
        </w:rPr>
        <w:t>Sama kommentti, kuin edellä, eli QoS on onnistumisen kannalta elintärkeä.</w:t>
      </w:r>
    </w:p>
    <w:p w:rsidR="009C0751" w:rsidRDefault="009C0751" w:rsidP="00936B1E">
      <w:pPr>
        <w:rPr>
          <w:lang w:val="fi-FI"/>
        </w:rPr>
      </w:pPr>
      <w:r>
        <w:rPr>
          <w:lang w:val="fi-FI"/>
        </w:rPr>
        <w:t>Kehittynyt virtualisointiteknologia mahdollistaa paljon uusia tapoja parantaa tietojenkäsittely-ympäristön tietoturvaa. Tästä esimerkkeinä voidaan mainita VMware-ympäristöjen VMsafe- ja vShield-teknologioita hyödyntävät ratkaisut, joita tällä hetkellä kehittävät kaikki johtavat tietoturvavalmistajat. Näillä tekniikoilla voidaan toisaalta parantaa tietoturvaa ja toisaalta huomattavasti pienentää esimerkiksi virusturvan vaatimaa prosessori- ja muistikapasiteettia.</w:t>
      </w:r>
    </w:p>
    <w:p w:rsidR="009C0751" w:rsidRDefault="009C0751" w:rsidP="00936B1E">
      <w:pPr>
        <w:pStyle w:val="Heading1"/>
        <w:rPr>
          <w:lang w:val="fi-FI"/>
        </w:rPr>
      </w:pPr>
      <w:r>
        <w:rPr>
          <w:lang w:val="fi-FI"/>
        </w:rPr>
        <w:br/>
      </w:r>
      <w:bookmarkStart w:id="15" w:name="_Toc270372027"/>
      <w:r>
        <w:rPr>
          <w:lang w:val="fi-FI"/>
        </w:rPr>
        <w:t>12. Tavoitetilan kustannus-hyötyanalyysi</w:t>
      </w:r>
      <w:bookmarkEnd w:id="15"/>
    </w:p>
    <w:p w:rsidR="009C0751" w:rsidRDefault="009C0751" w:rsidP="00936B1E">
      <w:pPr>
        <w:pStyle w:val="Heading2"/>
        <w:rPr>
          <w:lang w:val="fi-FI"/>
        </w:rPr>
      </w:pPr>
      <w:bookmarkStart w:id="16" w:name="_Toc270372028"/>
      <w:r>
        <w:rPr>
          <w:lang w:val="fi-FI"/>
        </w:rPr>
        <w:t>12.2 Palvelumallien muutokset</w:t>
      </w:r>
      <w:bookmarkEnd w:id="16"/>
    </w:p>
    <w:p w:rsidR="009C0751" w:rsidRDefault="009C0751" w:rsidP="00936B1E">
      <w:pPr>
        <w:rPr>
          <w:lang w:val="fi-FI"/>
        </w:rPr>
      </w:pPr>
      <w:r>
        <w:rPr>
          <w:noProof/>
          <w:lang w:val="fi-FI" w:eastAsia="fi-FI"/>
        </w:rPr>
        <w:pict>
          <v:shapetype id="_x0000_t202" coordsize="21600,21600" o:spt="202" path="m,l,21600r21600,l21600,xe">
            <v:stroke joinstyle="miter"/>
            <v:path gradientshapeok="t" o:connecttype="rect"/>
          </v:shapetype>
          <v:shape id="_x0000_s1029" type="#_x0000_t202" style="position:absolute;margin-left:36.65pt;margin-top:70.5pt;width:180.5pt;height:139.55pt;z-index:251659264" filled="f" stroked="f">
            <v:textbox style="mso-fit-shape-to-text:t">
              <w:txbxContent>
                <w:p w:rsidR="009C0751" w:rsidRPr="003206E5" w:rsidRDefault="009C0751">
                  <w:pPr>
                    <w:rPr>
                      <w:b/>
                      <w:color w:val="FFFFFF"/>
                      <w:sz w:val="18"/>
                    </w:rPr>
                  </w:pPr>
                  <w:r w:rsidRPr="003206E5">
                    <w:rPr>
                      <w:b/>
                      <w:color w:val="FFFFFF"/>
                      <w:sz w:val="18"/>
                    </w:rPr>
                    <w:t>Koordinoidut</w:t>
                  </w:r>
                  <w:r w:rsidRPr="003206E5">
                    <w:rPr>
                      <w:b/>
                      <w:color w:val="FFFFFF"/>
                      <w:sz w:val="18"/>
                    </w:rPr>
                    <w:br/>
                    <w:t>virastokohtaiset</w:t>
                  </w:r>
                  <w:r w:rsidRPr="003206E5">
                    <w:rPr>
                      <w:b/>
                      <w:color w:val="FFFFFF"/>
                      <w:sz w:val="18"/>
                    </w:rPr>
                    <w:br/>
                    <w:t>pilotit</w:t>
                  </w:r>
                </w:p>
              </w:txbxContent>
            </v:textbox>
          </v:shape>
        </w:pict>
      </w:r>
      <w:r>
        <w:rPr>
          <w:noProof/>
          <w:lang w:val="fi-FI" w:eastAsia="fi-FI"/>
        </w:rPr>
        <w:pict>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margin-left:36.65pt;margin-top:48.7pt;width:142pt;height:63.15pt;z-index:251656192" fillcolor="red" stroked="f">
            <v:fill opacity="28836f"/>
          </v:shape>
        </w:pict>
      </w:r>
      <w:r w:rsidRPr="003206E5">
        <w:rPr>
          <w:noProof/>
          <w:lang w:val="fi-FI" w:eastAsia="fi-FI"/>
        </w:rPr>
        <w:pict>
          <v:shape id="Picture 4" o:spid="_x0000_i1028" type="#_x0000_t75" style="width:449.4pt;height:201pt;visibility:visible" o:bordertopcolor="#4f81bd" o:borderleftcolor="#4f81bd" o:borderbottomcolor="#4f81bd" o:borderrightcolor="#4f81bd">
            <v:imagedata r:id="rId14" o:title=""/>
            <w10:bordertop type="single" width="6"/>
            <w10:borderleft type="single" width="6"/>
            <w10:borderbottom type="single" width="6"/>
            <w10:borderright type="single" width="6"/>
          </v:shape>
        </w:pict>
      </w:r>
    </w:p>
    <w:p w:rsidR="009C0751" w:rsidRDefault="009C0751">
      <w:pPr>
        <w:rPr>
          <w:rFonts w:ascii="Cambria" w:hAnsi="Cambria"/>
          <w:b/>
          <w:bCs/>
          <w:color w:val="365F91"/>
          <w:sz w:val="28"/>
          <w:szCs w:val="28"/>
          <w:lang w:val="fi-FI"/>
        </w:rPr>
      </w:pPr>
    </w:p>
    <w:p w:rsidR="009C0751" w:rsidRDefault="009C0751" w:rsidP="00F12DAC">
      <w:pPr>
        <w:pStyle w:val="Heading1"/>
        <w:rPr>
          <w:lang w:val="fi-FI"/>
        </w:rPr>
      </w:pPr>
      <w:r>
        <w:rPr>
          <w:lang w:val="fi-FI"/>
        </w:rPr>
        <w:br/>
      </w:r>
      <w:bookmarkStart w:id="17" w:name="_Toc270372029"/>
      <w:r>
        <w:rPr>
          <w:lang w:val="fi-FI"/>
        </w:rPr>
        <w:t>13. Tavoitetilan saavuttamisen kriittiset menestystekijät ja riskit</w:t>
      </w:r>
      <w:bookmarkEnd w:id="17"/>
    </w:p>
    <w:p w:rsidR="009C0751" w:rsidRDefault="009C0751" w:rsidP="00F12DAC">
      <w:pPr>
        <w:pStyle w:val="Heading2"/>
        <w:rPr>
          <w:lang w:val="fi-FI"/>
        </w:rPr>
      </w:pPr>
      <w:bookmarkStart w:id="18" w:name="_Toc270372030"/>
      <w:r>
        <w:rPr>
          <w:lang w:val="fi-FI"/>
        </w:rPr>
        <w:t>Sivu 70: ”Virtuaalimalliin siirtymisen oikea-aikaisuus”</w:t>
      </w:r>
      <w:bookmarkEnd w:id="18"/>
    </w:p>
    <w:p w:rsidR="009C0751" w:rsidRDefault="009C0751" w:rsidP="007B6244">
      <w:pPr>
        <w:rPr>
          <w:lang w:val="fi-FI"/>
        </w:rPr>
      </w:pPr>
      <w:r>
        <w:rPr>
          <w:lang w:val="fi-FI"/>
        </w:rPr>
        <w:t>Virtuaalimalleihin siirryttäessä kannattaa alusta asti ottaa käyttöön avoimiin standardeihin perustuvaa pilvipalveluteknologiaa, esimerkiksi VMwaren Cloud Service Directorin avulla. Näin voidaan pienentää huomattavasti investointiriskejä projektin eri vaiheissa. Esimerkiksi virastokohtaisten pilottien tarvitsemat palvelut voidaan rakentaa tarjoamalla palveluiden vaatimaa infrastruktuuria erillisten palvelinympäristöjen sijasta keskitetyn pilvipalvelun virtuaalisista datacentereistä.</w:t>
      </w:r>
    </w:p>
    <w:p w:rsidR="009C0751" w:rsidRDefault="009C0751" w:rsidP="00F12DAC">
      <w:pPr>
        <w:pStyle w:val="Heading1"/>
        <w:rPr>
          <w:lang w:val="fi-FI"/>
        </w:rPr>
      </w:pPr>
      <w:r>
        <w:rPr>
          <w:lang w:val="fi-FI"/>
        </w:rPr>
        <w:br/>
      </w:r>
      <w:bookmarkStart w:id="19" w:name="_Toc270372031"/>
      <w:r>
        <w:rPr>
          <w:lang w:val="fi-FI"/>
        </w:rPr>
        <w:t>14. Käyttöönottomalli</w:t>
      </w:r>
      <w:bookmarkEnd w:id="19"/>
    </w:p>
    <w:p w:rsidR="009C0751" w:rsidRDefault="009C0751" w:rsidP="00F12DAC">
      <w:pPr>
        <w:pStyle w:val="Heading2"/>
        <w:rPr>
          <w:lang w:val="fi-FI"/>
        </w:rPr>
      </w:pPr>
      <w:bookmarkStart w:id="20" w:name="_Toc270372032"/>
      <w:r>
        <w:rPr>
          <w:lang w:val="fi-FI"/>
        </w:rPr>
        <w:t>14.3 Virtualisoitu työasemapalvelu (VTAP)</w:t>
      </w:r>
      <w:bookmarkEnd w:id="20"/>
    </w:p>
    <w:p w:rsidR="009C0751" w:rsidRDefault="009C0751" w:rsidP="00F12DAC">
      <w:pPr>
        <w:rPr>
          <w:lang w:val="fi-FI"/>
        </w:rPr>
      </w:pPr>
      <w:r>
        <w:rPr>
          <w:lang w:val="fi-FI"/>
        </w:rPr>
        <w:t>Virastokohtaiset hyväksytyt pilotit kannattaisi ottaa myös tähän virallisesti mukaan.</w:t>
      </w:r>
    </w:p>
    <w:p w:rsidR="009C0751" w:rsidRPr="00F12DAC" w:rsidRDefault="009C0751" w:rsidP="00F12DAC">
      <w:pPr>
        <w:rPr>
          <w:lang w:val="fi-FI"/>
        </w:rPr>
      </w:pPr>
      <w:r w:rsidRPr="003206E5">
        <w:rPr>
          <w:noProof/>
          <w:lang w:val="fi-FI" w:eastAsia="fi-FI"/>
        </w:rPr>
        <w:pict>
          <v:shape id="Picture 5" o:spid="_x0000_i1029" type="#_x0000_t75" style="width:450.6pt;height:220.8pt;visibility:visible" o:bordertopcolor="#4f81bd" o:borderleftcolor="#4f81bd" o:borderbottomcolor="#4f81bd" o:borderrightcolor="#4f81bd">
            <v:imagedata r:id="rId15" o:title=""/>
            <w10:bordertop type="single" width="6"/>
            <w10:borderleft type="single" width="6"/>
            <w10:borderbottom type="single" width="6"/>
            <w10:borderright type="single" width="6"/>
          </v:shape>
        </w:pict>
      </w:r>
    </w:p>
    <w:sectPr w:rsidR="009C0751" w:rsidRPr="00F12DAC" w:rsidSect="00F26346">
      <w:footerReference w:type="default" r:id="rId16"/>
      <w:pgSz w:w="11907" w:h="16839" w:code="9"/>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751" w:rsidRDefault="009C0751" w:rsidP="00477639">
      <w:pPr>
        <w:spacing w:after="0" w:line="240" w:lineRule="auto"/>
      </w:pPr>
      <w:r>
        <w:separator/>
      </w:r>
    </w:p>
  </w:endnote>
  <w:endnote w:type="continuationSeparator" w:id="0">
    <w:p w:rsidR="009C0751" w:rsidRDefault="009C0751" w:rsidP="0047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51" w:rsidRPr="00903CDF" w:rsidRDefault="009C0751" w:rsidP="003206E5">
    <w:pPr>
      <w:pStyle w:val="Footer"/>
      <w:pBdr>
        <w:top w:val="thinThickSmallGap" w:sz="24" w:space="1" w:color="622423"/>
      </w:pBdr>
      <w:tabs>
        <w:tab w:val="clear" w:pos="4680"/>
        <w:tab w:val="clear" w:pos="9360"/>
        <w:tab w:val="right" w:pos="9027"/>
      </w:tabs>
      <w:rPr>
        <w:rFonts w:ascii="Cambria" w:hAnsi="Cambria"/>
        <w:lang w:val="fi-FI"/>
      </w:rPr>
    </w:pPr>
    <w:r w:rsidRPr="00903CDF">
      <w:rPr>
        <w:rFonts w:ascii="Cambria" w:hAnsi="Cambria"/>
        <w:lang w:val="fi-FI"/>
      </w:rPr>
      <w:t>Lausunto:</w:t>
    </w:r>
    <w:r w:rsidRPr="00903CDF">
      <w:rPr>
        <w:rFonts w:ascii="Cambria" w:hAnsi="Cambria"/>
        <w:lang w:val="fi-FI"/>
      </w:rPr>
      <w:tab/>
      <w:t>VMware</w:t>
    </w:r>
    <w:r w:rsidRPr="00903CDF">
      <w:rPr>
        <w:rFonts w:ascii="Cambria" w:hAnsi="Cambria"/>
        <w:lang w:val="fi-FI"/>
      </w:rPr>
      <w:tab/>
      <w:t xml:space="preserve">Sivu </w:t>
    </w:r>
    <w:r w:rsidRPr="00903CDF">
      <w:rPr>
        <w:lang w:val="fi-FI"/>
      </w:rPr>
      <w:fldChar w:fldCharType="begin"/>
    </w:r>
    <w:r w:rsidRPr="00903CDF">
      <w:rPr>
        <w:lang w:val="fi-FI"/>
      </w:rPr>
      <w:instrText xml:space="preserve"> PAGE   \* MERGEFORMAT </w:instrText>
    </w:r>
    <w:r w:rsidRPr="00903CDF">
      <w:rPr>
        <w:lang w:val="fi-FI"/>
      </w:rPr>
      <w:fldChar w:fldCharType="separate"/>
    </w:r>
    <w:r w:rsidRPr="002C1F68">
      <w:rPr>
        <w:rFonts w:ascii="Cambria" w:hAnsi="Cambria"/>
        <w:noProof/>
        <w:lang w:val="fi-FI"/>
      </w:rPr>
      <w:t>2</w:t>
    </w:r>
    <w:r w:rsidRPr="00903CDF">
      <w:rPr>
        <w:lang w:val="fi-FI"/>
      </w:rPr>
      <w:fldChar w:fldCharType="end"/>
    </w:r>
  </w:p>
  <w:p w:rsidR="009C0751" w:rsidRPr="00903CDF" w:rsidRDefault="009C0751">
    <w:pPr>
      <w:pStyle w:val="Footer"/>
      <w:rPr>
        <w:lang w:val="fi-FI"/>
      </w:rPr>
    </w:pPr>
    <w:r w:rsidRPr="00903CDF">
      <w:rPr>
        <w:lang w:val="fi-FI"/>
      </w:rPr>
      <w:t>VY työasemaratkaisun esitutkimuksen lausuntopyyntö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751" w:rsidRDefault="009C0751" w:rsidP="00477639">
      <w:pPr>
        <w:spacing w:after="0" w:line="240" w:lineRule="auto"/>
      </w:pPr>
      <w:r>
        <w:separator/>
      </w:r>
    </w:p>
  </w:footnote>
  <w:footnote w:type="continuationSeparator" w:id="0">
    <w:p w:rsidR="009C0751" w:rsidRDefault="009C0751" w:rsidP="00477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51" w:rsidRDefault="009C0751">
    <w:pPr>
      <w:pStyle w:val="Header"/>
    </w:pPr>
    <w:r>
      <w:rPr>
        <w:noProof/>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75.45pt;margin-top:-16.15pt;width:600.65pt;height:52.1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2A4B"/>
    <w:multiLevelType w:val="hybridMultilevel"/>
    <w:tmpl w:val="93D257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B8F0192"/>
    <w:multiLevelType w:val="hybridMultilevel"/>
    <w:tmpl w:val="ACFA84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CF87A63"/>
    <w:multiLevelType w:val="hybridMultilevel"/>
    <w:tmpl w:val="2D06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15CC3"/>
    <w:multiLevelType w:val="hybridMultilevel"/>
    <w:tmpl w:val="E912E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26F"/>
    <w:rsid w:val="00042F37"/>
    <w:rsid w:val="00100127"/>
    <w:rsid w:val="0011318D"/>
    <w:rsid w:val="00136D54"/>
    <w:rsid w:val="001535E9"/>
    <w:rsid w:val="00157C0D"/>
    <w:rsid w:val="001C3642"/>
    <w:rsid w:val="001E1C82"/>
    <w:rsid w:val="001F4C18"/>
    <w:rsid w:val="0020794B"/>
    <w:rsid w:val="00211A85"/>
    <w:rsid w:val="002154A1"/>
    <w:rsid w:val="002205AC"/>
    <w:rsid w:val="00233511"/>
    <w:rsid w:val="002C1F68"/>
    <w:rsid w:val="003206E5"/>
    <w:rsid w:val="00352F66"/>
    <w:rsid w:val="00395431"/>
    <w:rsid w:val="00396762"/>
    <w:rsid w:val="00444BAE"/>
    <w:rsid w:val="00477639"/>
    <w:rsid w:val="00544067"/>
    <w:rsid w:val="00544CE8"/>
    <w:rsid w:val="0059326F"/>
    <w:rsid w:val="007370E2"/>
    <w:rsid w:val="00770DFB"/>
    <w:rsid w:val="007764E6"/>
    <w:rsid w:val="007B6244"/>
    <w:rsid w:val="007F453F"/>
    <w:rsid w:val="00841999"/>
    <w:rsid w:val="00890DA8"/>
    <w:rsid w:val="00893AB3"/>
    <w:rsid w:val="00903CDF"/>
    <w:rsid w:val="00936B1E"/>
    <w:rsid w:val="009C0751"/>
    <w:rsid w:val="009C3513"/>
    <w:rsid w:val="009D7ACA"/>
    <w:rsid w:val="00AA0321"/>
    <w:rsid w:val="00AA2FE2"/>
    <w:rsid w:val="00B0227D"/>
    <w:rsid w:val="00B15845"/>
    <w:rsid w:val="00B638BC"/>
    <w:rsid w:val="00B82F38"/>
    <w:rsid w:val="00BF643E"/>
    <w:rsid w:val="00C124D3"/>
    <w:rsid w:val="00C610DC"/>
    <w:rsid w:val="00D0788C"/>
    <w:rsid w:val="00D86ECD"/>
    <w:rsid w:val="00DB50D8"/>
    <w:rsid w:val="00E315CB"/>
    <w:rsid w:val="00E6242B"/>
    <w:rsid w:val="00E635A1"/>
    <w:rsid w:val="00ED2C09"/>
    <w:rsid w:val="00F018E9"/>
    <w:rsid w:val="00F12DAC"/>
    <w:rsid w:val="00F17224"/>
    <w:rsid w:val="00F26346"/>
    <w:rsid w:val="00F36A3F"/>
    <w:rsid w:val="00F47373"/>
    <w:rsid w:val="00FD54A6"/>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5431"/>
    <w:pPr>
      <w:spacing w:after="200" w:line="276" w:lineRule="auto"/>
    </w:pPr>
    <w:rPr>
      <w:lang w:val="en-US" w:eastAsia="en-US"/>
    </w:rPr>
  </w:style>
  <w:style w:type="paragraph" w:styleId="Heading1">
    <w:name w:val="heading 1"/>
    <w:basedOn w:val="Normal"/>
    <w:next w:val="Normal"/>
    <w:link w:val="Heading1Char"/>
    <w:uiPriority w:val="99"/>
    <w:qFormat/>
    <w:rsid w:val="0059326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7763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D2C0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26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7763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D2C09"/>
    <w:rPr>
      <w:rFonts w:ascii="Cambria" w:hAnsi="Cambria" w:cs="Times New Roman"/>
      <w:b/>
      <w:bCs/>
      <w:color w:val="4F81BD"/>
    </w:rPr>
  </w:style>
  <w:style w:type="paragraph" w:styleId="Header">
    <w:name w:val="header"/>
    <w:basedOn w:val="Normal"/>
    <w:link w:val="HeaderChar"/>
    <w:uiPriority w:val="99"/>
    <w:semiHidden/>
    <w:rsid w:val="004776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77639"/>
    <w:rPr>
      <w:rFonts w:cs="Times New Roman"/>
    </w:rPr>
  </w:style>
  <w:style w:type="paragraph" w:styleId="Footer">
    <w:name w:val="footer"/>
    <w:basedOn w:val="Normal"/>
    <w:link w:val="FooterChar"/>
    <w:uiPriority w:val="99"/>
    <w:rsid w:val="004776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77639"/>
    <w:rPr>
      <w:rFonts w:cs="Times New Roman"/>
    </w:rPr>
  </w:style>
  <w:style w:type="paragraph" w:styleId="BalloonText">
    <w:name w:val="Balloon Text"/>
    <w:basedOn w:val="Normal"/>
    <w:link w:val="BalloonTextChar"/>
    <w:uiPriority w:val="99"/>
    <w:semiHidden/>
    <w:rsid w:val="0047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7639"/>
    <w:rPr>
      <w:rFonts w:ascii="Tahoma" w:hAnsi="Tahoma" w:cs="Tahoma"/>
      <w:sz w:val="16"/>
      <w:szCs w:val="16"/>
    </w:rPr>
  </w:style>
  <w:style w:type="table" w:styleId="TableGrid">
    <w:name w:val="Table Grid"/>
    <w:basedOn w:val="TableNormal"/>
    <w:uiPriority w:val="99"/>
    <w:rsid w:val="00BF643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396762"/>
    <w:pPr>
      <w:outlineLvl w:val="9"/>
    </w:pPr>
  </w:style>
  <w:style w:type="paragraph" w:styleId="TOC1">
    <w:name w:val="toc 1"/>
    <w:basedOn w:val="Normal"/>
    <w:next w:val="Normal"/>
    <w:autoRedefine/>
    <w:uiPriority w:val="99"/>
    <w:rsid w:val="00396762"/>
    <w:pPr>
      <w:spacing w:after="100"/>
    </w:pPr>
  </w:style>
  <w:style w:type="paragraph" w:styleId="TOC2">
    <w:name w:val="toc 2"/>
    <w:basedOn w:val="Normal"/>
    <w:next w:val="Normal"/>
    <w:autoRedefine/>
    <w:uiPriority w:val="99"/>
    <w:rsid w:val="00396762"/>
    <w:pPr>
      <w:spacing w:after="100"/>
      <w:ind w:left="220"/>
    </w:pPr>
  </w:style>
  <w:style w:type="character" w:styleId="Hyperlink">
    <w:name w:val="Hyperlink"/>
    <w:basedOn w:val="DefaultParagraphFont"/>
    <w:uiPriority w:val="99"/>
    <w:rsid w:val="00396762"/>
    <w:rPr>
      <w:rFonts w:cs="Times New Roman"/>
      <w:color w:val="0000FF"/>
      <w:u w:val="single"/>
    </w:rPr>
  </w:style>
  <w:style w:type="paragraph" w:styleId="ListParagraph">
    <w:name w:val="List Paragraph"/>
    <w:basedOn w:val="Normal"/>
    <w:uiPriority w:val="99"/>
    <w:qFormat/>
    <w:rsid w:val="00AA2FE2"/>
    <w:pPr>
      <w:ind w:left="720"/>
      <w:contextualSpacing/>
    </w:pPr>
  </w:style>
  <w:style w:type="paragraph" w:styleId="TOC3">
    <w:name w:val="toc 3"/>
    <w:basedOn w:val="Normal"/>
    <w:next w:val="Normal"/>
    <w:autoRedefine/>
    <w:uiPriority w:val="99"/>
    <w:rsid w:val="00444BAE"/>
    <w:pPr>
      <w:spacing w:after="100"/>
      <w:ind w:left="440"/>
    </w:pPr>
  </w:style>
  <w:style w:type="paragraph" w:styleId="NoSpacing">
    <w:name w:val="No Spacing"/>
    <w:uiPriority w:val="99"/>
    <w:qFormat/>
    <w:rsid w:val="001F4C18"/>
    <w:rPr>
      <w:lang w:val="en-US" w:eastAsia="en-US"/>
    </w:rPr>
  </w:style>
</w:styles>
</file>

<file path=word/webSettings.xml><?xml version="1.0" encoding="utf-8"?>
<w:webSettings xmlns:r="http://schemas.openxmlformats.org/officeDocument/2006/relationships" xmlns:w="http://schemas.openxmlformats.org/wordprocessingml/2006/main">
  <w:divs>
    <w:div w:id="1102457973">
      <w:marLeft w:val="0"/>
      <w:marRight w:val="0"/>
      <w:marTop w:val="0"/>
      <w:marBottom w:val="0"/>
      <w:divBdr>
        <w:top w:val="none" w:sz="0" w:space="0" w:color="auto"/>
        <w:left w:val="none" w:sz="0" w:space="0" w:color="auto"/>
        <w:bottom w:val="none" w:sz="0" w:space="0" w:color="auto"/>
        <w:right w:val="none" w:sz="0" w:space="0" w:color="auto"/>
      </w:divBdr>
    </w:div>
    <w:div w:id="1102457974">
      <w:marLeft w:val="0"/>
      <w:marRight w:val="0"/>
      <w:marTop w:val="0"/>
      <w:marBottom w:val="0"/>
      <w:divBdr>
        <w:top w:val="none" w:sz="0" w:space="0" w:color="auto"/>
        <w:left w:val="none" w:sz="0" w:space="0" w:color="auto"/>
        <w:bottom w:val="none" w:sz="0" w:space="0" w:color="auto"/>
        <w:right w:val="none" w:sz="0" w:space="0" w:color="auto"/>
      </w:divBdr>
    </w:div>
    <w:div w:id="110245797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jyranoja@vmware.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mailto:pulmanen@vmware.com" TargetMode="External"/><Relationship Id="rId4" Type="http://schemas.openxmlformats.org/officeDocument/2006/relationships/webSettings" Target="webSettings.xml"/><Relationship Id="rId9" Type="http://schemas.openxmlformats.org/officeDocument/2006/relationships/hyperlink" Target="mailto:phaataja@vmware.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1113</Words>
  <Characters>9019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 työasemaratkaisun </dc:title>
  <dc:subject/>
  <dc:creator>Windows User</dc:creator>
  <cp:keywords/>
  <dc:description/>
  <cp:lastModifiedBy>Liisa Hyvärinen</cp:lastModifiedBy>
  <cp:revision>2</cp:revision>
  <cp:lastPrinted>2010-08-24T10:07:00Z</cp:lastPrinted>
  <dcterms:created xsi:type="dcterms:W3CDTF">2010-08-24T10:08:00Z</dcterms:created>
  <dcterms:modified xsi:type="dcterms:W3CDTF">2010-08-24T10:08:00Z</dcterms:modified>
</cp:coreProperties>
</file>