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9B9" w:rsidRDefault="003519B9" w:rsidP="00E63AB1"/>
    <w:p w:rsidR="00B161E2" w:rsidRDefault="00B161E2" w:rsidP="00EC0ED5"/>
    <w:p w:rsidR="00EC0ED5" w:rsidRPr="00EC0ED5" w:rsidRDefault="00EC0ED5" w:rsidP="00EC0ED5">
      <w:r w:rsidRPr="00EC0ED5">
        <w:t>Työ- ja elinkeinoministeriö</w:t>
      </w:r>
      <w:r w:rsidR="00595FD9">
        <w:tab/>
      </w:r>
      <w:r w:rsidR="00595FD9">
        <w:tab/>
      </w:r>
      <w:r w:rsidR="00595FD9">
        <w:tab/>
      </w:r>
      <w:r w:rsidR="00595FD9">
        <w:tab/>
        <w:t>20.7.2018</w:t>
      </w:r>
    </w:p>
    <w:p w:rsidR="00EC0ED5" w:rsidRPr="00EC0ED5" w:rsidRDefault="00EC0ED5" w:rsidP="00EC0ED5">
      <w:r w:rsidRPr="00EC0ED5">
        <w:t>kirjaamo@tem.fi</w:t>
      </w:r>
    </w:p>
    <w:p w:rsidR="00EC0ED5" w:rsidRPr="00EC0ED5" w:rsidRDefault="00EC0ED5" w:rsidP="00EC0ED5">
      <w:r w:rsidRPr="00EC0ED5">
        <w:t>sari.alho@tem.fi</w:t>
      </w:r>
    </w:p>
    <w:p w:rsidR="00EC0ED5" w:rsidRDefault="00EC0ED5" w:rsidP="00EC0ED5"/>
    <w:p w:rsidR="00B161E2" w:rsidRDefault="00B161E2" w:rsidP="00EC0ED5"/>
    <w:p w:rsidR="00B161E2" w:rsidRPr="00EC0ED5" w:rsidRDefault="00B161E2" w:rsidP="00EC0ED5"/>
    <w:p w:rsidR="00E01E4F" w:rsidRDefault="00E01E4F" w:rsidP="00EC0ED5">
      <w:pPr>
        <w:ind w:left="709" w:firstLine="0"/>
        <w:rPr>
          <w:b/>
        </w:rPr>
      </w:pPr>
      <w:r w:rsidRPr="00E01E4F">
        <w:rPr>
          <w:b/>
        </w:rPr>
        <w:t>Lausunto hallituksen esityksen luonnoksesta laeiksi Kilpailu- ja kuluttajavirastosta annetun lain, valmiuslain ja kuluttajariitalautakunnasta annetun lain muuttamisesta, rekisterihallintoasetuksen sekä Kilpailu ja kuluttajaviraston maksullisista suoritteista annetun työ- ja elinkeinoministeriön asetuksen muuttamisesta. TEM/1144/03.01.08/2018</w:t>
      </w:r>
    </w:p>
    <w:p w:rsidR="00970FD0" w:rsidRDefault="00970FD0" w:rsidP="00904EAB">
      <w:pPr>
        <w:rPr>
          <w:b/>
          <w:u w:val="single"/>
        </w:rPr>
      </w:pPr>
    </w:p>
    <w:p w:rsidR="00B161E2" w:rsidRDefault="00B161E2" w:rsidP="00904EAB">
      <w:pPr>
        <w:rPr>
          <w:b/>
          <w:u w:val="single"/>
        </w:rPr>
      </w:pPr>
    </w:p>
    <w:p w:rsidR="00446D30" w:rsidRDefault="00446D30" w:rsidP="00904EAB">
      <w:pPr>
        <w:rPr>
          <w:b/>
          <w:u w:val="single"/>
        </w:rPr>
      </w:pPr>
    </w:p>
    <w:p w:rsidR="00904EAB" w:rsidRPr="00520E3F" w:rsidRDefault="00904EAB" w:rsidP="00904EAB">
      <w:pPr>
        <w:rPr>
          <w:b/>
          <w:u w:val="single"/>
        </w:rPr>
      </w:pPr>
      <w:r w:rsidRPr="00520E3F">
        <w:rPr>
          <w:b/>
          <w:u w:val="single"/>
        </w:rPr>
        <w:t>Neuvonta kuluttajalle merkittävistä asioista</w:t>
      </w:r>
    </w:p>
    <w:p w:rsidR="00904EAB" w:rsidRPr="00520E3F" w:rsidRDefault="00904EAB" w:rsidP="00904EAB"/>
    <w:p w:rsidR="00904EAB" w:rsidRPr="00520E3F" w:rsidRDefault="00904EAB" w:rsidP="00904EAB">
      <w:r w:rsidRPr="00520E3F">
        <w:t xml:space="preserve">Kuluttajaneuvonnan sisältöä koskevassa ehdotetussa 16 a §:ssä kuluttajaneuvonnassa </w:t>
      </w:r>
    </w:p>
    <w:p w:rsidR="00904EAB" w:rsidRPr="00520E3F" w:rsidRDefault="00904EAB" w:rsidP="00904EAB"/>
    <w:p w:rsidR="00904EAB" w:rsidRPr="00520E3F" w:rsidRDefault="00904EAB" w:rsidP="00904EAB">
      <w:pPr>
        <w:rPr>
          <w:i/>
        </w:rPr>
      </w:pPr>
      <w:r w:rsidRPr="00520E3F">
        <w:rPr>
          <w:i/>
        </w:rPr>
        <w:t>1)</w:t>
      </w:r>
      <w:r w:rsidRPr="00520E3F">
        <w:t xml:space="preserve"> </w:t>
      </w:r>
      <w:r w:rsidR="00446D30" w:rsidRPr="00520E3F">
        <w:t>”</w:t>
      </w:r>
      <w:r w:rsidRPr="00520E3F">
        <w:rPr>
          <w:i/>
        </w:rPr>
        <w:t>annetaan kuluttajille ja elinkeinonharjoittajille tietoja ja neuvontaa kuluttajalle merkittävistä</w:t>
      </w:r>
    </w:p>
    <w:p w:rsidR="00904EAB" w:rsidRPr="00520E3F" w:rsidRDefault="00904EAB" w:rsidP="00904EAB">
      <w:r w:rsidRPr="00520E3F">
        <w:rPr>
          <w:i/>
        </w:rPr>
        <w:t>asioista sekä kuluttajan oikeudellisesta asemasta</w:t>
      </w:r>
      <w:r w:rsidR="00834C52" w:rsidRPr="00520E3F">
        <w:t>.</w:t>
      </w:r>
      <w:r w:rsidR="00446D30" w:rsidRPr="00520E3F">
        <w:t>”</w:t>
      </w:r>
    </w:p>
    <w:p w:rsidR="00904EAB" w:rsidRPr="00520E3F" w:rsidRDefault="00904EAB" w:rsidP="00904EAB"/>
    <w:p w:rsidR="00904EAB" w:rsidRPr="00520E3F" w:rsidRDefault="00904EAB" w:rsidP="00834C52">
      <w:pPr>
        <w:ind w:left="709" w:firstLine="0"/>
      </w:pPr>
      <w:r w:rsidRPr="00520E3F">
        <w:t xml:space="preserve">Käytännössä kuluttajaneuvonnan toimintaohjeet linjaavat asiaa tarkemmin. Kuluttajaneuvontaan kuuluvat kuluttajan ja elinkeinonharjoittajan väliset riitatilanteet. Yksityishenkilöiden välisistä kaupoista poikkeuksen tekee asuntokaupat, joissa annetaan yleistä neuvontaa. Lakitekstiä olisi toivottavaa täsmentää kuvaamaan paremmin vakiintunutta kuluttajaneuvonnan toimivaltaa. </w:t>
      </w:r>
    </w:p>
    <w:p w:rsidR="00904EAB" w:rsidRDefault="00904EAB" w:rsidP="00904EAB"/>
    <w:p w:rsidR="00B161E2" w:rsidRDefault="00B161E2" w:rsidP="00904EAB"/>
    <w:p w:rsidR="00904EAB" w:rsidRDefault="00904EAB" w:rsidP="00904EAB"/>
    <w:p w:rsidR="00904EAB" w:rsidRPr="00904EAB" w:rsidRDefault="00904EAB" w:rsidP="00904EAB">
      <w:pPr>
        <w:rPr>
          <w:b/>
          <w:u w:val="single"/>
        </w:rPr>
      </w:pPr>
      <w:r w:rsidRPr="00904EAB">
        <w:rPr>
          <w:b/>
          <w:u w:val="single"/>
        </w:rPr>
        <w:t>Avustaminen</w:t>
      </w:r>
    </w:p>
    <w:p w:rsidR="00904EAB" w:rsidRDefault="00904EAB" w:rsidP="00904EAB"/>
    <w:p w:rsidR="00904EAB" w:rsidRDefault="00904EAB" w:rsidP="00904EAB">
      <w:r>
        <w:t xml:space="preserve">Ehdotetussa 16 a §:ssä kuluttajaneuvonnassa </w:t>
      </w:r>
    </w:p>
    <w:p w:rsidR="00904EAB" w:rsidRPr="00834C52" w:rsidRDefault="00904EAB" w:rsidP="00904EAB">
      <w:pPr>
        <w:rPr>
          <w:i/>
        </w:rPr>
      </w:pPr>
      <w:r w:rsidRPr="00446D30">
        <w:rPr>
          <w:i/>
        </w:rPr>
        <w:t>2)</w:t>
      </w:r>
      <w:r w:rsidRPr="00834C52">
        <w:rPr>
          <w:i/>
        </w:rPr>
        <w:t xml:space="preserve"> </w:t>
      </w:r>
      <w:r w:rsidR="00446D30">
        <w:rPr>
          <w:i/>
        </w:rPr>
        <w:t>”</w:t>
      </w:r>
      <w:r w:rsidRPr="00834C52">
        <w:rPr>
          <w:i/>
        </w:rPr>
        <w:t>avustetaan kuluttajaa yksittäisessä elinkeinonharjoittajan ja kuluttajan välisessä ristiriitatilanteessa</w:t>
      </w:r>
    </w:p>
    <w:p w:rsidR="00904EAB" w:rsidRPr="00834C52" w:rsidRDefault="00904EAB" w:rsidP="00904EAB">
      <w:pPr>
        <w:rPr>
          <w:i/>
        </w:rPr>
      </w:pPr>
      <w:r w:rsidRPr="00834C52">
        <w:rPr>
          <w:i/>
        </w:rPr>
        <w:t>selvittämällä asiaa ja pyrkimällä sovintoratkaisuun sekä ohjataan kuluttaja tarvittaessa</w:t>
      </w:r>
    </w:p>
    <w:p w:rsidR="00904EAB" w:rsidRDefault="00904EAB" w:rsidP="00904EAB">
      <w:r w:rsidRPr="00834C52">
        <w:rPr>
          <w:i/>
        </w:rPr>
        <w:t>asianmukaiseen oikeussuojaa antavaan toimielimeen</w:t>
      </w:r>
      <w:r>
        <w:t>.</w:t>
      </w:r>
      <w:r w:rsidR="00446D30">
        <w:t>”</w:t>
      </w:r>
      <w:r>
        <w:t xml:space="preserve"> </w:t>
      </w:r>
    </w:p>
    <w:p w:rsidR="00904EAB" w:rsidRDefault="00904EAB" w:rsidP="00904EAB"/>
    <w:p w:rsidR="00904EAB" w:rsidRDefault="00904EAB" w:rsidP="00834C52">
      <w:pPr>
        <w:ind w:left="709" w:firstLine="0"/>
      </w:pPr>
      <w:r>
        <w:t>Avustaminen on kuluttajaneuvonnan työhön liittyen</w:t>
      </w:r>
      <w:r w:rsidR="00303814">
        <w:t xml:space="preserve"> </w:t>
      </w:r>
      <w:r>
        <w:t xml:space="preserve">harhaanjohtava sana, joka viittaa vahvasti päämies/asiamies-asetelmaan. Tämä yhdistettynä siihen, että myös kuluttajaneuvonta voisi hankkia asiakkaan laskuun selvityksiä, on toiminnan puolueettomuuden kannalta ongelmallista. Tarkoituksena on saada asiat kuluttajaneuvonnan kautta sovittua. Elinkeinonharjoittajille ei saisi tulla käsitystä, että neuvonnassa ajetaan yksipuolisesti kuluttajan asiaa. </w:t>
      </w:r>
    </w:p>
    <w:p w:rsidR="00904EAB" w:rsidRDefault="00904EAB" w:rsidP="00904EAB"/>
    <w:p w:rsidR="00904EAB" w:rsidRDefault="00904EAB" w:rsidP="00834C52">
      <w:pPr>
        <w:ind w:left="709" w:firstLine="0"/>
      </w:pPr>
      <w:r>
        <w:t xml:space="preserve">On tärkeää säilyttää neuvonnan rooli puolueettomana sovittelijana, tämä olisi hyvä jopa tuoda esille lakitekstissä. </w:t>
      </w:r>
    </w:p>
    <w:p w:rsidR="00904EAB" w:rsidRDefault="00904EAB" w:rsidP="00904EAB"/>
    <w:p w:rsidR="00904EAB" w:rsidRDefault="00904EAB" w:rsidP="00904EAB">
      <w:r>
        <w:t>Neuvonnan vakiintunutta roolia paremmin kuvaavasti asian voisi kirjoittaa lakiin:</w:t>
      </w:r>
    </w:p>
    <w:p w:rsidR="00904EAB" w:rsidRDefault="00904EAB" w:rsidP="00834C52">
      <w:pPr>
        <w:ind w:left="709" w:firstLine="0"/>
      </w:pPr>
      <w:r>
        <w:t xml:space="preserve">2) </w:t>
      </w:r>
      <w:r w:rsidRPr="00834C52">
        <w:rPr>
          <w:b/>
        </w:rPr>
        <w:t>turvataan kuluttajan oikeudellista asemaa</w:t>
      </w:r>
      <w:r>
        <w:t xml:space="preserve"> </w:t>
      </w:r>
      <w:r w:rsidR="00446D30">
        <w:t>”</w:t>
      </w:r>
      <w:r w:rsidRPr="00834C52">
        <w:rPr>
          <w:i/>
        </w:rPr>
        <w:t>yksittäisessä elinkeinonharjoittajan ja kuluttajan välisessä ristiriitatilanteessa selvittämällä asiaa ja pyrkimällä sovintoratkaisuun sekä ohjataan kuluttaja tarvittaessa asianmukaiseen oikeussuojaa antavaan toimielimeen.</w:t>
      </w:r>
      <w:r w:rsidR="00446D30">
        <w:rPr>
          <w:i/>
        </w:rPr>
        <w:t>”</w:t>
      </w:r>
    </w:p>
    <w:p w:rsidR="00904EAB" w:rsidRDefault="00904EAB" w:rsidP="00904EAB"/>
    <w:p w:rsidR="00904EAB" w:rsidRDefault="00904EAB" w:rsidP="00904EAB"/>
    <w:p w:rsidR="00B161E2" w:rsidRDefault="00B161E2" w:rsidP="00904EAB"/>
    <w:p w:rsidR="00B161E2" w:rsidRDefault="00B161E2" w:rsidP="00904EAB"/>
    <w:p w:rsidR="00904EAB" w:rsidRPr="00904EAB" w:rsidRDefault="00904EAB" w:rsidP="00904EAB">
      <w:pPr>
        <w:rPr>
          <w:b/>
          <w:u w:val="single"/>
        </w:rPr>
      </w:pPr>
      <w:r w:rsidRPr="00904EAB">
        <w:rPr>
          <w:b/>
          <w:u w:val="single"/>
        </w:rPr>
        <w:t>Maksulliset suoritteet</w:t>
      </w:r>
    </w:p>
    <w:p w:rsidR="00904EAB" w:rsidRDefault="00904EAB" w:rsidP="00904EAB"/>
    <w:p w:rsidR="00904EAB" w:rsidRPr="00834C52" w:rsidRDefault="00904EAB" w:rsidP="00834C52">
      <w:pPr>
        <w:ind w:left="709" w:firstLine="0"/>
        <w:rPr>
          <w:i/>
        </w:rPr>
      </w:pPr>
      <w:r>
        <w:t>Kuluttajaneuvonnasta perittävien maksujen 16 c §:n maksullisuus-kohdan perustelut ihmetyttävät. "</w:t>
      </w:r>
      <w:r w:rsidRPr="00834C52">
        <w:rPr>
          <w:i/>
        </w:rPr>
        <w:t xml:space="preserve">Maksun periminen saattaisi tulla kyseeseen silloin, kun yksittäisen ristiriitatilanteen selvittämisen kannalta olisi välttämätöntä hankkia esimerkiksi asiantuntijalausuntoja tai muita merkittäviä kustannuksia aiheuttavia selvityksiä. Kilpailu- ja kuluttajaviraston tulisi tällöin selvittää tilanne kuluttajalle ja kertoa siitä, että maksu tultaisiin perimään kuluttajalta." </w:t>
      </w:r>
    </w:p>
    <w:p w:rsidR="00904EAB" w:rsidRDefault="00904EAB" w:rsidP="00904EAB"/>
    <w:p w:rsidR="00904EAB" w:rsidRDefault="00904EAB" w:rsidP="00834C52">
      <w:pPr>
        <w:ind w:left="709" w:firstLine="0"/>
      </w:pPr>
      <w:r>
        <w:t>Neuvojan rooli on</w:t>
      </w:r>
      <w:r w:rsidR="00303814">
        <w:t xml:space="preserve"> </w:t>
      </w:r>
      <w:r w:rsidR="00520E3F">
        <w:t>nykyisin</w:t>
      </w:r>
      <w:r>
        <w:t xml:space="preserve"> opastaa asiakasta tarvittaessa hankkimaan lausunto, ei tehdä sitä asiakkaan puolesta.</w:t>
      </w:r>
      <w:r w:rsidR="00303814">
        <w:t xml:space="preserve"> </w:t>
      </w:r>
      <w:r w:rsidR="00520E3F">
        <w:t>Onko tarkoituksenmukaista muuttaa tätä,</w:t>
      </w:r>
      <w:r w:rsidR="00303814">
        <w:rPr>
          <w:color w:val="FF0000"/>
        </w:rPr>
        <w:t xml:space="preserve"> </w:t>
      </w:r>
      <w:r w:rsidR="00520E3F" w:rsidRPr="00520E3F">
        <w:t>e</w:t>
      </w:r>
      <w:r>
        <w:t>iväthän neuvojat myöskään tee reklamaatioita asiakkaiden puolesta tai täytä valituskaavakkeita kuluttajariitalautakuntaan meneviin asiakkaiden valituksiin. Jos asiakkaan valitus ei menestyisi</w:t>
      </w:r>
      <w:r w:rsidR="00520E3F">
        <w:t xml:space="preserve">, syyttäisikö asiakas neuvojaa. </w:t>
      </w:r>
      <w:r>
        <w:t xml:space="preserve">Neuvoja ei myöskään voi suosia ketään </w:t>
      </w:r>
      <w:r w:rsidR="00520E3F">
        <w:t>e</w:t>
      </w:r>
      <w:r>
        <w:t xml:space="preserve">linkeinonharjoittajaa, ja valita mistä yrityksestä </w:t>
      </w:r>
      <w:proofErr w:type="gramStart"/>
      <w:r>
        <w:t>lausunto</w:t>
      </w:r>
      <w:proofErr w:type="gramEnd"/>
      <w:r>
        <w:t xml:space="preserve"> milloinkin pyydetään. Asiakas päättää kenet alan asiantuntijoista hän valitsee lausunnon antajaksi. </w:t>
      </w:r>
    </w:p>
    <w:p w:rsidR="00904EAB" w:rsidRDefault="00904EAB" w:rsidP="00904EAB"/>
    <w:p w:rsidR="00904EAB" w:rsidRDefault="00520E3F" w:rsidP="00520E3F">
      <w:pPr>
        <w:ind w:left="709" w:firstLine="0"/>
      </w:pPr>
      <w:r w:rsidRPr="00520E3F">
        <w:t>Maistraatin käsityksen mukaan r</w:t>
      </w:r>
      <w:r w:rsidR="00904EAB" w:rsidRPr="00520E3F">
        <w:t xml:space="preserve">iidan </w:t>
      </w:r>
      <w:r w:rsidR="00904EAB">
        <w:t xml:space="preserve">osapuolten tehtävänä on hankkia näyttö, ei riidan sovittelijan. Neuvonnan resurssitkaan eivät </w:t>
      </w:r>
      <w:r>
        <w:t>nykyisellään</w:t>
      </w:r>
      <w:r w:rsidR="00303814">
        <w:rPr>
          <w:color w:val="FF0000"/>
        </w:rPr>
        <w:t xml:space="preserve"> </w:t>
      </w:r>
      <w:r w:rsidR="00904EAB">
        <w:t>riittäisi tällaisella tasolla annettavaan palveluun.</w:t>
      </w:r>
    </w:p>
    <w:p w:rsidR="00904EAB" w:rsidRDefault="00904EAB" w:rsidP="00904EAB"/>
    <w:p w:rsidR="00B161E2" w:rsidRDefault="00B161E2" w:rsidP="00904EAB"/>
    <w:p w:rsidR="00904EAB" w:rsidRDefault="00904EAB" w:rsidP="00904EAB"/>
    <w:p w:rsidR="00904EAB" w:rsidRPr="00904EAB" w:rsidRDefault="00904EAB" w:rsidP="00904EAB">
      <w:pPr>
        <w:rPr>
          <w:b/>
          <w:u w:val="single"/>
        </w:rPr>
      </w:pPr>
      <w:r w:rsidRPr="00904EAB">
        <w:rPr>
          <w:b/>
          <w:u w:val="single"/>
        </w:rPr>
        <w:t>Kelpoisuusvaatimukset</w:t>
      </w:r>
    </w:p>
    <w:p w:rsidR="00904EAB" w:rsidRDefault="00904EAB" w:rsidP="00904EAB"/>
    <w:p w:rsidR="00904EAB" w:rsidRDefault="00904EAB" w:rsidP="00834C52">
      <w:pPr>
        <w:ind w:left="709" w:firstLine="0"/>
      </w:pPr>
      <w:r>
        <w:t xml:space="preserve">Kuluttajaneuvonnasta annetun lain 5 §:ssä säädetään kuluttajaneuvontaa antavan henkilön kelpoisuusvaatimuksista. Voimassa olevan säännöksen mukaan kuluttajaneuvontaa antavan henkilön kelpoisuusvaatimuksena on, että hänellä on </w:t>
      </w:r>
      <w:r w:rsidR="00446D30">
        <w:t>”</w:t>
      </w:r>
      <w:r w:rsidRPr="00446D30">
        <w:rPr>
          <w:i/>
        </w:rPr>
        <w:t>tehtävään soveltuva korkeakoulututkinto sekä sellainen kielitaito ja kokemus, jota tehtävän asianmukainen hoitaminen edellyttää</w:t>
      </w:r>
      <w:r>
        <w:t>.</w:t>
      </w:r>
      <w:r w:rsidR="00446D30">
        <w:t>”</w:t>
      </w:r>
    </w:p>
    <w:p w:rsidR="00904EAB" w:rsidRDefault="00904EAB" w:rsidP="00904EAB"/>
    <w:p w:rsidR="00904EAB" w:rsidRDefault="00904EAB" w:rsidP="00834C52">
      <w:pPr>
        <w:ind w:left="709" w:firstLine="0"/>
      </w:pPr>
      <w:r>
        <w:t xml:space="preserve">Kuluttajaneuvontaa antavan henkilön kelpoisuusvaatimuksia koskeva säännös esitetään kumottavaksi. Tätä perustellaan sillä, ettei </w:t>
      </w:r>
      <w:proofErr w:type="spellStart"/>
      <w:r>
        <w:t>KKV:n</w:t>
      </w:r>
      <w:proofErr w:type="spellEnd"/>
      <w:r>
        <w:t xml:space="preserve"> henkilöstölle ole joitain poikkeuksia lukuun ottamatta säädetty pätevyysvaatimuksia, eikä pidetä tarkoituksenmukaisena, että yhden henkilöstöryhmän pätevyysvaatimuksista säädettäisiin erikseen.</w:t>
      </w:r>
    </w:p>
    <w:p w:rsidR="00904EAB" w:rsidRDefault="00904EAB" w:rsidP="00904EAB"/>
    <w:p w:rsidR="00904EAB" w:rsidRDefault="00904EAB" w:rsidP="00834C52">
      <w:pPr>
        <w:ind w:left="709" w:firstLine="0"/>
      </w:pPr>
      <w:r>
        <w:t xml:space="preserve">Säännös otettiin lakiin kuluttajaneuvonnan siirtyessä kunnilta valtion järjestämisvastuulle 2009. Uudistuksen yhteydessä kuluttajaneuvonnan sisältöä täsmennettiin korostaen sen oikeudellista luonnetta. Nimestään huolimatta kuluttajaneuvonnan toiminnan pääpaino ei ole kuluttajien yleisessä neuvonnassa, vaan konkreettisten riitatapausten selvittämisestä ja sovittelusta. Tässä suhteessa kuluttajaneuvonnassa on kyse oikeudellisesta riidanratkaisutoiminnasta ja se rinnastuu enemmän kuluttajariitalautakunnassa tehtävään työhön kuin </w:t>
      </w:r>
      <w:proofErr w:type="spellStart"/>
      <w:r>
        <w:t>KKV:n</w:t>
      </w:r>
      <w:proofErr w:type="spellEnd"/>
      <w:r>
        <w:t xml:space="preserve"> muun henkilöstön työhön. Kuluttajariitalautakunnasta annetussa laissa on säädetty lautakunnan esittelijöille korkeampi pätevyysvaatimus kuin kuluttajaoikeusneuvojille. </w:t>
      </w:r>
    </w:p>
    <w:p w:rsidR="00904EAB" w:rsidRDefault="00904EAB" w:rsidP="00904EAB"/>
    <w:p w:rsidR="00904EAB" w:rsidRDefault="00904EAB" w:rsidP="00C41CA1">
      <w:pPr>
        <w:ind w:left="709" w:firstLine="0"/>
      </w:pPr>
      <w:r>
        <w:t>Hallintovaliokunnan lausunnossa 26/2008 vp tähdennettiin mm., että kuluttajaneuvonnan tehtävät ovat laaja-alaisia tietotaitovaatimuksiltaan. Pätevyysvaatimukset säädettiin em. taustaa vasten, eikä neuvojan työtehtävät muutu organisaatiouudistuksessa,</w:t>
      </w:r>
      <w:r w:rsidR="003E3EB5">
        <w:t xml:space="preserve"> joten niiden poistamiselle ei </w:t>
      </w:r>
      <w:r>
        <w:t>l</w:t>
      </w:r>
      <w:r w:rsidR="003E3EB5">
        <w:t>ien</w:t>
      </w:r>
      <w:r>
        <w:t xml:space="preserve">e </w:t>
      </w:r>
      <w:r w:rsidR="003E3EB5">
        <w:t>riittäviä</w:t>
      </w:r>
      <w:r w:rsidR="00303814">
        <w:rPr>
          <w:color w:val="FF0000"/>
        </w:rPr>
        <w:t xml:space="preserve"> </w:t>
      </w:r>
      <w:r>
        <w:t xml:space="preserve">perusteita. </w:t>
      </w:r>
    </w:p>
    <w:p w:rsidR="00904EAB" w:rsidRDefault="00904EAB" w:rsidP="00904EAB"/>
    <w:p w:rsidR="00904EAB" w:rsidRDefault="00904EAB" w:rsidP="00904EAB"/>
    <w:p w:rsidR="00B161E2" w:rsidRDefault="00B161E2" w:rsidP="00904EAB"/>
    <w:p w:rsidR="00B161E2" w:rsidRDefault="00B161E2" w:rsidP="00904EAB"/>
    <w:p w:rsidR="00B161E2" w:rsidRDefault="00B161E2" w:rsidP="00904EAB"/>
    <w:p w:rsidR="00B161E2" w:rsidRDefault="00B161E2" w:rsidP="00904EAB"/>
    <w:p w:rsidR="00B161E2" w:rsidRDefault="00B161E2" w:rsidP="00904EAB"/>
    <w:p w:rsidR="00B161E2" w:rsidRDefault="00B161E2" w:rsidP="00904EAB"/>
    <w:p w:rsidR="00904EAB" w:rsidRPr="00904EAB" w:rsidRDefault="00904EAB" w:rsidP="00904EAB">
      <w:pPr>
        <w:rPr>
          <w:b/>
          <w:u w:val="single"/>
        </w:rPr>
      </w:pPr>
      <w:r w:rsidRPr="00904EAB">
        <w:rPr>
          <w:b/>
          <w:u w:val="single"/>
        </w:rPr>
        <w:t>Lautakunnan neuvontavelvollisuus</w:t>
      </w:r>
    </w:p>
    <w:p w:rsidR="00904EAB" w:rsidRDefault="00904EAB" w:rsidP="00904EAB"/>
    <w:p w:rsidR="00904EAB" w:rsidRDefault="00904EAB" w:rsidP="00C41CA1">
      <w:pPr>
        <w:ind w:left="709" w:firstLine="0"/>
      </w:pPr>
      <w:r>
        <w:t xml:space="preserve">Kuluttajariitalautakunnasta annetun lain 5 §:n 2 momentin toinen lause, ” </w:t>
      </w:r>
      <w:r w:rsidRPr="00C41CA1">
        <w:rPr>
          <w:i/>
        </w:rPr>
        <w:t>Kunnallisille kuluttajaneuvojille on annettava oikeudellista neuvontaa ja muuta opastusta lautakunnan toimivaltaan kuuluvissa asioissa</w:t>
      </w:r>
      <w:r>
        <w:t xml:space="preserve">.”, </w:t>
      </w:r>
    </w:p>
    <w:p w:rsidR="00C41CA1" w:rsidRDefault="00904EAB" w:rsidP="00C41CA1">
      <w:pPr>
        <w:ind w:left="709" w:firstLine="0"/>
      </w:pPr>
      <w:r>
        <w:t xml:space="preserve">ehdotetaan poistettavaksi tarpeettomana. Tätä perustellaan sillä, että ehdotuksen mukaan kuluttajaoikeusneuvojat siirtyisivät valtion virkamiehiksi, jolloin valtion viranomaisten välisestä neuvontavelvollisuudesta ei ole tarpeen säätää erikseen. </w:t>
      </w:r>
    </w:p>
    <w:p w:rsidR="00C41CA1" w:rsidRDefault="00C41CA1" w:rsidP="00C41CA1">
      <w:pPr>
        <w:ind w:left="709" w:firstLine="0"/>
      </w:pPr>
    </w:p>
    <w:p w:rsidR="00904EAB" w:rsidRPr="00303814" w:rsidRDefault="00904EAB" w:rsidP="00C41CA1">
      <w:pPr>
        <w:ind w:left="709" w:firstLine="0"/>
        <w:rPr>
          <w:color w:val="FF0000"/>
        </w:rPr>
      </w:pPr>
      <w:r>
        <w:t xml:space="preserve">Kuluttajaneuvonta siirtyi jo vuonna 2009 kunnilta valtion palveluksi, ja kuluttajaoikeusneuvojat ovat olleet lähes kymmenen vuotta valtion virkamiehiä. Koko tämän ajan kuluttajariitalautakunnasta annetussa laissa on ollut nyt kumottavaksi ehdotettava säännös. Säännöksessä kuluttajariitalautakunnalle asetettu velvollisuus oikeudellisen neuvonnan antamiseen on sekä kuluttajaneuvonnan että kuluttajariitalautakunnan toiminnan näkökulmasta edelleen hyvin tarpeellinen. Kuluttajaneuvonnan uudelleenorganisointi ei vaikuta tähän tarpeeseen. </w:t>
      </w:r>
    </w:p>
    <w:p w:rsidR="00904EAB" w:rsidRDefault="00904EAB" w:rsidP="00904EAB"/>
    <w:p w:rsidR="00904EAB" w:rsidRDefault="00904EAB" w:rsidP="00C41CA1">
      <w:pPr>
        <w:ind w:left="709" w:firstLine="0"/>
      </w:pPr>
      <w:r>
        <w:t xml:space="preserve">Käytännössä kuluttajariitalautakunta on kuluttajaneuvonnan tärkein yhteistyökumppani ja lautakunnan esittelijöiden neuvonta neuvojille erittäin tärkeää arjessa ja tarpeen säilyttää myös lakitekstissä. Laissa tällä hetkellä oleva säännös lautakunnan neuvontavelvollisuudesta on velvoittava. Mitä arjessa tapahtuu, jos tämä kohta poistetaan laista? Kun resurssit ovat niukat, vähennetäänkö lautakunnassa päivittäistä asiakastapausten yhdessä pohtimista neuvojien ja lautakunnan esittelijän kesken? Huonoimmassa tilanteessa poistuuko se kokonaan siihen vedoten, ettei esittelijöiden enää tarvitse opastaa neuvojia, kun velvollisuus otettiin laista pois? Mitä tapahtuu tällä hetkellä säännölliselle ilman veloitusta tapahtuvalle neuvojien kouluttamiselle lautakunnan esittelijöiden toimesta? </w:t>
      </w:r>
    </w:p>
    <w:p w:rsidR="00904EAB" w:rsidRDefault="00904EAB" w:rsidP="00904EAB"/>
    <w:p w:rsidR="00904EAB" w:rsidRDefault="00904EAB" w:rsidP="00C41CA1">
      <w:pPr>
        <w:ind w:left="709" w:firstLine="0"/>
      </w:pPr>
      <w:r>
        <w:t>Tarpeellisena muutoksena neuvojien näkökulmasta pidetään ainoastaan, että säännöksessä käytetty ”</w:t>
      </w:r>
      <w:r w:rsidRPr="00C41CA1">
        <w:rPr>
          <w:i/>
        </w:rPr>
        <w:t>kunnallisille kuluttajaneuvojille</w:t>
      </w:r>
      <w:r>
        <w:t>” muutetaan ”kuluttajaoikeusneuvojille”. Lautakunnan oikeudellisen neuvonnan antaminen kuluttajaoikeusneuvojille parantaa neuvonnassa annettavan palvelun laatua.</w:t>
      </w:r>
    </w:p>
    <w:p w:rsidR="00904EAB" w:rsidRDefault="00904EAB" w:rsidP="00904EAB"/>
    <w:p w:rsidR="00904EAB" w:rsidRDefault="00904EAB" w:rsidP="00C41CA1">
      <w:pPr>
        <w:ind w:left="709" w:firstLine="0"/>
      </w:pPr>
      <w:r>
        <w:t>Kuluttaja-asioissa kokonaisuuden kannalta on nopeinta, tehokkainta ja asiakasystävällisintä, kun neuvonnassa tehdään se, mitä neuvonnan keinoin on tehtävissä ja mahdollisimman vähän tapauksia joudutaan laittamaan eteenpäin kuluttajariitalautakunnan hitaampaan kirjalliseen prosessiin. Jos neuvojat eivät jatkossa saa lautakunnan esittelijöiden tukea asioiden selvittämisessä, tapauksia ei saada niin paljon hoidettua neuvonnassa, vaan lautakuntaan tulee siirtymään yhä enemmän asioita. Tämä olisi asiakkaalle hitaampaa ja valtiolle kalliimpaa.</w:t>
      </w:r>
    </w:p>
    <w:p w:rsidR="00904EAB" w:rsidRDefault="00904EAB" w:rsidP="00904EAB"/>
    <w:p w:rsidR="00904EAB" w:rsidRDefault="00904EAB" w:rsidP="00C41CA1">
      <w:pPr>
        <w:ind w:left="709" w:firstLine="0"/>
      </w:pPr>
      <w:r>
        <w:t>Mikäli lautakunnan neuvontavelvollisuus kuluttajaoikeusneuvojia kohtaan kuitenkin poistetaan lakitekstistä, lienee analogista poistaa myös kuluttajaoikeusneuvojia koskevasta laista kohta 16 a §:</w:t>
      </w:r>
      <w:proofErr w:type="spellStart"/>
      <w:r>
        <w:t>ssä</w:t>
      </w:r>
      <w:proofErr w:type="spellEnd"/>
      <w:r>
        <w:t xml:space="preserve">, jonka mukaan kuluttajaneuvonnassa </w:t>
      </w:r>
      <w:r w:rsidRPr="00446D30">
        <w:rPr>
          <w:i/>
        </w:rPr>
        <w:t>4)</w:t>
      </w:r>
      <w:r>
        <w:t xml:space="preserve"> </w:t>
      </w:r>
      <w:r w:rsidR="00C41CA1">
        <w:t>”</w:t>
      </w:r>
      <w:r w:rsidRPr="00C41CA1">
        <w:rPr>
          <w:i/>
        </w:rPr>
        <w:t>avustetaan pyynnöstä muita kuluttajaviranomaisia</w:t>
      </w:r>
      <w:r w:rsidR="00C41CA1">
        <w:rPr>
          <w:i/>
        </w:rPr>
        <w:t>”</w:t>
      </w:r>
      <w:r>
        <w:t>.</w:t>
      </w:r>
    </w:p>
    <w:p w:rsidR="00904EAB" w:rsidRDefault="00904EAB" w:rsidP="00904EAB"/>
    <w:p w:rsidR="00B161E2" w:rsidRDefault="00B161E2" w:rsidP="00904EAB"/>
    <w:p w:rsidR="00C41CA1" w:rsidRDefault="00C41CA1">
      <w:r>
        <w:br w:type="page"/>
      </w:r>
    </w:p>
    <w:p w:rsidR="00904EAB" w:rsidRDefault="00904EAB" w:rsidP="00904EAB"/>
    <w:p w:rsidR="00C41CA1" w:rsidRDefault="00C41CA1" w:rsidP="00904EAB"/>
    <w:p w:rsidR="00C41CA1" w:rsidRDefault="00C41CA1" w:rsidP="00904EAB"/>
    <w:p w:rsidR="00C41CA1" w:rsidRDefault="00C41CA1" w:rsidP="00904EAB"/>
    <w:p w:rsidR="00904EAB" w:rsidRPr="00904EAB" w:rsidRDefault="00904EAB" w:rsidP="00904EAB">
      <w:pPr>
        <w:rPr>
          <w:b/>
          <w:u w:val="single"/>
        </w:rPr>
      </w:pPr>
      <w:r w:rsidRPr="00904EAB">
        <w:rPr>
          <w:b/>
          <w:u w:val="single"/>
        </w:rPr>
        <w:t>Virkanimike</w:t>
      </w:r>
    </w:p>
    <w:p w:rsidR="00904EAB" w:rsidRDefault="00904EAB" w:rsidP="00904EAB"/>
    <w:p w:rsidR="00904EAB" w:rsidRDefault="00904EAB" w:rsidP="00C41CA1">
      <w:pPr>
        <w:ind w:left="709" w:firstLine="0"/>
      </w:pPr>
      <w:r>
        <w:t>Esityksessä käytetään kautta linjan vanhaa virkanimikettä kuluttajaneuvoja. Virallinen virkanimike on vuodesta 2009 alkaen ollut kuluttajaoikeusneuvoja. Tämä korjattaneen esitykseen.</w:t>
      </w:r>
    </w:p>
    <w:p w:rsidR="00904EAB" w:rsidRDefault="00904EAB" w:rsidP="00904EAB"/>
    <w:p w:rsidR="00904EAB" w:rsidRDefault="00904EAB" w:rsidP="00904EAB"/>
    <w:p w:rsidR="00B161E2" w:rsidRDefault="00B161E2" w:rsidP="00E63AB1"/>
    <w:p w:rsidR="00970FD0" w:rsidRPr="00B52D53" w:rsidRDefault="00970FD0" w:rsidP="00E63AB1">
      <w:pPr>
        <w:rPr>
          <w:b/>
          <w:u w:val="single"/>
        </w:rPr>
      </w:pPr>
      <w:r w:rsidRPr="00B52D53">
        <w:rPr>
          <w:b/>
          <w:u w:val="single"/>
        </w:rPr>
        <w:t>Lakiviittaus</w:t>
      </w:r>
      <w:r w:rsidR="00C41CA1" w:rsidRPr="00B52D53">
        <w:rPr>
          <w:b/>
          <w:u w:val="single"/>
        </w:rPr>
        <w:t xml:space="preserve"> </w:t>
      </w:r>
    </w:p>
    <w:p w:rsidR="00970FD0" w:rsidRPr="00B52D53" w:rsidRDefault="00970FD0" w:rsidP="00E63AB1"/>
    <w:p w:rsidR="00970FD0" w:rsidRPr="00B52D53" w:rsidRDefault="00C41CA1" w:rsidP="00CD6C3E">
      <w:pPr>
        <w:ind w:left="709" w:firstLine="0"/>
        <w:rPr>
          <w:iCs/>
        </w:rPr>
      </w:pPr>
      <w:r w:rsidRPr="00B52D53">
        <w:rPr>
          <w:iCs/>
        </w:rPr>
        <w:t>Esityksen perusteluissa</w:t>
      </w:r>
      <w:r w:rsidRPr="00B52D53">
        <w:rPr>
          <w:i/>
          <w:iCs/>
        </w:rPr>
        <w:t xml:space="preserve"> sivulla 4: ” </w:t>
      </w:r>
      <w:r w:rsidR="00970FD0" w:rsidRPr="00B52D53">
        <w:rPr>
          <w:i/>
          <w:iCs/>
        </w:rPr>
        <w:t xml:space="preserve">Uudessa 16 a §:ssä säädettäisiin kuluttajaneuvonnan sisällöstä. Säännös vastaisi sisällöltään voimassaolevaa Kilpailu- ja kuluttajavirastosta annetun lain 1 </w:t>
      </w:r>
      <w:proofErr w:type="gramStart"/>
      <w:r w:rsidR="00970FD0" w:rsidRPr="00B52D53">
        <w:rPr>
          <w:i/>
          <w:iCs/>
        </w:rPr>
        <w:t>§:</w:t>
      </w:r>
      <w:proofErr w:type="spellStart"/>
      <w:r w:rsidR="00970FD0" w:rsidRPr="00B52D53">
        <w:rPr>
          <w:i/>
          <w:iCs/>
        </w:rPr>
        <w:t>ää</w:t>
      </w:r>
      <w:proofErr w:type="spellEnd"/>
      <w:proofErr w:type="gramEnd"/>
      <w:r w:rsidR="00970FD0" w:rsidRPr="00B52D53">
        <w:rPr>
          <w:i/>
          <w:iCs/>
        </w:rPr>
        <w:t>.</w:t>
      </w:r>
      <w:r w:rsidRPr="00B52D53">
        <w:rPr>
          <w:i/>
          <w:iCs/>
        </w:rPr>
        <w:t>”</w:t>
      </w:r>
      <w:r w:rsidR="00970FD0" w:rsidRPr="00B52D53">
        <w:rPr>
          <w:i/>
          <w:iCs/>
        </w:rPr>
        <w:t xml:space="preserve"> </w:t>
      </w:r>
      <w:r w:rsidRPr="00B52D53">
        <w:rPr>
          <w:i/>
          <w:iCs/>
        </w:rPr>
        <w:t xml:space="preserve"> </w:t>
      </w:r>
      <w:r w:rsidR="00CD6C3E" w:rsidRPr="00B52D53">
        <w:rPr>
          <w:iCs/>
        </w:rPr>
        <w:t>ja</w:t>
      </w:r>
    </w:p>
    <w:p w:rsidR="00970FD0" w:rsidRPr="00B52D53" w:rsidRDefault="00970FD0" w:rsidP="00970FD0">
      <w:pPr>
        <w:rPr>
          <w:i/>
          <w:iCs/>
        </w:rPr>
      </w:pPr>
    </w:p>
    <w:p w:rsidR="00970FD0" w:rsidRPr="00B52D53" w:rsidRDefault="00C41CA1" w:rsidP="00CD6C3E">
      <w:pPr>
        <w:autoSpaceDE w:val="0"/>
        <w:autoSpaceDN w:val="0"/>
        <w:ind w:left="709" w:firstLine="0"/>
        <w:rPr>
          <w:rFonts w:ascii="CIDFont+F1" w:hAnsi="CIDFont+F1"/>
          <w:i/>
          <w:iCs/>
          <w:lang w:eastAsia="fi-FI"/>
        </w:rPr>
      </w:pPr>
      <w:r w:rsidRPr="00B52D53">
        <w:rPr>
          <w:rFonts w:ascii="CIDFont+F1" w:hAnsi="CIDFont+F1"/>
          <w:i/>
          <w:iCs/>
          <w:lang w:eastAsia="fi-FI"/>
        </w:rPr>
        <w:t>”</w:t>
      </w:r>
      <w:r w:rsidR="00970FD0" w:rsidRPr="00B52D53">
        <w:rPr>
          <w:rFonts w:ascii="CIDFont+F1" w:hAnsi="CIDFont+F1"/>
          <w:i/>
          <w:iCs/>
          <w:lang w:eastAsia="fi-FI"/>
        </w:rPr>
        <w:t xml:space="preserve">Uudessa </w:t>
      </w:r>
      <w:r w:rsidR="00970FD0" w:rsidRPr="00B52D53">
        <w:rPr>
          <w:rFonts w:ascii="CIDFont+F2" w:hAnsi="CIDFont+F2"/>
          <w:i/>
          <w:iCs/>
          <w:lang w:eastAsia="fi-FI"/>
        </w:rPr>
        <w:t xml:space="preserve">16 b §:ssä </w:t>
      </w:r>
      <w:r w:rsidR="00970FD0" w:rsidRPr="00B52D53">
        <w:rPr>
          <w:rFonts w:ascii="CIDFont+F1" w:hAnsi="CIDFont+F1"/>
          <w:i/>
          <w:iCs/>
          <w:lang w:eastAsia="fi-FI"/>
        </w:rPr>
        <w:t xml:space="preserve">säädettäisiin kuluttajaneuvontaan oikeutetuista ja se vastaisi sisällöltään voimassaolevaa Kilpailu- ja kuluttajavirastosta annetun lain 4 </w:t>
      </w:r>
      <w:proofErr w:type="gramStart"/>
      <w:r w:rsidR="00970FD0" w:rsidRPr="00B52D53">
        <w:rPr>
          <w:rFonts w:ascii="CIDFont+F1" w:hAnsi="CIDFont+F1"/>
          <w:i/>
          <w:iCs/>
          <w:lang w:eastAsia="fi-FI"/>
        </w:rPr>
        <w:t>§:</w:t>
      </w:r>
      <w:proofErr w:type="spellStart"/>
      <w:r w:rsidR="00970FD0" w:rsidRPr="00B52D53">
        <w:rPr>
          <w:rFonts w:ascii="CIDFont+F1" w:hAnsi="CIDFont+F1"/>
          <w:i/>
          <w:iCs/>
          <w:lang w:eastAsia="fi-FI"/>
        </w:rPr>
        <w:t>ää</w:t>
      </w:r>
      <w:proofErr w:type="spellEnd"/>
      <w:proofErr w:type="gramEnd"/>
      <w:r w:rsidR="00970FD0" w:rsidRPr="00B52D53">
        <w:rPr>
          <w:rFonts w:ascii="CIDFont+F1" w:hAnsi="CIDFont+F1"/>
          <w:i/>
          <w:iCs/>
          <w:lang w:eastAsia="fi-FI"/>
        </w:rPr>
        <w:t>.</w:t>
      </w:r>
      <w:r w:rsidRPr="00B52D53">
        <w:rPr>
          <w:rFonts w:ascii="CIDFont+F1" w:hAnsi="CIDFont+F1"/>
          <w:i/>
          <w:iCs/>
          <w:lang w:eastAsia="fi-FI"/>
        </w:rPr>
        <w:t>”</w:t>
      </w:r>
    </w:p>
    <w:p w:rsidR="00970FD0" w:rsidRPr="00B52D53" w:rsidRDefault="00970FD0" w:rsidP="00970FD0">
      <w:pPr>
        <w:autoSpaceDE w:val="0"/>
        <w:autoSpaceDN w:val="0"/>
        <w:rPr>
          <w:rFonts w:ascii="CIDFont+F1" w:hAnsi="CIDFont+F1"/>
          <w:i/>
          <w:iCs/>
          <w:lang w:eastAsia="fi-FI"/>
        </w:rPr>
      </w:pPr>
    </w:p>
    <w:p w:rsidR="00970FD0" w:rsidRPr="00B52D53" w:rsidRDefault="004B68FB" w:rsidP="00970FD0">
      <w:pPr>
        <w:autoSpaceDE w:val="0"/>
        <w:autoSpaceDN w:val="0"/>
        <w:rPr>
          <w:rFonts w:ascii="CIDFont+F1" w:hAnsi="CIDFont+F1"/>
          <w:i/>
          <w:iCs/>
          <w:lang w:eastAsia="fi-FI"/>
        </w:rPr>
      </w:pPr>
      <w:r w:rsidRPr="00B52D53">
        <w:t>V</w:t>
      </w:r>
      <w:r w:rsidR="00970FD0" w:rsidRPr="00B52D53">
        <w:t xml:space="preserve">iittaukset </w:t>
      </w:r>
      <w:r w:rsidRPr="00B52D53">
        <w:t>tulisi olla</w:t>
      </w:r>
      <w:r w:rsidR="00C41CA1" w:rsidRPr="00B52D53">
        <w:t xml:space="preserve"> k</w:t>
      </w:r>
      <w:r w:rsidR="00970FD0" w:rsidRPr="00B52D53">
        <w:t>uluttajaneuvonnasta annettuun lakiin.</w:t>
      </w:r>
    </w:p>
    <w:p w:rsidR="00970FD0" w:rsidRPr="00B52D53" w:rsidRDefault="00970FD0" w:rsidP="00446D30">
      <w:pPr>
        <w:ind w:left="0" w:firstLine="0"/>
        <w:rPr>
          <w:rFonts w:ascii="Calibri" w:hAnsi="Calibri"/>
        </w:rPr>
      </w:pPr>
    </w:p>
    <w:p w:rsidR="00446D30" w:rsidRPr="00B52D53" w:rsidRDefault="00446D30" w:rsidP="00446D30">
      <w:pPr>
        <w:ind w:left="0" w:firstLine="0"/>
        <w:rPr>
          <w:rFonts w:ascii="Calibri" w:hAnsi="Calibri"/>
        </w:rPr>
      </w:pPr>
    </w:p>
    <w:p w:rsidR="00970FD0" w:rsidRDefault="00970FD0" w:rsidP="00E63AB1"/>
    <w:p w:rsidR="00446D30" w:rsidRPr="00904EAB" w:rsidRDefault="00446D30" w:rsidP="00446D30">
      <w:pPr>
        <w:rPr>
          <w:b/>
          <w:u w:val="single"/>
        </w:rPr>
      </w:pPr>
      <w:r w:rsidRPr="00904EAB">
        <w:rPr>
          <w:b/>
          <w:u w:val="single"/>
        </w:rPr>
        <w:t>Asiakasjärjestelmät</w:t>
      </w:r>
    </w:p>
    <w:p w:rsidR="00446D30" w:rsidRDefault="00446D30" w:rsidP="00446D30"/>
    <w:p w:rsidR="00446D30" w:rsidRDefault="00446D30" w:rsidP="00446D30">
      <w:pPr>
        <w:ind w:left="709" w:firstLine="0"/>
      </w:pPr>
      <w:r>
        <w:t>Kuluttajaneuvonnan näkökulmasta on tärkeää, että jatkossakin neuvojat pääsevät suoraan kuluttajariitalautakunnan asiakasjärjestelmään ”</w:t>
      </w:r>
      <w:proofErr w:type="spellStart"/>
      <w:r>
        <w:t>Twebiin</w:t>
      </w:r>
      <w:proofErr w:type="spellEnd"/>
      <w:r>
        <w:t xml:space="preserve">” katsomaan ratkaisukäytäntöä. </w:t>
      </w:r>
    </w:p>
    <w:p w:rsidR="00446D30" w:rsidRDefault="00446D30" w:rsidP="00446D30"/>
    <w:p w:rsidR="00446D30" w:rsidRDefault="00446D30" w:rsidP="00446D30">
      <w:pPr>
        <w:ind w:left="709" w:firstLine="0"/>
      </w:pPr>
      <w:r>
        <w:t>Asiakkaan näkökulmasta toivottavaa kehitystä olisi, jos neuvojat voisivat tulevaisuudessa tarvittaessa joustavasti siirtää asiakastapauksen suoraan neuvojien käyttämästä järjestelmästä lautakunnan järjestelmään. Myös lautakunta voi ohjata asiakkaan ensin kuluttajaneuvontaan, jos asiakas ei ole ensin ollut sinne yhteydessä. Molempiin suuntiin on siis tarvetta siirtää tapauksia joustavasti asiakasjärjestelmissä.</w:t>
      </w:r>
    </w:p>
    <w:p w:rsidR="00446D30" w:rsidRDefault="00446D30" w:rsidP="00446D30"/>
    <w:p w:rsidR="00CD6C3E" w:rsidRDefault="00CD6C3E" w:rsidP="00E63AB1"/>
    <w:p w:rsidR="00446D30" w:rsidRDefault="00446D30" w:rsidP="00E63AB1"/>
    <w:p w:rsidR="00446D30" w:rsidRDefault="00446D30" w:rsidP="00E63AB1"/>
    <w:p w:rsidR="00CD6C3E" w:rsidRDefault="00CD6C3E" w:rsidP="00E63AB1"/>
    <w:p w:rsidR="00CD6C3E" w:rsidRDefault="00CD6C3E" w:rsidP="00E63AB1">
      <w:bookmarkStart w:id="0" w:name="_GoBack"/>
      <w:bookmarkEnd w:id="0"/>
      <w:r>
        <w:t>Nina Konu</w:t>
      </w:r>
    </w:p>
    <w:p w:rsidR="00CD6C3E" w:rsidRDefault="00CD6C3E" w:rsidP="00E63AB1">
      <w:r>
        <w:t>Johtava kuluttajaoikeusneuvoja</w:t>
      </w:r>
    </w:p>
    <w:p w:rsidR="00CD6C3E" w:rsidRDefault="00CD6C3E" w:rsidP="00E63AB1">
      <w:r>
        <w:t>Uudenmaan maistraatti</w:t>
      </w:r>
    </w:p>
    <w:sectPr w:rsidR="00CD6C3E" w:rsidSect="00D11CA5">
      <w:headerReference w:type="default" r:id="rId7"/>
      <w:footerReference w:type="default" r:id="rId8"/>
      <w:pgSz w:w="11906" w:h="16838"/>
      <w:pgMar w:top="720" w:right="720" w:bottom="1418" w:left="720"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8D5" w:rsidRDefault="006D78D5" w:rsidP="00CF6DB4">
      <w:r>
        <w:separator/>
      </w:r>
    </w:p>
  </w:endnote>
  <w:endnote w:type="continuationSeparator" w:id="0">
    <w:p w:rsidR="006D78D5" w:rsidRDefault="006D78D5" w:rsidP="00CF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BerkeleyLT-Book">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767" w:rsidRPr="00BD331E" w:rsidRDefault="008B4C6B" w:rsidP="001217B0">
    <w:pPr>
      <w:pStyle w:val="yhteystiedot"/>
      <w:rPr>
        <w:sz w:val="16"/>
        <w:szCs w:val="16"/>
      </w:rPr>
    </w:pPr>
    <w:r w:rsidRPr="00BD331E">
      <w:rPr>
        <w:noProof/>
        <w:sz w:val="16"/>
        <w:szCs w:val="16"/>
        <w:lang w:eastAsia="fi-FI"/>
      </w:rPr>
      <mc:AlternateContent>
        <mc:Choice Requires="wps">
          <w:drawing>
            <wp:anchor distT="0" distB="0" distL="114300" distR="114300" simplePos="0" relativeHeight="251659264" behindDoc="0" locked="0" layoutInCell="1" allowOverlap="1" wp14:anchorId="72A76DBE" wp14:editId="1C2A0F28">
              <wp:simplePos x="0" y="0"/>
              <wp:positionH relativeFrom="column">
                <wp:posOffset>-1270</wp:posOffset>
              </wp:positionH>
              <wp:positionV relativeFrom="paragraph">
                <wp:posOffset>52070</wp:posOffset>
              </wp:positionV>
              <wp:extent cx="6646545" cy="635"/>
              <wp:effectExtent l="8255" t="13970" r="1270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6545" cy="635"/>
                      </a:xfrm>
                      <a:prstGeom prst="straightConnector1">
                        <a:avLst/>
                      </a:prstGeom>
                      <a:noFill/>
                      <a:ln w="6350">
                        <a:solidFill>
                          <a:srgbClr val="C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0832FE" id="_x0000_t32" coordsize="21600,21600" o:spt="32" o:oned="t" path="m,l21600,21600e" filled="f">
              <v:path arrowok="t" fillok="f" o:connecttype="none"/>
              <o:lock v:ext="edit" shapetype="t"/>
            </v:shapetype>
            <v:shape id="AutoShape 4" o:spid="_x0000_s1026" type="#_x0000_t32" style="position:absolute;margin-left:-.1pt;margin-top:4.1pt;width:523.3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" strokecolor="#c00000" strokeweight=".5pt"/>
          </w:pict>
        </mc:Fallback>
      </mc:AlternateContent>
    </w:r>
  </w:p>
  <w:p w:rsidR="00B55572" w:rsidRPr="00E212EC" w:rsidRDefault="00B55572" w:rsidP="00B55572">
    <w:pPr>
      <w:widowControl w:val="0"/>
      <w:autoSpaceDE w:val="0"/>
      <w:autoSpaceDN w:val="0"/>
      <w:adjustRightInd w:val="0"/>
      <w:spacing w:line="288" w:lineRule="auto"/>
      <w:ind w:left="0" w:right="0" w:firstLine="0"/>
      <w:textAlignment w:val="center"/>
      <w:rPr>
        <w:rFonts w:ascii="BerkeleyLT-Book" w:hAnsi="BerkeleyLT-Book" w:cs="BerkeleyLT-Book"/>
        <w:color w:val="000000"/>
        <w:spacing w:val="-2"/>
        <w:sz w:val="16"/>
        <w:szCs w:val="16"/>
      </w:rPr>
    </w:pPr>
    <w:r w:rsidRPr="00E212EC">
      <w:rPr>
        <w:rFonts w:ascii="BerkeleyLT-Book" w:hAnsi="BerkeleyLT-Book" w:cs="BerkeleyLT-Book"/>
        <w:color w:val="000000"/>
        <w:spacing w:val="-2"/>
        <w:sz w:val="16"/>
        <w:szCs w:val="16"/>
      </w:rPr>
      <w:t xml:space="preserve">Uudenmaan maistraatti </w:t>
    </w:r>
    <w:r w:rsidRPr="00E212EC">
      <w:rPr>
        <w:rFonts w:ascii="BerkeleyLT-Book" w:hAnsi="BerkeleyLT-Book" w:cs="BerkeleyLT-Book"/>
        <w:color w:val="E0003F"/>
        <w:spacing w:val="-2"/>
        <w:sz w:val="16"/>
        <w:szCs w:val="16"/>
      </w:rPr>
      <w:t>•</w:t>
    </w:r>
    <w:r w:rsidRPr="00E212EC">
      <w:rPr>
        <w:rFonts w:ascii="BerkeleyLT-Book" w:hAnsi="BerkeleyLT-Book" w:cs="BerkeleyLT-Book"/>
        <w:color w:val="000000"/>
        <w:spacing w:val="-2"/>
        <w:sz w:val="16"/>
        <w:szCs w:val="16"/>
      </w:rPr>
      <w:t xml:space="preserve"> Helsingin yksikkö: Albertinkatu 25, 00180 Helsinki </w:t>
    </w:r>
  </w:p>
  <w:p w:rsidR="00A37767" w:rsidRPr="00BD331E" w:rsidRDefault="00A37767" w:rsidP="001217B0">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8D5" w:rsidRDefault="006D78D5" w:rsidP="00CF6DB4">
      <w:r>
        <w:separator/>
      </w:r>
    </w:p>
  </w:footnote>
  <w:footnote w:type="continuationSeparator" w:id="0">
    <w:p w:rsidR="006D78D5" w:rsidRDefault="006D78D5" w:rsidP="00CF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767" w:rsidRDefault="00FC04AF" w:rsidP="007C7309">
    <w:pPr>
      <w:pStyle w:val="Yltunniste"/>
      <w:ind w:left="0" w:right="0" w:firstLine="0"/>
    </w:pPr>
    <w:r>
      <w:rPr>
        <w:noProof/>
        <w:lang w:eastAsia="fi-FI"/>
      </w:rPr>
      <w:drawing>
        <wp:inline distT="0" distB="0" distL="0" distR="0" wp14:anchorId="69D6FDC8" wp14:editId="77D2DF3C">
          <wp:extent cx="2234184" cy="743712"/>
          <wp:effectExtent l="0" t="0" r="1270" b="0"/>
          <wp:docPr id="1" name="Kuva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NAIS-SUOMEN_PUNAINEN+MUSTA.jpg"/>
                  <pic:cNvPicPr/>
                </pic:nvPicPr>
                <pic:blipFill>
                  <a:blip r:embed="rId1">
                    <a:extLst>
                      <a:ext uri="{28A0092B-C50C-407E-A947-70E740481C1C}">
                        <a14:useLocalDpi xmlns:a14="http://schemas.microsoft.com/office/drawing/2010/main" val="0"/>
                      </a:ext>
                    </a:extLst>
                  </a:blip>
                  <a:stretch>
                    <a:fillRect/>
                  </a:stretch>
                </pic:blipFill>
                <pic:spPr>
                  <a:xfrm>
                    <a:off x="0" y="0"/>
                    <a:ext cx="2234184" cy="743712"/>
                  </a:xfrm>
                  <a:prstGeom prst="rect">
                    <a:avLst/>
                  </a:prstGeom>
                </pic:spPr>
              </pic:pic>
            </a:graphicData>
          </a:graphic>
        </wp:inline>
      </w:drawing>
    </w:r>
    <w:r w:rsidR="000605CE">
      <w:tab/>
    </w:r>
    <w:r w:rsidR="000605CE" w:rsidRPr="000605CE">
      <w:rPr>
        <w:sz w:val="32"/>
        <w:szCs w:val="32"/>
      </w:rPr>
      <w:t xml:space="preserve">                                </w:t>
    </w:r>
    <w:r w:rsidR="000605CE">
      <w:rPr>
        <w:sz w:val="32"/>
        <w:szCs w:val="32"/>
      </w:rPr>
      <w:t xml:space="preserve">             </w:t>
    </w:r>
  </w:p>
  <w:p w:rsidR="00A37767" w:rsidRDefault="008B4C6B">
    <w:pPr>
      <w:pStyle w:val="Yltunniste"/>
    </w:pPr>
    <w:r>
      <w:rPr>
        <w:noProof/>
        <w:color w:val="BA0C2F"/>
        <w:lang w:eastAsia="fi-FI"/>
      </w:rPr>
      <mc:AlternateContent>
        <mc:Choice Requires="wps">
          <w:drawing>
            <wp:anchor distT="0" distB="0" distL="114300" distR="114300" simplePos="0" relativeHeight="251658240" behindDoc="0" locked="0" layoutInCell="1" allowOverlap="1" wp14:anchorId="6FCAEB1E" wp14:editId="56AAD482">
              <wp:simplePos x="0" y="0"/>
              <wp:positionH relativeFrom="column">
                <wp:posOffset>9525</wp:posOffset>
              </wp:positionH>
              <wp:positionV relativeFrom="paragraph">
                <wp:posOffset>46355</wp:posOffset>
              </wp:positionV>
              <wp:extent cx="6646545" cy="635"/>
              <wp:effectExtent l="9525" t="8255" r="11430" b="1016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6545" cy="635"/>
                      </a:xfrm>
                      <a:prstGeom prst="straightConnector1">
                        <a:avLst/>
                      </a:prstGeom>
                      <a:noFill/>
                      <a:ln w="6350">
                        <a:solidFill>
                          <a:srgbClr val="BA0C2F"/>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70BF29" id="_x0000_t32" coordsize="21600,21600" o:spt="32" o:oned="t" path="m,l21600,21600e" filled="f">
              <v:path arrowok="t" fillok="f" o:connecttype="none"/>
              <o:lock v:ext="edit" shapetype="t"/>
            </v:shapetype>
            <v:shape id="AutoShape 1" o:spid="_x0000_s1026" type="#_x0000_t32" style="position:absolute;margin-left:.75pt;margin-top:3.65pt;width:523.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" strokecolor="#ba0c2f" strokeweight=".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C7"/>
    <w:rsid w:val="000605CE"/>
    <w:rsid w:val="00066702"/>
    <w:rsid w:val="000945C7"/>
    <w:rsid w:val="000A41F2"/>
    <w:rsid w:val="000D12DF"/>
    <w:rsid w:val="000F5906"/>
    <w:rsid w:val="00120BDC"/>
    <w:rsid w:val="001217B0"/>
    <w:rsid w:val="00135104"/>
    <w:rsid w:val="00141183"/>
    <w:rsid w:val="00143A79"/>
    <w:rsid w:val="00157B6F"/>
    <w:rsid w:val="00194673"/>
    <w:rsid w:val="001B1EB3"/>
    <w:rsid w:val="001C4426"/>
    <w:rsid w:val="001C69C0"/>
    <w:rsid w:val="001D3B2D"/>
    <w:rsid w:val="00276EFF"/>
    <w:rsid w:val="002840C7"/>
    <w:rsid w:val="002A3019"/>
    <w:rsid w:val="002A72ED"/>
    <w:rsid w:val="002F757D"/>
    <w:rsid w:val="00303814"/>
    <w:rsid w:val="003519B9"/>
    <w:rsid w:val="003E3EB5"/>
    <w:rsid w:val="003E5ACD"/>
    <w:rsid w:val="004031A9"/>
    <w:rsid w:val="00431286"/>
    <w:rsid w:val="00434BF5"/>
    <w:rsid w:val="00446D30"/>
    <w:rsid w:val="004A2AF0"/>
    <w:rsid w:val="004A4BD3"/>
    <w:rsid w:val="004B68FB"/>
    <w:rsid w:val="004C666F"/>
    <w:rsid w:val="00520E3F"/>
    <w:rsid w:val="00595FD9"/>
    <w:rsid w:val="005E65D5"/>
    <w:rsid w:val="005F25D6"/>
    <w:rsid w:val="00662249"/>
    <w:rsid w:val="0066571D"/>
    <w:rsid w:val="006D78D5"/>
    <w:rsid w:val="00710F5B"/>
    <w:rsid w:val="007208DD"/>
    <w:rsid w:val="00731B86"/>
    <w:rsid w:val="0076596B"/>
    <w:rsid w:val="0077107A"/>
    <w:rsid w:val="007C7309"/>
    <w:rsid w:val="00834C52"/>
    <w:rsid w:val="00896CA9"/>
    <w:rsid w:val="008B4C6B"/>
    <w:rsid w:val="008C445B"/>
    <w:rsid w:val="008E717F"/>
    <w:rsid w:val="00904EAB"/>
    <w:rsid w:val="00927F13"/>
    <w:rsid w:val="00951FB6"/>
    <w:rsid w:val="00952630"/>
    <w:rsid w:val="0095796D"/>
    <w:rsid w:val="00970FD0"/>
    <w:rsid w:val="00971BEF"/>
    <w:rsid w:val="009C0F8E"/>
    <w:rsid w:val="009F3A97"/>
    <w:rsid w:val="00A37767"/>
    <w:rsid w:val="00AA5C1B"/>
    <w:rsid w:val="00B161E2"/>
    <w:rsid w:val="00B22164"/>
    <w:rsid w:val="00B2566C"/>
    <w:rsid w:val="00B36BD0"/>
    <w:rsid w:val="00B52D53"/>
    <w:rsid w:val="00B55572"/>
    <w:rsid w:val="00B61204"/>
    <w:rsid w:val="00B955D6"/>
    <w:rsid w:val="00BD331E"/>
    <w:rsid w:val="00BE1C11"/>
    <w:rsid w:val="00C32476"/>
    <w:rsid w:val="00C41CA1"/>
    <w:rsid w:val="00C75596"/>
    <w:rsid w:val="00C90C40"/>
    <w:rsid w:val="00CD43DD"/>
    <w:rsid w:val="00CD6C3E"/>
    <w:rsid w:val="00CE0EB8"/>
    <w:rsid w:val="00CE7C5F"/>
    <w:rsid w:val="00CF6DB4"/>
    <w:rsid w:val="00D02D45"/>
    <w:rsid w:val="00D11CA5"/>
    <w:rsid w:val="00E01E4F"/>
    <w:rsid w:val="00E212EC"/>
    <w:rsid w:val="00E2219E"/>
    <w:rsid w:val="00E63AB1"/>
    <w:rsid w:val="00EC0ED5"/>
    <w:rsid w:val="00FB0E7A"/>
    <w:rsid w:val="00FC04AF"/>
    <w:rsid w:val="00FE736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69A000"/>
  <w15:docId w15:val="{55FFFDFB-0ACD-4DE2-BB91-E5B4A48C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ind w:left="340" w:right="-289" w:firstLine="36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9F3A9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F6DB4"/>
    <w:rPr>
      <w:rFonts w:ascii="Tahoma" w:hAnsi="Tahoma" w:cs="Tahoma"/>
      <w:sz w:val="16"/>
      <w:szCs w:val="16"/>
    </w:rPr>
  </w:style>
  <w:style w:type="character" w:customStyle="1" w:styleId="SelitetekstiChar">
    <w:name w:val="Seliteteksti Char"/>
    <w:basedOn w:val="Kappaleenoletusfontti"/>
    <w:link w:val="Seliteteksti"/>
    <w:uiPriority w:val="99"/>
    <w:semiHidden/>
    <w:rsid w:val="00CF6DB4"/>
    <w:rPr>
      <w:rFonts w:ascii="Tahoma" w:hAnsi="Tahoma" w:cs="Tahoma"/>
      <w:sz w:val="16"/>
      <w:szCs w:val="16"/>
    </w:rPr>
  </w:style>
  <w:style w:type="paragraph" w:styleId="Loppuviitteenteksti">
    <w:name w:val="endnote text"/>
    <w:basedOn w:val="Normaali"/>
    <w:link w:val="LoppuviitteentekstiChar"/>
    <w:uiPriority w:val="99"/>
    <w:semiHidden/>
    <w:unhideWhenUsed/>
    <w:rsid w:val="00CF6DB4"/>
    <w:rPr>
      <w:sz w:val="20"/>
      <w:szCs w:val="20"/>
    </w:rPr>
  </w:style>
  <w:style w:type="character" w:customStyle="1" w:styleId="LoppuviitteentekstiChar">
    <w:name w:val="Loppuviitteen teksti Char"/>
    <w:basedOn w:val="Kappaleenoletusfontti"/>
    <w:link w:val="Loppuviitteenteksti"/>
    <w:uiPriority w:val="99"/>
    <w:semiHidden/>
    <w:rsid w:val="00CF6DB4"/>
    <w:rPr>
      <w:sz w:val="20"/>
      <w:szCs w:val="20"/>
    </w:rPr>
  </w:style>
  <w:style w:type="character" w:styleId="Loppuviitteenviite">
    <w:name w:val="endnote reference"/>
    <w:basedOn w:val="Kappaleenoletusfontti"/>
    <w:uiPriority w:val="99"/>
    <w:semiHidden/>
    <w:unhideWhenUsed/>
    <w:rsid w:val="00CF6DB4"/>
    <w:rPr>
      <w:vertAlign w:val="superscript"/>
    </w:rPr>
  </w:style>
  <w:style w:type="paragraph" w:styleId="Yltunniste">
    <w:name w:val="header"/>
    <w:basedOn w:val="Normaali"/>
    <w:link w:val="YltunnisteChar"/>
    <w:uiPriority w:val="99"/>
    <w:unhideWhenUsed/>
    <w:rsid w:val="00CF6DB4"/>
    <w:pPr>
      <w:tabs>
        <w:tab w:val="center" w:pos="4513"/>
        <w:tab w:val="right" w:pos="9026"/>
      </w:tabs>
    </w:pPr>
  </w:style>
  <w:style w:type="character" w:customStyle="1" w:styleId="YltunnisteChar">
    <w:name w:val="Ylätunniste Char"/>
    <w:basedOn w:val="Kappaleenoletusfontti"/>
    <w:link w:val="Yltunniste"/>
    <w:uiPriority w:val="99"/>
    <w:rsid w:val="00CF6DB4"/>
  </w:style>
  <w:style w:type="paragraph" w:styleId="Alatunniste">
    <w:name w:val="footer"/>
    <w:basedOn w:val="Normaali"/>
    <w:link w:val="AlatunnisteChar"/>
    <w:uiPriority w:val="99"/>
    <w:unhideWhenUsed/>
    <w:rsid w:val="00CF6DB4"/>
    <w:pPr>
      <w:tabs>
        <w:tab w:val="center" w:pos="4513"/>
        <w:tab w:val="right" w:pos="9026"/>
      </w:tabs>
    </w:pPr>
  </w:style>
  <w:style w:type="character" w:customStyle="1" w:styleId="AlatunnisteChar">
    <w:name w:val="Alatunniste Char"/>
    <w:basedOn w:val="Kappaleenoletusfontti"/>
    <w:link w:val="Alatunniste"/>
    <w:uiPriority w:val="99"/>
    <w:rsid w:val="00CF6DB4"/>
  </w:style>
  <w:style w:type="paragraph" w:customStyle="1" w:styleId="yhteystiedot">
    <w:name w:val="yhteystiedot"/>
    <w:basedOn w:val="Normaali"/>
    <w:uiPriority w:val="99"/>
    <w:rsid w:val="009C0F8E"/>
    <w:pPr>
      <w:suppressAutoHyphens/>
      <w:autoSpaceDE w:val="0"/>
      <w:autoSpaceDN w:val="0"/>
      <w:adjustRightInd w:val="0"/>
      <w:spacing w:line="288" w:lineRule="auto"/>
      <w:ind w:left="0" w:right="0" w:firstLine="0"/>
      <w:jc w:val="both"/>
      <w:textAlignment w:val="center"/>
    </w:pPr>
    <w:rPr>
      <w:rFonts w:ascii="Berkeley Book" w:hAnsi="Berkeley Book" w:cs="Berkeley Book"/>
      <w:color w:val="000000"/>
      <w:spacing w:val="-2"/>
      <w:sz w:val="18"/>
      <w:szCs w:val="18"/>
    </w:rPr>
  </w:style>
  <w:style w:type="character" w:styleId="Hyperlinkki">
    <w:name w:val="Hyperlink"/>
    <w:basedOn w:val="Kappaleenoletusfontti"/>
    <w:uiPriority w:val="99"/>
    <w:unhideWhenUsed/>
    <w:rsid w:val="00896CA9"/>
    <w:rPr>
      <w:strike w:val="0"/>
      <w:dstrike w:val="0"/>
      <w:color w:val="666666"/>
      <w:u w:val="none"/>
      <w:effect w:val="none"/>
    </w:rPr>
  </w:style>
  <w:style w:type="paragraph" w:styleId="NormaaliWWW">
    <w:name w:val="Normal (Web)"/>
    <w:basedOn w:val="Normaali"/>
    <w:uiPriority w:val="99"/>
    <w:unhideWhenUsed/>
    <w:rsid w:val="00896CA9"/>
    <w:pPr>
      <w:spacing w:before="100" w:beforeAutospacing="1" w:after="100" w:afterAutospacing="1" w:line="365" w:lineRule="atLeast"/>
      <w:ind w:left="0" w:right="0" w:firstLine="0"/>
      <w:jc w:val="both"/>
    </w:pPr>
    <w:rPr>
      <w:rFonts w:ascii="Verdana" w:eastAsia="Times New Roman" w:hAnsi="Verdana" w:cs="Times New Roman"/>
      <w:color w:val="000000"/>
      <w:lang w:eastAsia="fi-FI"/>
    </w:rPr>
  </w:style>
  <w:style w:type="paragraph" w:customStyle="1" w:styleId="BasicParagraph">
    <w:name w:val="[Basic Paragraph]"/>
    <w:basedOn w:val="Normaali"/>
    <w:uiPriority w:val="99"/>
    <w:rsid w:val="00BD331E"/>
    <w:pPr>
      <w:widowControl w:val="0"/>
      <w:autoSpaceDE w:val="0"/>
      <w:autoSpaceDN w:val="0"/>
      <w:adjustRightInd w:val="0"/>
      <w:spacing w:line="288" w:lineRule="auto"/>
      <w:ind w:left="0" w:right="0" w:firstLine="0"/>
      <w:textAlignment w:val="center"/>
    </w:pPr>
    <w:rPr>
      <w:rFonts w:ascii="MinionPro-Regular" w:hAnsi="MinionPro-Regular" w:cs="MinionPro-Regular"/>
      <w:color w:val="000000"/>
      <w:sz w:val="24"/>
      <w:szCs w:val="24"/>
      <w:lang w:val="en-GB"/>
    </w:rPr>
  </w:style>
  <w:style w:type="paragraph" w:styleId="Vaintekstin">
    <w:name w:val="Plain Text"/>
    <w:basedOn w:val="Normaali"/>
    <w:link w:val="VaintekstinChar"/>
    <w:uiPriority w:val="99"/>
    <w:unhideWhenUsed/>
    <w:rsid w:val="003519B9"/>
    <w:pPr>
      <w:ind w:left="0" w:right="0" w:firstLine="0"/>
    </w:pPr>
    <w:rPr>
      <w:rFonts w:ascii="Consolas" w:eastAsia="Calibri" w:hAnsi="Consolas" w:cs="Consolas"/>
      <w:sz w:val="21"/>
      <w:szCs w:val="21"/>
      <w:lang w:eastAsia="fi-FI"/>
    </w:rPr>
  </w:style>
  <w:style w:type="character" w:customStyle="1" w:styleId="VaintekstinChar">
    <w:name w:val="Vain tekstinä Char"/>
    <w:basedOn w:val="Kappaleenoletusfontti"/>
    <w:link w:val="Vaintekstin"/>
    <w:uiPriority w:val="99"/>
    <w:rsid w:val="003519B9"/>
    <w:rPr>
      <w:rFonts w:ascii="Consolas" w:eastAsia="Calibri" w:hAnsi="Consolas" w:cs="Consolas"/>
      <w:sz w:val="21"/>
      <w:szCs w:val="21"/>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05638">
      <w:bodyDiv w:val="1"/>
      <w:marLeft w:val="0"/>
      <w:marRight w:val="0"/>
      <w:marTop w:val="0"/>
      <w:marBottom w:val="0"/>
      <w:divBdr>
        <w:top w:val="none" w:sz="0" w:space="0" w:color="auto"/>
        <w:left w:val="none" w:sz="0" w:space="0" w:color="auto"/>
        <w:bottom w:val="none" w:sz="0" w:space="0" w:color="auto"/>
        <w:right w:val="none" w:sz="0" w:space="0" w:color="auto"/>
      </w:divBdr>
    </w:div>
    <w:div w:id="159262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7DAD0-110E-4627-BD31-9B3C433B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1058</Words>
  <Characters>8570</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Kopio Niini Oy</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A005345</dc:creator>
  <cp:keywords/>
  <dc:description/>
  <cp:lastModifiedBy>Konu Nina</cp:lastModifiedBy>
  <cp:revision>4</cp:revision>
  <cp:lastPrinted>2011-11-14T12:50:00Z</cp:lastPrinted>
  <dcterms:created xsi:type="dcterms:W3CDTF">2018-07-20T11:10:00Z</dcterms:created>
  <dcterms:modified xsi:type="dcterms:W3CDTF">2018-07-20T11:41:00Z</dcterms:modified>
</cp:coreProperties>
</file>