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7" w:rsidRDefault="00B24E47" w:rsidP="00DD3B49">
      <w:pPr>
        <w:pStyle w:val="NoSpacing"/>
        <w:jc w:val="both"/>
      </w:pPr>
      <w:r>
        <w:t>Liikenne- ja viestintäministeriö</w:t>
      </w:r>
    </w:p>
    <w:p w:rsidR="00B24E47" w:rsidRDefault="00B24E47" w:rsidP="00DD3B49">
      <w:pPr>
        <w:pStyle w:val="NoSpacing"/>
        <w:jc w:val="both"/>
      </w:pPr>
      <w:r>
        <w:t>PL 31</w:t>
      </w:r>
    </w:p>
    <w:p w:rsidR="00B24E47" w:rsidRDefault="00B24E47" w:rsidP="00DD3B49">
      <w:pPr>
        <w:pStyle w:val="NoSpacing"/>
        <w:jc w:val="both"/>
      </w:pPr>
      <w:r>
        <w:t>00023 Valtioneuvosto</w:t>
      </w:r>
    </w:p>
    <w:p w:rsidR="00B24E47" w:rsidRDefault="00B24E47" w:rsidP="00DD3B49">
      <w:pPr>
        <w:pStyle w:val="NoSpacing"/>
        <w:jc w:val="both"/>
      </w:pPr>
    </w:p>
    <w:p w:rsidR="00B24E47" w:rsidRDefault="00B24E47" w:rsidP="00DD3B49">
      <w:pPr>
        <w:pStyle w:val="NoSpacing"/>
        <w:jc w:val="both"/>
      </w:pPr>
      <w:hyperlink r:id="rId7" w:history="1">
        <w:r w:rsidRPr="003A14EE">
          <w:rPr>
            <w:rStyle w:val="Hyperlink"/>
          </w:rPr>
          <w:t>kirjaamo@mintc.fi</w:t>
        </w:r>
      </w:hyperlink>
    </w:p>
    <w:p w:rsidR="00B24E47" w:rsidRPr="007B1A30" w:rsidRDefault="00B24E47" w:rsidP="00DD3B49">
      <w:pPr>
        <w:pStyle w:val="NoSpacing"/>
        <w:jc w:val="both"/>
      </w:pPr>
      <w:hyperlink r:id="rId8" w:history="1">
        <w:r w:rsidRPr="001F1F3C">
          <w:rPr>
            <w:rStyle w:val="Hyperlink"/>
          </w:rPr>
          <w:t>kreetta.simola@mintc.fi</w:t>
        </w:r>
      </w:hyperlink>
    </w:p>
    <w:p w:rsidR="00B24E47" w:rsidRPr="007B1A30" w:rsidRDefault="00B24E47" w:rsidP="00DD3B49">
      <w:pPr>
        <w:pStyle w:val="NoSpacing"/>
        <w:jc w:val="both"/>
      </w:pPr>
    </w:p>
    <w:p w:rsidR="00B24E47" w:rsidRPr="007B1A30" w:rsidRDefault="00B24E47" w:rsidP="00DD3B49">
      <w:pPr>
        <w:pStyle w:val="NoSpacing"/>
        <w:jc w:val="both"/>
      </w:pPr>
    </w:p>
    <w:p w:rsidR="00B24E47" w:rsidRPr="007B1A30" w:rsidRDefault="00B24E47" w:rsidP="00DD3B49">
      <w:pPr>
        <w:pStyle w:val="NoSpacing"/>
        <w:jc w:val="both"/>
      </w:pPr>
    </w:p>
    <w:p w:rsidR="00B24E47" w:rsidRPr="007B1A30" w:rsidRDefault="00B24E47" w:rsidP="00DD3B49">
      <w:pPr>
        <w:pStyle w:val="NoSpacing"/>
        <w:jc w:val="both"/>
      </w:pPr>
    </w:p>
    <w:p w:rsidR="00B24E47" w:rsidRPr="007B1A30" w:rsidRDefault="00B24E47" w:rsidP="00DD3B49">
      <w:pPr>
        <w:pStyle w:val="NoSpacing"/>
        <w:jc w:val="both"/>
      </w:pPr>
    </w:p>
    <w:p w:rsidR="00B24E47" w:rsidRPr="004B3BDA" w:rsidRDefault="00B24E47" w:rsidP="00DD3B49">
      <w:pPr>
        <w:pStyle w:val="NoSpacing"/>
        <w:jc w:val="both"/>
        <w:rPr>
          <w:b/>
        </w:rPr>
      </w:pPr>
      <w:r w:rsidRPr="004B3BDA">
        <w:rPr>
          <w:b/>
        </w:rPr>
        <w:t xml:space="preserve">LAUSUNTOPYYNTÖ: </w:t>
      </w:r>
      <w:r>
        <w:rPr>
          <w:b/>
        </w:rPr>
        <w:t xml:space="preserve">TIETOYHTEISKUNTAKAARI - </w:t>
      </w:r>
      <w:r w:rsidRPr="00304C3A">
        <w:rPr>
          <w:b/>
          <w:caps/>
        </w:rPr>
        <w:t>Huomattavan markkinavoiman sääntelyä ja yhteenliittämistä koskevien säännösten tarkistaminen</w:t>
      </w:r>
      <w:r>
        <w:rPr>
          <w:b/>
          <w:caps/>
        </w:rPr>
        <w:t xml:space="preserve"> (</w:t>
      </w:r>
      <w:r>
        <w:rPr>
          <w:rFonts w:ascii="Arial" w:hAnsi="Arial" w:cs="Arial"/>
          <w:sz w:val="20"/>
          <w:szCs w:val="20"/>
        </w:rPr>
        <w:t>LVM/248/05/2012</w:t>
      </w:r>
      <w:r>
        <w:rPr>
          <w:b/>
          <w:caps/>
        </w:rPr>
        <w:t>)</w:t>
      </w:r>
    </w:p>
    <w:p w:rsidR="00B24E47" w:rsidRDefault="00B24E47" w:rsidP="00DD3B49">
      <w:pPr>
        <w:pStyle w:val="NoSpacing"/>
        <w:jc w:val="both"/>
      </w:pPr>
    </w:p>
    <w:p w:rsidR="00B24E47" w:rsidRDefault="00B24E47" w:rsidP="00DD3B49">
      <w:pPr>
        <w:pStyle w:val="NoSpacing"/>
        <w:ind w:left="1304"/>
        <w:jc w:val="both"/>
      </w:pPr>
      <w:r>
        <w:t>Pääministeri Kataisen hallituksen hallitusohjelmassa ”</w:t>
      </w:r>
      <w:r w:rsidRPr="007722EA">
        <w:rPr>
          <w:i/>
        </w:rPr>
        <w:t>Avoin, oikeudenmukainen ja rohkea Suomi</w:t>
      </w:r>
      <w:r>
        <w:t>” on päätetty, että ”</w:t>
      </w:r>
      <w:r w:rsidRPr="00C42934">
        <w:rPr>
          <w:sz w:val="20"/>
          <w:szCs w:val="20"/>
        </w:rPr>
        <w:t xml:space="preserve"> </w:t>
      </w:r>
      <w:r>
        <w:rPr>
          <w:sz w:val="20"/>
          <w:szCs w:val="20"/>
        </w:rPr>
        <w:t>Valmistellaan uusi tietoyhteiskuntakaari, johon kootaan keskeiset sähköistä viestintää ja tietoyhteiskunnan palvelujen tarjontaa koskevat säännökset.</w:t>
      </w:r>
      <w:r>
        <w:t>” Liikenne- ja viestintäministeriö vastaa tietoyhteiskuntakaaren valmistelusta.</w:t>
      </w: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DD3B49">
      <w:pPr>
        <w:pStyle w:val="PlainText"/>
        <w:ind w:left="1304"/>
        <w:jc w:val="both"/>
        <w:rPr>
          <w:rFonts w:ascii="Calibri" w:hAnsi="Calibri"/>
          <w:sz w:val="22"/>
          <w:szCs w:val="22"/>
          <w:lang w:eastAsia="fi-FI"/>
        </w:rPr>
      </w:pPr>
      <w:r>
        <w:rPr>
          <w:rFonts w:ascii="Calibri" w:hAnsi="Calibri"/>
          <w:sz w:val="22"/>
          <w:szCs w:val="22"/>
          <w:lang w:eastAsia="fi-FI"/>
        </w:rPr>
        <w:t>Toimijoilta on pyydetty näkemyksiä koskien huomattavan markkinavoiman sääntelyä ja yhteenliittymistä koskevien sääntöjen tarkastamista. Sanoma Media Finland kiittää mahdollisuudesta lausua asiassa ja esittää näkemyksenään seuraavaa:</w:t>
      </w:r>
    </w:p>
    <w:p w:rsidR="00B24E47" w:rsidRDefault="00B24E47" w:rsidP="00DD3B49">
      <w:pPr>
        <w:pStyle w:val="NoSpacing"/>
        <w:jc w:val="both"/>
      </w:pPr>
    </w:p>
    <w:p w:rsidR="00B24E47" w:rsidRDefault="00B24E47" w:rsidP="00DD3B49">
      <w:pPr>
        <w:pStyle w:val="NoSpacing"/>
        <w:jc w:val="both"/>
      </w:pPr>
    </w:p>
    <w:p w:rsidR="00B24E47" w:rsidRPr="00314143" w:rsidRDefault="00B24E47" w:rsidP="00DD3B49">
      <w:pPr>
        <w:pStyle w:val="NoSpacing"/>
        <w:jc w:val="both"/>
        <w:rPr>
          <w:b/>
        </w:rPr>
      </w:pPr>
      <w:r w:rsidRPr="00314143">
        <w:rPr>
          <w:b/>
        </w:rPr>
        <w:t>Taustaa</w:t>
      </w: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DD3B49">
      <w:pPr>
        <w:pStyle w:val="NoSpacing"/>
        <w:ind w:left="1304"/>
        <w:jc w:val="both"/>
      </w:pPr>
      <w:r>
        <w:t>Viestintäviraston tehtävänä on valvoa teleyritysten välisten maksujen kohtuullisuutta ja tukkumarkkinoiden toimivuutta, joissa markkina-analyysien perusteella on havaittu kilpailuongelmia. Viestintäviraston tulee toimia poistaakseen nämä ongelmat ja estääkseen niiden uudelleen syntymistä. Viestintävirasto valvoo myös antamisensa HMV-päätösten noudattamista.</w:t>
      </w: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DD3B49">
      <w:pPr>
        <w:pStyle w:val="NoSpacing"/>
        <w:ind w:left="1304"/>
        <w:jc w:val="both"/>
      </w:pPr>
      <w:r>
        <w:t>Selvityksissään Viestintävirasto on havainnut mm. seuraavaa: ”</w:t>
      </w:r>
      <w:r w:rsidRPr="006C4394">
        <w:rPr>
          <w:i/>
        </w:rPr>
        <w:t xml:space="preserve">..on usein todettu hinnoittelun olevan kohtuutonta, eli hinnoittelu ei ole ollut asetettujen velvoitteiden mukaisesti kustannussuuntautunutta. Merkittävin hinnoittelun kohtuuttomuuteen vaikuttanut tekijä on usein liittynyt pääomakustannusten ja erityisesti jälleenhankintahintojen määrittämiseen. </w:t>
      </w:r>
      <w:r>
        <w:t>”</w:t>
      </w: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DD3B49">
      <w:pPr>
        <w:pStyle w:val="NoSpacing"/>
        <w:ind w:left="1304"/>
        <w:jc w:val="both"/>
      </w:pPr>
      <w:r>
        <w:t>Käsityksemme mukaan edellä esitetty pitää hyvin paikkansa television lähetyspalveluita tarjoavan Digita Oy:n osalta. Viestintävirasto on havainnut ongelmia erityisesti esitettyjen jälleenhankintahintojen vertailukelpoisuudessa ja luotettavuudessa.</w:t>
      </w: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DD3B49">
      <w:pPr>
        <w:pStyle w:val="NoSpacing"/>
        <w:ind w:left="1304"/>
        <w:jc w:val="both"/>
      </w:pPr>
      <w:r>
        <w:t>Televisioyhtiöt ovat omissa selvityksissään vertailleet vastaavia television lähetyspalveluita tarjoavien yritysten tukkuhinnoittelua eri markkinoilla. Esimerkiksi verrattuna Ruotsiin ja Teracom Ab:n hinnoitteluun, on Digitan hinnoittelu yli kaksikertaista (hinta/kanava/lähetin).  Lain vaatimus aiheutuneiden kustannusten huomioimisesta ei ole toteutunut. Myös kustannusten kohdentamisessa HMV-palveluiden ja muiden palveluiden välillä on epäkohtia. Käytännössä tästä on seurauksena aiheutunut kustannuksia korkeampien hintojen asettaminen, eli hinnoittelun kohtuuttomuus.</w:t>
      </w: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DD3B49">
      <w:pPr>
        <w:pStyle w:val="NoSpacing"/>
        <w:ind w:left="1304"/>
        <w:jc w:val="both"/>
      </w:pPr>
      <w:r>
        <w:t>Televisioyhtiöiden havaitsemat epäkohdat ovat saaneet viranomaisilta ymmärrystä. Tämän johdosta televisioyhtiöt ovat pitäneet tärkeänä, että epäkohtiin puututaan tehokkaasti myös uudistamalla sääntelyä.</w:t>
      </w:r>
    </w:p>
    <w:p w:rsidR="00B24E47" w:rsidRDefault="00B24E47" w:rsidP="00DD3B49">
      <w:pPr>
        <w:pStyle w:val="NoSpacing"/>
        <w:jc w:val="both"/>
      </w:pPr>
    </w:p>
    <w:p w:rsidR="00B24E47" w:rsidRDefault="00B24E47" w:rsidP="00DD3B49">
      <w:pPr>
        <w:pStyle w:val="NoSpacing"/>
        <w:jc w:val="both"/>
      </w:pPr>
    </w:p>
    <w:p w:rsidR="00B24E47" w:rsidRPr="00314143" w:rsidRDefault="00B24E47" w:rsidP="00DD3B49">
      <w:pPr>
        <w:pStyle w:val="NoSpacing"/>
        <w:jc w:val="both"/>
        <w:rPr>
          <w:b/>
        </w:rPr>
      </w:pPr>
      <w:r>
        <w:rPr>
          <w:b/>
        </w:rPr>
        <w:t>Televisioyhtiön</w:t>
      </w:r>
      <w:r w:rsidRPr="00314143">
        <w:rPr>
          <w:b/>
        </w:rPr>
        <w:t xml:space="preserve"> näkemykset</w:t>
      </w:r>
    </w:p>
    <w:p w:rsidR="00B24E47" w:rsidRDefault="00B24E47" w:rsidP="00DD3B49">
      <w:pPr>
        <w:pStyle w:val="NoSpacing"/>
        <w:jc w:val="both"/>
      </w:pPr>
    </w:p>
    <w:p w:rsidR="00B24E47" w:rsidRPr="00AE7A79" w:rsidRDefault="00B24E47" w:rsidP="00DD3B49">
      <w:pPr>
        <w:pStyle w:val="NoSpacing"/>
        <w:ind w:left="1304"/>
        <w:jc w:val="both"/>
        <w:rPr>
          <w:b/>
        </w:rPr>
      </w:pPr>
      <w:r>
        <w:rPr>
          <w:b/>
        </w:rPr>
        <w:t>Sanoma Media Finland pitää tärkeänä, että seuraavat periaatteet</w:t>
      </w:r>
      <w:r w:rsidRPr="00AE7A79">
        <w:rPr>
          <w:b/>
        </w:rPr>
        <w:t xml:space="preserve"> otetaan huomioon HMV-sääntelyä uudistettaessa:</w:t>
      </w:r>
    </w:p>
    <w:p w:rsidR="00B24E47" w:rsidRDefault="00B24E47" w:rsidP="00DD3B49">
      <w:pPr>
        <w:pStyle w:val="NoSpacing"/>
        <w:jc w:val="both"/>
      </w:pPr>
    </w:p>
    <w:p w:rsidR="00B24E47" w:rsidRDefault="00B24E47" w:rsidP="00DD3B49">
      <w:pPr>
        <w:pStyle w:val="NoSpacing"/>
        <w:numPr>
          <w:ilvl w:val="0"/>
          <w:numId w:val="7"/>
        </w:numPr>
        <w:jc w:val="both"/>
        <w:rPr>
          <w:b/>
        </w:rPr>
      </w:pPr>
      <w:r>
        <w:rPr>
          <w:b/>
        </w:rPr>
        <w:t>säänneltyjen tuotteiden markkinoiksi on kansallisesti voitava määrätä myös muita kuin komission määräämät markkinat.</w:t>
      </w:r>
    </w:p>
    <w:p w:rsidR="00B24E47" w:rsidRDefault="00B24E47" w:rsidP="00DD3B49">
      <w:pPr>
        <w:pStyle w:val="NoSpacing"/>
        <w:ind w:left="2024"/>
        <w:jc w:val="both"/>
      </w:pPr>
    </w:p>
    <w:p w:rsidR="00B24E47" w:rsidRDefault="00B24E47" w:rsidP="00DD3B49">
      <w:pPr>
        <w:pStyle w:val="NoSpacing"/>
        <w:ind w:left="2024"/>
        <w:jc w:val="both"/>
        <w:rPr>
          <w:i/>
        </w:rPr>
      </w:pPr>
      <w:r w:rsidRPr="00722CCF">
        <w:rPr>
          <w:i/>
        </w:rPr>
        <w:t xml:space="preserve">Siirtokapasiteettia on tarjottava televisioyhtiöiden kanaville sellaisille kustannustasolla, joka </w:t>
      </w:r>
      <w:r>
        <w:rPr>
          <w:i/>
        </w:rPr>
        <w:t>vastaa jakelusta aiheutuvia tosiasiallisia kustannuksia</w:t>
      </w:r>
      <w:r w:rsidRPr="00722CCF">
        <w:rPr>
          <w:i/>
        </w:rPr>
        <w:t xml:space="preserve"> ja joka mahdollistaa panostamisen kotimaisten televisio-ohjelmien tuottamiseen.</w:t>
      </w:r>
      <w:r>
        <w:rPr>
          <w:i/>
        </w:rPr>
        <w:t xml:space="preserve"> </w:t>
      </w:r>
      <w:r w:rsidRPr="00722CCF">
        <w:rPr>
          <w:i/>
        </w:rPr>
        <w:t>Digita Oy toimii superdominantissa markkina-asemassa i</w:t>
      </w:r>
      <w:r>
        <w:rPr>
          <w:i/>
        </w:rPr>
        <w:t>lman kilpailua omistaessaan kaikki</w:t>
      </w:r>
      <w:r w:rsidRPr="00722CCF">
        <w:rPr>
          <w:i/>
        </w:rPr>
        <w:t xml:space="preserve"> UHF-alueen </w:t>
      </w:r>
      <w:r>
        <w:rPr>
          <w:i/>
        </w:rPr>
        <w:t xml:space="preserve">lähetysmastot ja niihin liittyvän muun </w:t>
      </w:r>
      <w:r w:rsidRPr="00722CCF">
        <w:rPr>
          <w:i/>
        </w:rPr>
        <w:t>infrastruktuurin.</w:t>
      </w:r>
      <w:r>
        <w:rPr>
          <w:i/>
        </w:rPr>
        <w:t xml:space="preserve"> DNA Oy:n toiminta suppeammalla VHF-alueella ei poista tätä epäkohtaa.</w:t>
      </w:r>
    </w:p>
    <w:p w:rsidR="00B24E47" w:rsidRDefault="00B24E47" w:rsidP="00DD3B49">
      <w:pPr>
        <w:pStyle w:val="NoSpacing"/>
        <w:ind w:left="2024"/>
        <w:jc w:val="both"/>
        <w:rPr>
          <w:i/>
        </w:rPr>
      </w:pPr>
    </w:p>
    <w:p w:rsidR="00B24E47" w:rsidRPr="00722CCF" w:rsidRDefault="00B24E47" w:rsidP="006A71B2">
      <w:pPr>
        <w:pStyle w:val="NoSpacing"/>
        <w:ind w:left="2024"/>
        <w:jc w:val="both"/>
        <w:rPr>
          <w:i/>
        </w:rPr>
      </w:pPr>
      <w:r>
        <w:rPr>
          <w:i/>
        </w:rPr>
        <w:t>T</w:t>
      </w:r>
      <w:r w:rsidRPr="00166AE8">
        <w:rPr>
          <w:i/>
        </w:rPr>
        <w:t xml:space="preserve">ämän </w:t>
      </w:r>
      <w:r>
        <w:rPr>
          <w:i/>
        </w:rPr>
        <w:t xml:space="preserve">television lähetyspalvelumarkkinalla havaitun </w:t>
      </w:r>
      <w:r w:rsidRPr="00166AE8">
        <w:rPr>
          <w:i/>
        </w:rPr>
        <w:t xml:space="preserve">merkittävän markkinahäiriön korjaamiseksi on laajemmin tarve uudistaa HMV-palveluiden hinnoittelun arviointiperusteita sekä pohtia muita välttämättömiä </w:t>
      </w:r>
      <w:r>
        <w:rPr>
          <w:i/>
        </w:rPr>
        <w:t>sääntely</w:t>
      </w:r>
      <w:r w:rsidRPr="00166AE8">
        <w:rPr>
          <w:i/>
        </w:rPr>
        <w:t xml:space="preserve">ratkaisuja </w:t>
      </w:r>
      <w:r>
        <w:rPr>
          <w:i/>
        </w:rPr>
        <w:t>jatkuvan ylihinnoittelun</w:t>
      </w:r>
      <w:r w:rsidRPr="00166AE8">
        <w:rPr>
          <w:i/>
        </w:rPr>
        <w:t xml:space="preserve"> estämiseksi.</w:t>
      </w:r>
    </w:p>
    <w:p w:rsidR="00B24E47" w:rsidRDefault="00B24E47" w:rsidP="00DD3B49">
      <w:pPr>
        <w:pStyle w:val="NoSpacing"/>
        <w:ind w:left="2024"/>
        <w:jc w:val="both"/>
        <w:rPr>
          <w:b/>
        </w:rPr>
      </w:pPr>
    </w:p>
    <w:p w:rsidR="00B24E47" w:rsidRDefault="00B24E47" w:rsidP="00DD3B49">
      <w:pPr>
        <w:pStyle w:val="NoSpacing"/>
        <w:ind w:left="2024"/>
        <w:jc w:val="both"/>
        <w:rPr>
          <w:b/>
        </w:rPr>
      </w:pPr>
    </w:p>
    <w:p w:rsidR="00B24E47" w:rsidRDefault="00B24E47" w:rsidP="00DD3B49">
      <w:pPr>
        <w:pStyle w:val="NoSpacing"/>
        <w:numPr>
          <w:ilvl w:val="0"/>
          <w:numId w:val="7"/>
        </w:numPr>
        <w:jc w:val="both"/>
        <w:rPr>
          <w:b/>
        </w:rPr>
      </w:pPr>
      <w:r w:rsidRPr="00BE255C">
        <w:rPr>
          <w:b/>
        </w:rPr>
        <w:t>huomattavan markkinavoiman sääntelyä kehitettäessä tul</w:t>
      </w:r>
      <w:r>
        <w:rPr>
          <w:b/>
        </w:rPr>
        <w:t>is</w:t>
      </w:r>
      <w:r w:rsidRPr="00BE255C">
        <w:rPr>
          <w:b/>
        </w:rPr>
        <w:t xml:space="preserve">i tehdä mahdolliseksi </w:t>
      </w:r>
      <w:r>
        <w:rPr>
          <w:b/>
        </w:rPr>
        <w:t>television lähetys</w:t>
      </w:r>
      <w:r w:rsidRPr="00BE255C">
        <w:rPr>
          <w:b/>
        </w:rPr>
        <w:t>palveluiden ja Telecom</w:t>
      </w:r>
      <w:r>
        <w:rPr>
          <w:b/>
        </w:rPr>
        <w:t>-viestintäverkkopalveluiden</w:t>
      </w:r>
      <w:r w:rsidRPr="00BE255C">
        <w:rPr>
          <w:b/>
        </w:rPr>
        <w:t xml:space="preserve"> toisistaan</w:t>
      </w:r>
      <w:r>
        <w:rPr>
          <w:b/>
        </w:rPr>
        <w:t xml:space="preserve"> riippumaton arviointi.</w:t>
      </w:r>
    </w:p>
    <w:p w:rsidR="00B24E47" w:rsidRDefault="00B24E47" w:rsidP="00DD3B49">
      <w:pPr>
        <w:pStyle w:val="NoSpacing"/>
        <w:ind w:left="2024"/>
        <w:jc w:val="both"/>
      </w:pPr>
    </w:p>
    <w:p w:rsidR="00B24E47" w:rsidRPr="00566DFB" w:rsidRDefault="00B24E47" w:rsidP="00DD3B49">
      <w:pPr>
        <w:pStyle w:val="NoSpacing"/>
        <w:ind w:left="2024"/>
        <w:jc w:val="both"/>
        <w:rPr>
          <w:i/>
        </w:rPr>
      </w:pPr>
      <w:r>
        <w:rPr>
          <w:i/>
        </w:rPr>
        <w:t>Television lähetyspalvelumarkkinan</w:t>
      </w:r>
      <w:r w:rsidRPr="00722CCF">
        <w:rPr>
          <w:i/>
        </w:rPr>
        <w:t xml:space="preserve"> (televisio- ja radiolähetyspalvelu) ja Telecom-viestintäverkkopalveluiden kaupalliset ekosysteemit poikkeavat olennaisesti toisistaan. Käytännössä nämä muodostavat </w:t>
      </w:r>
      <w:r w:rsidRPr="00722CCF">
        <w:rPr>
          <w:i/>
          <w:u w:val="single"/>
        </w:rPr>
        <w:t>erilliset hyödyke- ja palvelumarkkinat</w:t>
      </w:r>
      <w:r w:rsidRPr="00722CCF">
        <w:rPr>
          <w:i/>
        </w:rPr>
        <w:t xml:space="preserve">. </w:t>
      </w:r>
      <w:r>
        <w:rPr>
          <w:i/>
        </w:rPr>
        <w:t xml:space="preserve"> </w:t>
      </w:r>
      <w:r w:rsidRPr="00722CCF">
        <w:rPr>
          <w:i/>
        </w:rPr>
        <w:t xml:space="preserve">Nykyisen lähetysverkon infrastruktuuri </w:t>
      </w:r>
      <w:r>
        <w:rPr>
          <w:i/>
        </w:rPr>
        <w:t xml:space="preserve">ja sen omistajuus </w:t>
      </w:r>
      <w:r w:rsidRPr="00722CCF">
        <w:rPr>
          <w:i/>
        </w:rPr>
        <w:t>huomioiden televisiotaajuuksien kaupallistamisella esimerkiksi huutokauppamenettelyllä ei myöskään ole mahdollista synnyttä tosiasiallista verkkokilpailua</w:t>
      </w:r>
      <w:r>
        <w:rPr>
          <w:i/>
        </w:rPr>
        <w:t>, joka korvaisi sääntelytarpeen.</w:t>
      </w:r>
    </w:p>
    <w:p w:rsidR="00B24E47" w:rsidRDefault="00B24E47" w:rsidP="00DD3B49">
      <w:pPr>
        <w:pStyle w:val="NoSpacing"/>
        <w:ind w:left="2024"/>
        <w:jc w:val="both"/>
      </w:pPr>
    </w:p>
    <w:p w:rsidR="00B24E47" w:rsidRPr="00471613" w:rsidRDefault="00B24E47" w:rsidP="00DD3B49">
      <w:pPr>
        <w:pStyle w:val="NoSpacing"/>
        <w:ind w:left="2024"/>
        <w:jc w:val="both"/>
      </w:pPr>
      <w:r>
        <w:rPr>
          <w:i/>
        </w:rPr>
        <w:t>Sanoma Media Finland</w:t>
      </w:r>
      <w:r w:rsidRPr="00F54DB2">
        <w:rPr>
          <w:i/>
        </w:rPr>
        <w:t xml:space="preserve"> </w:t>
      </w:r>
      <w:r>
        <w:rPr>
          <w:i/>
        </w:rPr>
        <w:t>esittää</w:t>
      </w:r>
      <w:r w:rsidRPr="00F54DB2">
        <w:rPr>
          <w:i/>
        </w:rPr>
        <w:t>, että sääntely</w:t>
      </w:r>
      <w:r>
        <w:rPr>
          <w:i/>
        </w:rPr>
        <w:t>ä kehitetään mahdollistamaan television lähetys</w:t>
      </w:r>
      <w:r w:rsidRPr="00F54DB2">
        <w:rPr>
          <w:i/>
        </w:rPr>
        <w:t>palveluiden tarkastelu</w:t>
      </w:r>
      <w:r>
        <w:rPr>
          <w:i/>
        </w:rPr>
        <w:t xml:space="preserve"> ja määräysten antaminen</w:t>
      </w:r>
      <w:r w:rsidRPr="00F54DB2">
        <w:rPr>
          <w:i/>
        </w:rPr>
        <w:t xml:space="preserve"> erillään Telecom-viestintäverkkopalveluista.</w:t>
      </w:r>
    </w:p>
    <w:p w:rsidR="00B24E47" w:rsidRPr="00F54DB2" w:rsidRDefault="00B24E47" w:rsidP="00DD3B49">
      <w:pPr>
        <w:jc w:val="both"/>
        <w:rPr>
          <w:i/>
        </w:rPr>
      </w:pPr>
    </w:p>
    <w:p w:rsidR="00B24E47" w:rsidRPr="00CE23CF" w:rsidRDefault="00B24E47" w:rsidP="00CE23CF">
      <w:pPr>
        <w:pStyle w:val="NoSpacing"/>
        <w:numPr>
          <w:ilvl w:val="0"/>
          <w:numId w:val="7"/>
        </w:numPr>
        <w:jc w:val="both"/>
        <w:rPr>
          <w:b/>
        </w:rPr>
      </w:pPr>
      <w:r w:rsidRPr="00BE255C">
        <w:rPr>
          <w:b/>
        </w:rPr>
        <w:t xml:space="preserve">HMV-sääntelyn toimivuuden tarkastamisen lisäksi on </w:t>
      </w:r>
      <w:r>
        <w:rPr>
          <w:b/>
        </w:rPr>
        <w:t>luotava edellytykset hintakaton asettamiseksi</w:t>
      </w:r>
      <w:r w:rsidRPr="00BE255C">
        <w:rPr>
          <w:b/>
        </w:rPr>
        <w:t xml:space="preserve"> varmistamaan markkinoiden toimivuus tilanteessa, jossa yksi verkkotoimijoista omistaa toiminnan harjoittamisen kanna</w:t>
      </w:r>
      <w:r>
        <w:rPr>
          <w:b/>
        </w:rPr>
        <w:t>lta kriittisen infrastruktuurin. Viestintäviraston käytettävissä olevaa keinovalikoimaa on sääntelyä uudistamalla laajennettava kattamaan myös hintakaton asettaminen.</w:t>
      </w:r>
    </w:p>
    <w:p w:rsidR="00B24E47" w:rsidRPr="00F079AB" w:rsidRDefault="00B24E47" w:rsidP="00DD3B49">
      <w:pPr>
        <w:pStyle w:val="NoSpacing"/>
        <w:ind w:left="2024"/>
        <w:jc w:val="both"/>
        <w:rPr>
          <w:b/>
        </w:rPr>
      </w:pPr>
    </w:p>
    <w:p w:rsidR="00B24E47" w:rsidRPr="00F079AB" w:rsidRDefault="00B24E47" w:rsidP="00DD3B49">
      <w:pPr>
        <w:pStyle w:val="NoSpacing"/>
        <w:ind w:left="2024"/>
        <w:jc w:val="both"/>
        <w:rPr>
          <w:i/>
        </w:rPr>
      </w:pPr>
      <w:r w:rsidRPr="00F079AB">
        <w:rPr>
          <w:i/>
        </w:rPr>
        <w:t xml:space="preserve">Koska televisiolähetyspalvelumarkkina ei voi toimia markkinaehtoisesti </w:t>
      </w:r>
      <w:r>
        <w:rPr>
          <w:i/>
        </w:rPr>
        <w:t>esitämme</w:t>
      </w:r>
      <w:r w:rsidRPr="00F079AB">
        <w:rPr>
          <w:i/>
        </w:rPr>
        <w:t>, että uudistettavien arvio</w:t>
      </w:r>
      <w:r>
        <w:rPr>
          <w:i/>
        </w:rPr>
        <w:t>intiperiaatteiden lisäksi tulee</w:t>
      </w:r>
      <w:r w:rsidRPr="00F079AB">
        <w:rPr>
          <w:i/>
        </w:rPr>
        <w:t xml:space="preserve"> televisiolähetyspalveluille asettaa hintakatto estämään verkkoyhtiötä vaikuttamasta hinnoitteluun ja sen läpinäkyvyyteen yritystoiminnan järjestelyiden avulla sekä turvamaan televisiolähetyspalveluita ostaville yritykselle ja kuluttajille oikeuden palvelun tosiasiallisiin tuottamiskustannuksiin perustuvaan hinnoitteluun.</w:t>
      </w:r>
    </w:p>
    <w:p w:rsidR="00B24E47" w:rsidRDefault="00B24E47" w:rsidP="00DD3B49">
      <w:pPr>
        <w:pStyle w:val="ListParagraph"/>
        <w:ind w:left="1304"/>
        <w:rPr>
          <w:b/>
        </w:rPr>
      </w:pPr>
    </w:p>
    <w:p w:rsidR="00B24E47" w:rsidRDefault="00B24E47" w:rsidP="00DD3B49">
      <w:pPr>
        <w:pStyle w:val="NoSpacing"/>
        <w:numPr>
          <w:ilvl w:val="0"/>
          <w:numId w:val="7"/>
        </w:numPr>
        <w:jc w:val="both"/>
        <w:rPr>
          <w:b/>
        </w:rPr>
      </w:pPr>
      <w:r w:rsidRPr="004A2113">
        <w:rPr>
          <w:b/>
        </w:rPr>
        <w:t>valvovana viranomaisena toimivan Viestintäviraston toimivaltaa tulee laajentaa kattamaan HMV-palveluita tarjoavan yrityksen koko liiketoimintaa</w:t>
      </w:r>
      <w:r>
        <w:rPr>
          <w:b/>
        </w:rPr>
        <w:t>.</w:t>
      </w:r>
    </w:p>
    <w:p w:rsidR="00B24E47" w:rsidRPr="004A2113" w:rsidRDefault="00B24E47" w:rsidP="00CE23CF">
      <w:pPr>
        <w:pStyle w:val="NoSpacing"/>
        <w:ind w:left="2024"/>
        <w:jc w:val="both"/>
        <w:rPr>
          <w:b/>
        </w:rPr>
      </w:pPr>
    </w:p>
    <w:p w:rsidR="00B24E47" w:rsidRDefault="00B24E47" w:rsidP="00DD3B49">
      <w:pPr>
        <w:pStyle w:val="NoSpacing"/>
        <w:ind w:left="2024"/>
        <w:jc w:val="both"/>
        <w:rPr>
          <w:b/>
        </w:rPr>
      </w:pPr>
      <w:r w:rsidRPr="00487C26">
        <w:rPr>
          <w:i/>
        </w:rPr>
        <w:t xml:space="preserve">Viestintämarkkinalakia </w:t>
      </w:r>
      <w:r>
        <w:rPr>
          <w:i/>
        </w:rPr>
        <w:t xml:space="preserve">tulee </w:t>
      </w:r>
      <w:r w:rsidRPr="00487C26">
        <w:rPr>
          <w:i/>
        </w:rPr>
        <w:t>uudistaa turvaamaan valvovalle viranomaiselle riittävät valtuudet valvoa HMV-säänneltyä toiminta myös tarkastelemalla valvottavan yrityksen kokon</w:t>
      </w:r>
      <w:r>
        <w:rPr>
          <w:i/>
        </w:rPr>
        <w:t>aistoimintaa. Tavoitteeksi tulee</w:t>
      </w:r>
      <w:r w:rsidRPr="00487C26">
        <w:rPr>
          <w:i/>
        </w:rPr>
        <w:t xml:space="preserve"> asettaa, että telev</w:t>
      </w:r>
      <w:r>
        <w:rPr>
          <w:i/>
        </w:rPr>
        <w:t>isiolähetyspalveluiden hinnoittelu</w:t>
      </w:r>
      <w:r w:rsidRPr="00487C26">
        <w:rPr>
          <w:i/>
        </w:rPr>
        <w:t xml:space="preserve"> olisi läpinäkyv</w:t>
      </w:r>
      <w:r>
        <w:rPr>
          <w:i/>
        </w:rPr>
        <w:t>ä</w:t>
      </w:r>
      <w:r w:rsidRPr="00487C26">
        <w:rPr>
          <w:i/>
        </w:rPr>
        <w:t>ä, paremmin valvottu</w:t>
      </w:r>
      <w:r>
        <w:rPr>
          <w:i/>
        </w:rPr>
        <w:t>a</w:t>
      </w:r>
      <w:r w:rsidRPr="00487C26">
        <w:rPr>
          <w:i/>
        </w:rPr>
        <w:t> ja verrattavissa eurooppala</w:t>
      </w:r>
      <w:r>
        <w:rPr>
          <w:i/>
        </w:rPr>
        <w:t>isiin hintatasoihin.</w:t>
      </w:r>
    </w:p>
    <w:p w:rsidR="00B24E47" w:rsidRDefault="00B24E47" w:rsidP="00DD3B49">
      <w:pPr>
        <w:pStyle w:val="NoSpacing"/>
        <w:ind w:left="2024"/>
        <w:jc w:val="both"/>
        <w:rPr>
          <w:b/>
        </w:rPr>
      </w:pPr>
    </w:p>
    <w:p w:rsidR="00B24E47" w:rsidRDefault="00B24E47" w:rsidP="00DD3B49">
      <w:pPr>
        <w:pStyle w:val="NoSpacing"/>
        <w:ind w:left="2024"/>
        <w:jc w:val="both"/>
        <w:rPr>
          <w:i/>
        </w:rPr>
      </w:pPr>
      <w:r>
        <w:rPr>
          <w:i/>
        </w:rPr>
        <w:t>Sanoma Media Finlandin</w:t>
      </w:r>
      <w:r w:rsidRPr="00F079AB">
        <w:rPr>
          <w:i/>
        </w:rPr>
        <w:t xml:space="preserve"> näkemyksen </w:t>
      </w:r>
      <w:r>
        <w:rPr>
          <w:i/>
        </w:rPr>
        <w:t xml:space="preserve">mukaan Viestintävirastolle tulee velvollisuuden lisäksi </w:t>
      </w:r>
      <w:r w:rsidRPr="00F079AB">
        <w:rPr>
          <w:i/>
        </w:rPr>
        <w:t xml:space="preserve">varmistaa </w:t>
      </w:r>
      <w:r w:rsidRPr="00251499">
        <w:rPr>
          <w:i/>
        </w:rPr>
        <w:t>valmiudet ja valtuudet herkästi puuttua tehottomuuteen ja määrätä korjaavia toimenpiteitä. Viestintäviraston</w:t>
      </w:r>
      <w:r w:rsidRPr="00DE107F">
        <w:rPr>
          <w:i/>
        </w:rPr>
        <w:t xml:space="preserve"> valvonnan ja markkina-arvioinnin on oltava sekä ennakoivaa että takautuvaa.</w:t>
      </w:r>
    </w:p>
    <w:p w:rsidR="00B24E47" w:rsidRDefault="00B24E47" w:rsidP="00DD3B49">
      <w:pPr>
        <w:pStyle w:val="NoSpacing"/>
        <w:ind w:left="2024"/>
        <w:jc w:val="both"/>
        <w:rPr>
          <w:i/>
        </w:rPr>
      </w:pPr>
    </w:p>
    <w:p w:rsidR="00B24E47" w:rsidRDefault="00B24E47" w:rsidP="00DD3B49">
      <w:pPr>
        <w:pStyle w:val="NoSpacing"/>
        <w:ind w:left="2024"/>
        <w:jc w:val="both"/>
        <w:rPr>
          <w:i/>
        </w:rPr>
      </w:pPr>
    </w:p>
    <w:p w:rsidR="00B24E47" w:rsidRPr="00E43090" w:rsidRDefault="00B24E47" w:rsidP="00DD3B49">
      <w:pPr>
        <w:pStyle w:val="NoSpacing"/>
        <w:numPr>
          <w:ilvl w:val="0"/>
          <w:numId w:val="7"/>
        </w:numPr>
        <w:jc w:val="both"/>
        <w:rPr>
          <w:b/>
        </w:rPr>
      </w:pPr>
      <w:r>
        <w:rPr>
          <w:b/>
        </w:rPr>
        <w:t>v</w:t>
      </w:r>
      <w:r w:rsidRPr="00E43090">
        <w:rPr>
          <w:b/>
        </w:rPr>
        <w:t xml:space="preserve">erkkolupia tulisi </w:t>
      </w:r>
      <w:r>
        <w:rPr>
          <w:b/>
        </w:rPr>
        <w:t>täyden</w:t>
      </w:r>
      <w:r w:rsidRPr="00E43090">
        <w:rPr>
          <w:b/>
        </w:rPr>
        <w:t>t</w:t>
      </w:r>
      <w:r>
        <w:rPr>
          <w:b/>
        </w:rPr>
        <w:t>ä</w:t>
      </w:r>
      <w:r w:rsidRPr="00E43090">
        <w:rPr>
          <w:b/>
        </w:rPr>
        <w:t>ä velvoitteella tarjota palveluita niiden todellisia tuottamiskustannuksia vastaavalla hinnalla</w:t>
      </w:r>
      <w:r>
        <w:rPr>
          <w:b/>
        </w:rPr>
        <w:t>.</w:t>
      </w:r>
    </w:p>
    <w:p w:rsidR="00B24E47" w:rsidRDefault="00B24E47" w:rsidP="00DD3B49">
      <w:pPr>
        <w:pStyle w:val="NoSpacing"/>
        <w:ind w:left="1304"/>
        <w:jc w:val="both"/>
      </w:pPr>
    </w:p>
    <w:p w:rsidR="00B24E47" w:rsidRPr="00E43090" w:rsidRDefault="00B24E47" w:rsidP="00DD3B49">
      <w:pPr>
        <w:pStyle w:val="NoSpacing"/>
        <w:ind w:left="2024"/>
        <w:jc w:val="both"/>
        <w:rPr>
          <w:i/>
        </w:rPr>
      </w:pPr>
      <w:r>
        <w:rPr>
          <w:i/>
        </w:rPr>
        <w:t>T</w:t>
      </w:r>
      <w:r w:rsidRPr="00E43090">
        <w:rPr>
          <w:i/>
        </w:rPr>
        <w:t>elevisiolähetyspalveluiden</w:t>
      </w:r>
      <w:r>
        <w:rPr>
          <w:i/>
        </w:rPr>
        <w:t xml:space="preserve"> tarjoaminen edellyttää valtioneuvoston myöntämää toimilupaa (verkkolupaa)</w:t>
      </w:r>
      <w:r w:rsidRPr="00E43090">
        <w:rPr>
          <w:i/>
        </w:rPr>
        <w:t xml:space="preserve">. </w:t>
      </w:r>
      <w:r>
        <w:rPr>
          <w:i/>
        </w:rPr>
        <w:t xml:space="preserve">Kannatamme tämän menettelyn säilyttämistä. Nykyisissä verkkoluvissa </w:t>
      </w:r>
      <w:r w:rsidRPr="00E43090">
        <w:rPr>
          <w:i/>
        </w:rPr>
        <w:t>on määräys tarjota ”</w:t>
      </w:r>
      <w:r w:rsidRPr="0009212C">
        <w:rPr>
          <w:i/>
        </w:rPr>
        <w:t>verkkopalveluita tasapuolisin ja syrjimättömin ehdoin kaikille palveluyrityksille</w:t>
      </w:r>
      <w:r w:rsidRPr="00E43090">
        <w:rPr>
          <w:i/>
        </w:rPr>
        <w:t>”.</w:t>
      </w:r>
    </w:p>
    <w:p w:rsidR="00B24E47" w:rsidRPr="00E43090" w:rsidRDefault="00B24E47" w:rsidP="00DD3B49">
      <w:pPr>
        <w:pStyle w:val="NoSpacing"/>
        <w:ind w:left="1304"/>
        <w:jc w:val="both"/>
        <w:rPr>
          <w:i/>
        </w:rPr>
      </w:pPr>
    </w:p>
    <w:p w:rsidR="00B24E47" w:rsidRPr="00E43090" w:rsidRDefault="00B24E47" w:rsidP="00DD3B49">
      <w:pPr>
        <w:pStyle w:val="NoSpacing"/>
        <w:ind w:left="2024"/>
        <w:jc w:val="both"/>
        <w:rPr>
          <w:i/>
        </w:rPr>
      </w:pPr>
      <w:r>
        <w:rPr>
          <w:i/>
        </w:rPr>
        <w:t>Sanoma Media Finland esittää</w:t>
      </w:r>
      <w:r w:rsidRPr="00E43090">
        <w:rPr>
          <w:i/>
        </w:rPr>
        <w:t>, että määräystä täydennetään velvoitteella tarjota verkkopalveluita kustannussuuntautuneesti ja tehokkaasti, ja että mm. verkko-operaattorin yritysjärjestelyt, jotka koskevat verkkopalveluiden tarjoamista alistetaan ennakkoarviointimenettelylle niiden haitallisten hintavaikutuksien estämiseksi ja toiminnan läpinäkyvyyden sekä toimivan valvonnan turvaamiseksi.</w:t>
      </w:r>
      <w:r>
        <w:rPr>
          <w:i/>
        </w:rPr>
        <w:t xml:space="preserve"> Tällä voidaan myös edistää televisioyhtiöiden välistä tasapuolista kilpailua.</w:t>
      </w:r>
    </w:p>
    <w:p w:rsidR="00B24E47" w:rsidRDefault="00B24E47" w:rsidP="00DD3B49">
      <w:pPr>
        <w:pStyle w:val="NoSpacing"/>
        <w:ind w:left="2024"/>
        <w:jc w:val="both"/>
        <w:rPr>
          <w:i/>
        </w:rPr>
      </w:pPr>
    </w:p>
    <w:p w:rsidR="00B24E47" w:rsidRPr="00487C26" w:rsidRDefault="00B24E47" w:rsidP="00DD3B49">
      <w:pPr>
        <w:pStyle w:val="NoSpacing"/>
        <w:ind w:left="2024"/>
        <w:jc w:val="both"/>
        <w:rPr>
          <w:i/>
        </w:rPr>
      </w:pPr>
    </w:p>
    <w:p w:rsidR="00B24E47" w:rsidRPr="00F866D9" w:rsidRDefault="00B24E47" w:rsidP="00AF08F7">
      <w:pPr>
        <w:pStyle w:val="NoSpacing"/>
        <w:numPr>
          <w:ilvl w:val="0"/>
          <w:numId w:val="7"/>
        </w:numPr>
        <w:jc w:val="both"/>
        <w:rPr>
          <w:b/>
        </w:rPr>
      </w:pPr>
      <w:r w:rsidRPr="00F866D9">
        <w:rPr>
          <w:b/>
        </w:rPr>
        <w:t>edistetään vaihtoehtoisten kaksisuuntaisten jakelumuotojen nopeaa käyttöönottoa</w:t>
      </w:r>
      <w:r>
        <w:rPr>
          <w:b/>
        </w:rPr>
        <w:t>.</w:t>
      </w:r>
    </w:p>
    <w:p w:rsidR="00B24E47" w:rsidRDefault="00B24E47" w:rsidP="00AF08F7">
      <w:pPr>
        <w:pStyle w:val="NoSpacing"/>
        <w:ind w:left="1664"/>
        <w:jc w:val="both"/>
      </w:pPr>
    </w:p>
    <w:p w:rsidR="00B24E47" w:rsidRPr="00DF4613" w:rsidRDefault="00B24E47" w:rsidP="00AF08F7">
      <w:pPr>
        <w:pStyle w:val="NoSpacing"/>
        <w:ind w:left="2024"/>
        <w:jc w:val="both"/>
        <w:rPr>
          <w:i/>
        </w:rPr>
      </w:pPr>
      <w:r w:rsidRPr="00DF4613">
        <w:rPr>
          <w:i/>
        </w:rPr>
        <w:t xml:space="preserve">Televisiosisällöt muuttuvat televisiopalveluiksi. IPTV:llä on merkittävä osa televisiotoiminnan kehittymisessä ja tätä kautta se on merkittävä myös suomalaisen audiovisuaalialan elinvoimaisuuden kannalta. Tulee käynnistää toimia operaattorien runko-, alue- ja liityntäverkkojen yhteensovittamiseksi multicast-kelpoisiksi.  </w:t>
      </w:r>
    </w:p>
    <w:p w:rsidR="00B24E47" w:rsidRDefault="00B24E47" w:rsidP="00D53B5C">
      <w:pPr>
        <w:rPr>
          <w:b/>
        </w:rPr>
      </w:pPr>
    </w:p>
    <w:p w:rsidR="00B24E47" w:rsidRPr="00D53B5C" w:rsidRDefault="00B24E47" w:rsidP="00D53B5C">
      <w:pPr>
        <w:rPr>
          <w:b/>
        </w:rPr>
      </w:pPr>
    </w:p>
    <w:p w:rsidR="00B24E47" w:rsidRDefault="00B24E47" w:rsidP="00DD3B49">
      <w:pPr>
        <w:pStyle w:val="NoSpacing"/>
        <w:ind w:left="1304"/>
        <w:jc w:val="both"/>
      </w:pPr>
      <w:r>
        <w:t>Helsingissä 10. helmikuuta 2012</w:t>
      </w: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DD3B49">
      <w:pPr>
        <w:pStyle w:val="NoSpacing"/>
        <w:ind w:left="1304"/>
        <w:jc w:val="both"/>
      </w:pPr>
    </w:p>
    <w:p w:rsidR="00B24E47" w:rsidRDefault="00B24E47" w:rsidP="009A1F75">
      <w:pPr>
        <w:pStyle w:val="NoSpacing"/>
        <w:tabs>
          <w:tab w:val="left" w:pos="4678"/>
          <w:tab w:val="left" w:pos="6946"/>
        </w:tabs>
        <w:ind w:left="1304"/>
        <w:jc w:val="both"/>
      </w:pPr>
      <w:r>
        <w:t>Sanoma Media Finland</w:t>
      </w:r>
    </w:p>
    <w:p w:rsidR="00B24E47" w:rsidRDefault="00B24E47" w:rsidP="009A1F75">
      <w:pPr>
        <w:pStyle w:val="NoSpacing"/>
        <w:tabs>
          <w:tab w:val="left" w:pos="4678"/>
          <w:tab w:val="left" w:pos="6946"/>
        </w:tabs>
        <w:ind w:left="1304"/>
        <w:jc w:val="both"/>
      </w:pPr>
    </w:p>
    <w:p w:rsidR="00B24E47" w:rsidRDefault="00B24E47" w:rsidP="009A1F75">
      <w:pPr>
        <w:pStyle w:val="NoSpacing"/>
        <w:tabs>
          <w:tab w:val="left" w:pos="4678"/>
          <w:tab w:val="left" w:pos="6946"/>
        </w:tabs>
        <w:ind w:left="1304"/>
        <w:jc w:val="both"/>
      </w:pPr>
    </w:p>
    <w:p w:rsidR="00B24E47" w:rsidRDefault="00B24E47" w:rsidP="009A1F75">
      <w:pPr>
        <w:pStyle w:val="NoSpacing"/>
        <w:tabs>
          <w:tab w:val="left" w:pos="4678"/>
          <w:tab w:val="left" w:pos="6946"/>
        </w:tabs>
        <w:ind w:left="1304"/>
        <w:jc w:val="both"/>
      </w:pPr>
      <w:r>
        <w:t>Marcus Wiklund</w:t>
      </w:r>
    </w:p>
    <w:p w:rsidR="00B24E47" w:rsidRDefault="00B24E47" w:rsidP="001E243E">
      <w:pPr>
        <w:pStyle w:val="NoSpacing"/>
        <w:tabs>
          <w:tab w:val="left" w:pos="4678"/>
          <w:tab w:val="left" w:pos="6946"/>
        </w:tabs>
        <w:ind w:left="1304"/>
        <w:jc w:val="both"/>
      </w:pPr>
      <w:r>
        <w:t>Johtaja, yhteiskuntasuhteet</w:t>
      </w:r>
    </w:p>
    <w:sectPr w:rsidR="00B24E47" w:rsidSect="000E43D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47" w:rsidRDefault="00B24E47" w:rsidP="00EB6B0A">
      <w:pPr>
        <w:spacing w:after="0" w:line="240" w:lineRule="auto"/>
      </w:pPr>
      <w:r>
        <w:separator/>
      </w:r>
    </w:p>
  </w:endnote>
  <w:endnote w:type="continuationSeparator" w:id="0">
    <w:p w:rsidR="00B24E47" w:rsidRDefault="00B24E47" w:rsidP="00EB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47" w:rsidRDefault="00B24E47" w:rsidP="00EB6B0A">
      <w:pPr>
        <w:spacing w:after="0" w:line="240" w:lineRule="auto"/>
      </w:pPr>
      <w:r>
        <w:separator/>
      </w:r>
    </w:p>
  </w:footnote>
  <w:footnote w:type="continuationSeparator" w:id="0">
    <w:p w:rsidR="00B24E47" w:rsidRDefault="00B24E47" w:rsidP="00EB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7" w:rsidRDefault="00B24E47" w:rsidP="008409A6">
    <w:pPr>
      <w:pStyle w:val="Header"/>
      <w:jc w:val="right"/>
    </w:pPr>
    <w:r>
      <w:t xml:space="preserve"> LAUSUNTO</w:t>
    </w:r>
    <w: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 w:rsidRPr="008409A6">
      <w:rPr>
        <w:sz w:val="24"/>
        <w:szCs w:val="24"/>
      </w:rPr>
      <w:t>)</w:t>
    </w:r>
  </w:p>
  <w:p w:rsidR="00B24E47" w:rsidRDefault="00B24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CE6"/>
    <w:multiLevelType w:val="hybridMultilevel"/>
    <w:tmpl w:val="9364046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FED5E7E"/>
    <w:multiLevelType w:val="hybridMultilevel"/>
    <w:tmpl w:val="B0646C4A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">
    <w:nsid w:val="34666D1F"/>
    <w:multiLevelType w:val="hybridMultilevel"/>
    <w:tmpl w:val="0A4A0A8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54727274"/>
    <w:multiLevelType w:val="hybridMultilevel"/>
    <w:tmpl w:val="4C3AADF8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4">
    <w:nsid w:val="6CF70138"/>
    <w:multiLevelType w:val="hybridMultilevel"/>
    <w:tmpl w:val="DB7A96A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F3B6F20"/>
    <w:multiLevelType w:val="hybridMultilevel"/>
    <w:tmpl w:val="4746BA44"/>
    <w:lvl w:ilvl="0" w:tplc="9A3672F2">
      <w:start w:val="1"/>
      <w:numFmt w:val="decimal"/>
      <w:lvlText w:val="%1)"/>
      <w:lvlJc w:val="left"/>
      <w:pPr>
        <w:ind w:left="166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6">
    <w:nsid w:val="7CF9410B"/>
    <w:multiLevelType w:val="hybridMultilevel"/>
    <w:tmpl w:val="F5042E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7D9D35F0"/>
    <w:multiLevelType w:val="hybridMultilevel"/>
    <w:tmpl w:val="DABE4C12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AD"/>
    <w:rsid w:val="00006583"/>
    <w:rsid w:val="00011597"/>
    <w:rsid w:val="000118FD"/>
    <w:rsid w:val="00011C8A"/>
    <w:rsid w:val="0001540B"/>
    <w:rsid w:val="00015C0F"/>
    <w:rsid w:val="0002493C"/>
    <w:rsid w:val="00060F11"/>
    <w:rsid w:val="000661D2"/>
    <w:rsid w:val="00066765"/>
    <w:rsid w:val="00073137"/>
    <w:rsid w:val="00085E21"/>
    <w:rsid w:val="0009212C"/>
    <w:rsid w:val="000A2A2D"/>
    <w:rsid w:val="000A5567"/>
    <w:rsid w:val="000B4BA6"/>
    <w:rsid w:val="000C2857"/>
    <w:rsid w:val="000D06AA"/>
    <w:rsid w:val="000D1251"/>
    <w:rsid w:val="000E17DC"/>
    <w:rsid w:val="000E43D8"/>
    <w:rsid w:val="000E58AC"/>
    <w:rsid w:val="001114C0"/>
    <w:rsid w:val="00112913"/>
    <w:rsid w:val="001214B0"/>
    <w:rsid w:val="0012208B"/>
    <w:rsid w:val="001312F2"/>
    <w:rsid w:val="00135537"/>
    <w:rsid w:val="001377D8"/>
    <w:rsid w:val="0015527B"/>
    <w:rsid w:val="00155A3D"/>
    <w:rsid w:val="00165612"/>
    <w:rsid w:val="00166AE8"/>
    <w:rsid w:val="00180604"/>
    <w:rsid w:val="0018319B"/>
    <w:rsid w:val="0019091B"/>
    <w:rsid w:val="001922E5"/>
    <w:rsid w:val="0019249B"/>
    <w:rsid w:val="00196BF1"/>
    <w:rsid w:val="001A1CDC"/>
    <w:rsid w:val="001A3E6C"/>
    <w:rsid w:val="001A4469"/>
    <w:rsid w:val="001A7D0D"/>
    <w:rsid w:val="001A7DE4"/>
    <w:rsid w:val="001B1701"/>
    <w:rsid w:val="001B70DF"/>
    <w:rsid w:val="001B77C3"/>
    <w:rsid w:val="001D42E2"/>
    <w:rsid w:val="001D7DCD"/>
    <w:rsid w:val="001E09ED"/>
    <w:rsid w:val="001E243E"/>
    <w:rsid w:val="001E43B3"/>
    <w:rsid w:val="001F1F3C"/>
    <w:rsid w:val="002133EF"/>
    <w:rsid w:val="00232F1D"/>
    <w:rsid w:val="00250486"/>
    <w:rsid w:val="00251499"/>
    <w:rsid w:val="002724A5"/>
    <w:rsid w:val="002A7A80"/>
    <w:rsid w:val="002B01BA"/>
    <w:rsid w:val="002E3609"/>
    <w:rsid w:val="002E6BAF"/>
    <w:rsid w:val="002F7993"/>
    <w:rsid w:val="00300C12"/>
    <w:rsid w:val="00304C3A"/>
    <w:rsid w:val="00312779"/>
    <w:rsid w:val="00314143"/>
    <w:rsid w:val="00315DA7"/>
    <w:rsid w:val="003252BD"/>
    <w:rsid w:val="00325C2F"/>
    <w:rsid w:val="00351898"/>
    <w:rsid w:val="00384D46"/>
    <w:rsid w:val="00387197"/>
    <w:rsid w:val="003926F7"/>
    <w:rsid w:val="003971C2"/>
    <w:rsid w:val="003A14EE"/>
    <w:rsid w:val="003A7172"/>
    <w:rsid w:val="003B4A89"/>
    <w:rsid w:val="003B5F75"/>
    <w:rsid w:val="003C5261"/>
    <w:rsid w:val="003D1289"/>
    <w:rsid w:val="003D2ECB"/>
    <w:rsid w:val="003D4A38"/>
    <w:rsid w:val="003E2E6C"/>
    <w:rsid w:val="003E4AAA"/>
    <w:rsid w:val="003E56F6"/>
    <w:rsid w:val="003F25B8"/>
    <w:rsid w:val="003F26AB"/>
    <w:rsid w:val="00401067"/>
    <w:rsid w:val="00403983"/>
    <w:rsid w:val="00422B6A"/>
    <w:rsid w:val="004323EE"/>
    <w:rsid w:val="004333DB"/>
    <w:rsid w:val="0046511E"/>
    <w:rsid w:val="00467401"/>
    <w:rsid w:val="00467E57"/>
    <w:rsid w:val="00471613"/>
    <w:rsid w:val="00475A88"/>
    <w:rsid w:val="004817C7"/>
    <w:rsid w:val="00487C26"/>
    <w:rsid w:val="004909F3"/>
    <w:rsid w:val="00494391"/>
    <w:rsid w:val="004A2113"/>
    <w:rsid w:val="004A5B91"/>
    <w:rsid w:val="004A5D41"/>
    <w:rsid w:val="004A76FC"/>
    <w:rsid w:val="004B3BDA"/>
    <w:rsid w:val="004B6A92"/>
    <w:rsid w:val="004B7E84"/>
    <w:rsid w:val="004C30D0"/>
    <w:rsid w:val="004C3B3F"/>
    <w:rsid w:val="004E0AFF"/>
    <w:rsid w:val="004E2AD3"/>
    <w:rsid w:val="004E41F6"/>
    <w:rsid w:val="004F1E24"/>
    <w:rsid w:val="004F410A"/>
    <w:rsid w:val="004F7E19"/>
    <w:rsid w:val="00503274"/>
    <w:rsid w:val="00505BFE"/>
    <w:rsid w:val="00514DD5"/>
    <w:rsid w:val="00521A65"/>
    <w:rsid w:val="00530EB7"/>
    <w:rsid w:val="00542A5C"/>
    <w:rsid w:val="00566DFB"/>
    <w:rsid w:val="00585B4F"/>
    <w:rsid w:val="005868B4"/>
    <w:rsid w:val="00594A19"/>
    <w:rsid w:val="005A5242"/>
    <w:rsid w:val="005B1379"/>
    <w:rsid w:val="005C4F59"/>
    <w:rsid w:val="005D6E81"/>
    <w:rsid w:val="005E6731"/>
    <w:rsid w:val="005F6F06"/>
    <w:rsid w:val="00604C2C"/>
    <w:rsid w:val="0060621D"/>
    <w:rsid w:val="00612255"/>
    <w:rsid w:val="00613B70"/>
    <w:rsid w:val="006232FA"/>
    <w:rsid w:val="00626542"/>
    <w:rsid w:val="006507D6"/>
    <w:rsid w:val="006615D3"/>
    <w:rsid w:val="00665352"/>
    <w:rsid w:val="00666485"/>
    <w:rsid w:val="00680A1C"/>
    <w:rsid w:val="0068507A"/>
    <w:rsid w:val="00691539"/>
    <w:rsid w:val="006A71B2"/>
    <w:rsid w:val="006C4394"/>
    <w:rsid w:val="006C46EC"/>
    <w:rsid w:val="006C4EA8"/>
    <w:rsid w:val="006C6449"/>
    <w:rsid w:val="006E0F9C"/>
    <w:rsid w:val="006E391A"/>
    <w:rsid w:val="006E5B2D"/>
    <w:rsid w:val="006E7F80"/>
    <w:rsid w:val="006F1721"/>
    <w:rsid w:val="007041F3"/>
    <w:rsid w:val="00714BD4"/>
    <w:rsid w:val="00722CCF"/>
    <w:rsid w:val="0073066D"/>
    <w:rsid w:val="00732D21"/>
    <w:rsid w:val="00734947"/>
    <w:rsid w:val="007353E9"/>
    <w:rsid w:val="00743E03"/>
    <w:rsid w:val="00745BEF"/>
    <w:rsid w:val="00765ACA"/>
    <w:rsid w:val="007722EA"/>
    <w:rsid w:val="00777D05"/>
    <w:rsid w:val="00793472"/>
    <w:rsid w:val="007971E8"/>
    <w:rsid w:val="007A121B"/>
    <w:rsid w:val="007A3652"/>
    <w:rsid w:val="007A553C"/>
    <w:rsid w:val="007B1A30"/>
    <w:rsid w:val="007C0434"/>
    <w:rsid w:val="007C3877"/>
    <w:rsid w:val="007D1BFB"/>
    <w:rsid w:val="007D1D01"/>
    <w:rsid w:val="007D4336"/>
    <w:rsid w:val="007D7289"/>
    <w:rsid w:val="007E558E"/>
    <w:rsid w:val="007E6A0B"/>
    <w:rsid w:val="007E7E60"/>
    <w:rsid w:val="007F6464"/>
    <w:rsid w:val="007F684D"/>
    <w:rsid w:val="00802D46"/>
    <w:rsid w:val="008073F9"/>
    <w:rsid w:val="00816821"/>
    <w:rsid w:val="00824C07"/>
    <w:rsid w:val="00827D58"/>
    <w:rsid w:val="008352E6"/>
    <w:rsid w:val="00836115"/>
    <w:rsid w:val="008409A6"/>
    <w:rsid w:val="00847856"/>
    <w:rsid w:val="00851DBF"/>
    <w:rsid w:val="00872FE5"/>
    <w:rsid w:val="0087517E"/>
    <w:rsid w:val="00875A57"/>
    <w:rsid w:val="0088281C"/>
    <w:rsid w:val="00885BB6"/>
    <w:rsid w:val="008A534F"/>
    <w:rsid w:val="008A6E64"/>
    <w:rsid w:val="008B3D75"/>
    <w:rsid w:val="008B461F"/>
    <w:rsid w:val="008C7DDD"/>
    <w:rsid w:val="008D7497"/>
    <w:rsid w:val="008E679A"/>
    <w:rsid w:val="00903E1F"/>
    <w:rsid w:val="00906A08"/>
    <w:rsid w:val="00923BD6"/>
    <w:rsid w:val="009253ED"/>
    <w:rsid w:val="00925EB3"/>
    <w:rsid w:val="00943549"/>
    <w:rsid w:val="00952957"/>
    <w:rsid w:val="00971AF4"/>
    <w:rsid w:val="00981C2C"/>
    <w:rsid w:val="0098289D"/>
    <w:rsid w:val="009A1F75"/>
    <w:rsid w:val="009A3BAF"/>
    <w:rsid w:val="009B4076"/>
    <w:rsid w:val="009D2E58"/>
    <w:rsid w:val="009D2E84"/>
    <w:rsid w:val="009D5960"/>
    <w:rsid w:val="009E0B66"/>
    <w:rsid w:val="00A04E81"/>
    <w:rsid w:val="00A2328C"/>
    <w:rsid w:val="00A23B4D"/>
    <w:rsid w:val="00A257D7"/>
    <w:rsid w:val="00A25B40"/>
    <w:rsid w:val="00A356C0"/>
    <w:rsid w:val="00A4521F"/>
    <w:rsid w:val="00A56E88"/>
    <w:rsid w:val="00A57B8B"/>
    <w:rsid w:val="00A62EA9"/>
    <w:rsid w:val="00A70E97"/>
    <w:rsid w:val="00A8500E"/>
    <w:rsid w:val="00A95599"/>
    <w:rsid w:val="00AC6FDB"/>
    <w:rsid w:val="00AD002B"/>
    <w:rsid w:val="00AD1E61"/>
    <w:rsid w:val="00AD4853"/>
    <w:rsid w:val="00AD7E43"/>
    <w:rsid w:val="00AE2299"/>
    <w:rsid w:val="00AE7A79"/>
    <w:rsid w:val="00AF08F7"/>
    <w:rsid w:val="00B01F5E"/>
    <w:rsid w:val="00B05157"/>
    <w:rsid w:val="00B1084A"/>
    <w:rsid w:val="00B20CC1"/>
    <w:rsid w:val="00B24E47"/>
    <w:rsid w:val="00B27AF1"/>
    <w:rsid w:val="00B31607"/>
    <w:rsid w:val="00B3312C"/>
    <w:rsid w:val="00B35E7D"/>
    <w:rsid w:val="00B3790C"/>
    <w:rsid w:val="00B443B4"/>
    <w:rsid w:val="00B53E0A"/>
    <w:rsid w:val="00B602C6"/>
    <w:rsid w:val="00B704B0"/>
    <w:rsid w:val="00B80F70"/>
    <w:rsid w:val="00B82AD4"/>
    <w:rsid w:val="00B83315"/>
    <w:rsid w:val="00B840C9"/>
    <w:rsid w:val="00B909F0"/>
    <w:rsid w:val="00BA32FF"/>
    <w:rsid w:val="00BB3947"/>
    <w:rsid w:val="00BB6A56"/>
    <w:rsid w:val="00BC3966"/>
    <w:rsid w:val="00BE18AD"/>
    <w:rsid w:val="00BE255C"/>
    <w:rsid w:val="00BE2684"/>
    <w:rsid w:val="00BE45BF"/>
    <w:rsid w:val="00C01FE2"/>
    <w:rsid w:val="00C05F9B"/>
    <w:rsid w:val="00C10723"/>
    <w:rsid w:val="00C4269A"/>
    <w:rsid w:val="00C42934"/>
    <w:rsid w:val="00C43EEA"/>
    <w:rsid w:val="00C53CF8"/>
    <w:rsid w:val="00C55C9F"/>
    <w:rsid w:val="00C6069C"/>
    <w:rsid w:val="00C64BD5"/>
    <w:rsid w:val="00C66EE4"/>
    <w:rsid w:val="00C74E51"/>
    <w:rsid w:val="00C87414"/>
    <w:rsid w:val="00CB4053"/>
    <w:rsid w:val="00CC0E08"/>
    <w:rsid w:val="00CC7EC2"/>
    <w:rsid w:val="00CE23CF"/>
    <w:rsid w:val="00CF11D4"/>
    <w:rsid w:val="00CF1350"/>
    <w:rsid w:val="00CF5801"/>
    <w:rsid w:val="00D21276"/>
    <w:rsid w:val="00D227AF"/>
    <w:rsid w:val="00D32E4C"/>
    <w:rsid w:val="00D53B5C"/>
    <w:rsid w:val="00D55A11"/>
    <w:rsid w:val="00D610F7"/>
    <w:rsid w:val="00D63EF9"/>
    <w:rsid w:val="00D700F9"/>
    <w:rsid w:val="00D7273E"/>
    <w:rsid w:val="00D74A80"/>
    <w:rsid w:val="00D86025"/>
    <w:rsid w:val="00D914A4"/>
    <w:rsid w:val="00DA13CE"/>
    <w:rsid w:val="00DA5BB1"/>
    <w:rsid w:val="00DB359F"/>
    <w:rsid w:val="00DC0BBA"/>
    <w:rsid w:val="00DD3A82"/>
    <w:rsid w:val="00DD3B49"/>
    <w:rsid w:val="00DE107F"/>
    <w:rsid w:val="00DE17A3"/>
    <w:rsid w:val="00DF4613"/>
    <w:rsid w:val="00E1162F"/>
    <w:rsid w:val="00E26D67"/>
    <w:rsid w:val="00E3245A"/>
    <w:rsid w:val="00E43090"/>
    <w:rsid w:val="00E470C0"/>
    <w:rsid w:val="00E70E03"/>
    <w:rsid w:val="00E80441"/>
    <w:rsid w:val="00E807F0"/>
    <w:rsid w:val="00E8129B"/>
    <w:rsid w:val="00E828E0"/>
    <w:rsid w:val="00E92770"/>
    <w:rsid w:val="00E9356D"/>
    <w:rsid w:val="00E97112"/>
    <w:rsid w:val="00EB4555"/>
    <w:rsid w:val="00EB6B0A"/>
    <w:rsid w:val="00EC124F"/>
    <w:rsid w:val="00EC1901"/>
    <w:rsid w:val="00EC68A2"/>
    <w:rsid w:val="00EC7725"/>
    <w:rsid w:val="00ED0609"/>
    <w:rsid w:val="00ED09AD"/>
    <w:rsid w:val="00EE06E9"/>
    <w:rsid w:val="00F01A5B"/>
    <w:rsid w:val="00F07104"/>
    <w:rsid w:val="00F079AB"/>
    <w:rsid w:val="00F15142"/>
    <w:rsid w:val="00F2027F"/>
    <w:rsid w:val="00F22418"/>
    <w:rsid w:val="00F24669"/>
    <w:rsid w:val="00F34FFD"/>
    <w:rsid w:val="00F44CFD"/>
    <w:rsid w:val="00F47921"/>
    <w:rsid w:val="00F5104F"/>
    <w:rsid w:val="00F54DB2"/>
    <w:rsid w:val="00F83BCA"/>
    <w:rsid w:val="00F866D9"/>
    <w:rsid w:val="00F94A14"/>
    <w:rsid w:val="00F94AB8"/>
    <w:rsid w:val="00FA00E4"/>
    <w:rsid w:val="00FD23A6"/>
    <w:rsid w:val="00FE0168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6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B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6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B0A"/>
    <w:rPr>
      <w:rFonts w:cs="Times New Roman"/>
    </w:rPr>
  </w:style>
  <w:style w:type="paragraph" w:styleId="NoSpacing">
    <w:name w:val="No Spacing"/>
    <w:uiPriority w:val="99"/>
    <w:qFormat/>
    <w:rsid w:val="008409A6"/>
  </w:style>
  <w:style w:type="character" w:styleId="Hyperlink">
    <w:name w:val="Hyperlink"/>
    <w:basedOn w:val="DefaultParagraphFont"/>
    <w:uiPriority w:val="99"/>
    <w:rsid w:val="008409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A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B704B0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704B0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4E0AFF"/>
    <w:pPr>
      <w:spacing w:after="240" w:line="240" w:lineRule="auto"/>
      <w:ind w:left="720"/>
      <w:contextualSpacing/>
      <w:jc w:val="both"/>
    </w:pPr>
    <w:rPr>
      <w:rFonts w:ascii="Times New Roman" w:hAnsi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E0AFF"/>
    <w:pPr>
      <w:spacing w:after="0" w:line="240" w:lineRule="auto"/>
    </w:pPr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0AFF"/>
    <w:rPr>
      <w:rFonts w:ascii="Times New Roman" w:hAnsi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rsid w:val="004E0AFF"/>
    <w:rPr>
      <w:rFonts w:cs="Times New Roman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etta.simola@mintc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jaamo@mintc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826</Words>
  <Characters>6697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</dc:title>
  <dc:subject/>
  <dc:creator>wikluma</dc:creator>
  <cp:keywords/>
  <dc:description/>
  <cp:lastModifiedBy>vahlstedtj</cp:lastModifiedBy>
  <cp:revision>2</cp:revision>
  <cp:lastPrinted>2012-02-10T09:47:00Z</cp:lastPrinted>
  <dcterms:created xsi:type="dcterms:W3CDTF">2012-02-10T09:47:00Z</dcterms:created>
  <dcterms:modified xsi:type="dcterms:W3CDTF">2012-02-10T09:47:00Z</dcterms:modified>
</cp:coreProperties>
</file>