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12A" w:rsidRDefault="00F1212A" w:rsidP="000C19CC">
      <w:pPr>
        <w:jc w:val="both"/>
      </w:pPr>
      <w:bookmarkStart w:id="0" w:name="_GoBack"/>
      <w:bookmarkEnd w:id="0"/>
    </w:p>
    <w:p w:rsidR="00E513B7" w:rsidRDefault="00C9636F" w:rsidP="000C19CC">
      <w:pPr>
        <w:pStyle w:val="Leipteksti"/>
        <w:jc w:val="both"/>
      </w:pPr>
      <w:r>
        <w:t>Ympäristöministeriö</w:t>
      </w:r>
    </w:p>
    <w:p w:rsidR="00C9636F" w:rsidRDefault="00C9636F" w:rsidP="000C19CC">
      <w:pPr>
        <w:pStyle w:val="Leipteksti"/>
        <w:jc w:val="both"/>
      </w:pPr>
      <w:r>
        <w:t>Kirjaamo</w:t>
      </w:r>
    </w:p>
    <w:p w:rsidR="00C9636F" w:rsidRDefault="00C9636F" w:rsidP="000C19CC">
      <w:pPr>
        <w:pStyle w:val="Leipteksti"/>
        <w:jc w:val="both"/>
      </w:pPr>
      <w:r>
        <w:t>kirjaamo.ym@ymparisto.fi</w:t>
      </w:r>
    </w:p>
    <w:p w:rsidR="00E513B7" w:rsidRDefault="00E513B7" w:rsidP="000C19CC">
      <w:pPr>
        <w:pStyle w:val="Leipteksti"/>
        <w:jc w:val="both"/>
      </w:pPr>
    </w:p>
    <w:p w:rsidR="00E513B7" w:rsidRDefault="00E513B7" w:rsidP="000C19CC">
      <w:pPr>
        <w:pStyle w:val="Leipteksti"/>
        <w:jc w:val="both"/>
      </w:pPr>
    </w:p>
    <w:p w:rsidR="00E513B7" w:rsidRDefault="00E513B7" w:rsidP="000C19CC">
      <w:pPr>
        <w:pStyle w:val="Leipteksti"/>
        <w:jc w:val="both"/>
      </w:pPr>
    </w:p>
    <w:p w:rsidR="00E513B7" w:rsidRDefault="00E513B7" w:rsidP="000C19CC">
      <w:pPr>
        <w:pStyle w:val="Leipteksti"/>
        <w:jc w:val="both"/>
      </w:pPr>
      <w:r>
        <w:t xml:space="preserve">Viite: </w:t>
      </w:r>
      <w:r w:rsidR="00C9636F">
        <w:t>YM008:00/2015</w:t>
      </w:r>
    </w:p>
    <w:p w:rsidR="00E513B7" w:rsidRDefault="00E513B7" w:rsidP="000C19CC">
      <w:pPr>
        <w:pStyle w:val="Leipteksti"/>
        <w:jc w:val="both"/>
      </w:pPr>
    </w:p>
    <w:p w:rsidR="00E513B7" w:rsidRDefault="00C9636F" w:rsidP="000C19CC">
      <w:pPr>
        <w:pStyle w:val="Otsikko1"/>
        <w:jc w:val="both"/>
      </w:pPr>
      <w:r>
        <w:t>Lausunto ympäristövaikutusten arviointimenettelyä kosk</w:t>
      </w:r>
      <w:r>
        <w:t>e</w:t>
      </w:r>
      <w:r>
        <w:t>vien säädösten uudistamisesta</w:t>
      </w:r>
    </w:p>
    <w:p w:rsidR="00E513B7" w:rsidRDefault="00E513B7" w:rsidP="000C19CC">
      <w:pPr>
        <w:pStyle w:val="Leipteksti"/>
        <w:jc w:val="both"/>
      </w:pPr>
    </w:p>
    <w:p w:rsidR="00AC3244" w:rsidRDefault="00AC3244" w:rsidP="000C19CC">
      <w:pPr>
        <w:pStyle w:val="Leipteksti"/>
        <w:jc w:val="both"/>
      </w:pPr>
    </w:p>
    <w:p w:rsidR="00812B14" w:rsidRDefault="00AC3244" w:rsidP="000C19CC">
      <w:pPr>
        <w:pStyle w:val="Leipteksti"/>
        <w:ind w:left="1304"/>
        <w:jc w:val="both"/>
      </w:pPr>
      <w:r>
        <w:t>Energiateollisuus ry</w:t>
      </w:r>
      <w:r w:rsidR="0003003A">
        <w:t xml:space="preserve"> (ET)</w:t>
      </w:r>
      <w:r w:rsidR="00812B14">
        <w:t xml:space="preserve"> kiittää mahdollisuudesta</w:t>
      </w:r>
      <w:r>
        <w:t xml:space="preserve"> antaa lausunto asiaan.</w:t>
      </w:r>
      <w:r w:rsidR="001E31A0">
        <w:t xml:space="preserve"> </w:t>
      </w:r>
    </w:p>
    <w:p w:rsidR="007D2F1B" w:rsidRDefault="007D2F1B" w:rsidP="000C19CC">
      <w:pPr>
        <w:pStyle w:val="Leipteksti"/>
        <w:ind w:left="1304"/>
        <w:jc w:val="both"/>
      </w:pPr>
    </w:p>
    <w:p w:rsidR="00EE6BE9" w:rsidRDefault="001C5F26" w:rsidP="000C19CC">
      <w:pPr>
        <w:pStyle w:val="Leipteksti"/>
        <w:ind w:left="1304"/>
        <w:jc w:val="both"/>
      </w:pPr>
      <w:r>
        <w:t>L</w:t>
      </w:r>
      <w:r w:rsidR="007D2F1B">
        <w:t>ausuntopyynnö</w:t>
      </w:r>
      <w:r>
        <w:t xml:space="preserve">n luonnoksesta </w:t>
      </w:r>
      <w:r w:rsidR="007D2F1B" w:rsidRPr="00FB4FC2">
        <w:rPr>
          <w:b/>
          <w:i/>
        </w:rPr>
        <w:t xml:space="preserve">puuttuu </w:t>
      </w:r>
      <w:r w:rsidRPr="00FB4FC2">
        <w:rPr>
          <w:b/>
          <w:i/>
        </w:rPr>
        <w:t>tarkastelu YVA:n yhdistämiseksi l</w:t>
      </w:r>
      <w:r w:rsidRPr="00FB4FC2">
        <w:rPr>
          <w:b/>
          <w:i/>
        </w:rPr>
        <w:t>u</w:t>
      </w:r>
      <w:r w:rsidRPr="00FB4FC2">
        <w:rPr>
          <w:b/>
          <w:i/>
        </w:rPr>
        <w:t>pamenettelyihin</w:t>
      </w:r>
      <w:r>
        <w:t>, minkä johdosta ET pitää luonnosta</w:t>
      </w:r>
      <w:r w:rsidR="00374591">
        <w:t xml:space="preserve"> merkittävän</w:t>
      </w:r>
      <w:r>
        <w:t xml:space="preserve"> puutteellisena. YVA:n yhdistäminen hankkeen tarvitsemiin lupiin on direktiivin lähtökohta ja </w:t>
      </w:r>
      <w:r w:rsidR="00374591">
        <w:t>tämä tarkastelu on</w:t>
      </w:r>
      <w:r>
        <w:t xml:space="preserve"> esitetty t</w:t>
      </w:r>
      <w:r w:rsidR="00374591">
        <w:t>ehtäväksi</w:t>
      </w:r>
      <w:r>
        <w:t xml:space="preserve"> myös luonnosta valmistelleen </w:t>
      </w:r>
      <w:r w:rsidR="007D2F1B">
        <w:t>työryhmän ase</w:t>
      </w:r>
      <w:r w:rsidR="007D2F1B">
        <w:t>t</w:t>
      </w:r>
      <w:r w:rsidR="007D2F1B">
        <w:t>tamiskirjeessä</w:t>
      </w:r>
      <w:r>
        <w:t xml:space="preserve">. </w:t>
      </w:r>
      <w:r w:rsidR="00374591">
        <w:t xml:space="preserve">Luonnoksen tarkastelun rajaus </w:t>
      </w:r>
      <w:r w:rsidR="007D2F1B">
        <w:t>vaikeuttaa myös hankekaavaan liittyvien esitysten arvioimista.</w:t>
      </w:r>
      <w:r w:rsidR="00EE6BE9">
        <w:t xml:space="preserve"> Luonnoksen tarkastelun suppeuden vuoksi es</w:t>
      </w:r>
      <w:r w:rsidR="00EE6BE9">
        <w:t>i</w:t>
      </w:r>
      <w:r w:rsidR="00EE6BE9">
        <w:t>tämme lausuntomme liitteenä lausuntoaineistoa laaja-alaisemman näkemykse</w:t>
      </w:r>
      <w:r w:rsidR="00EE6BE9">
        <w:t>m</w:t>
      </w:r>
      <w:r w:rsidR="00EE6BE9">
        <w:t>me YVA:n yhdistämisestä muihin menettelyihin.</w:t>
      </w:r>
    </w:p>
    <w:p w:rsidR="00EE6BE9" w:rsidRDefault="00EE6BE9" w:rsidP="000C19CC">
      <w:pPr>
        <w:pStyle w:val="Leipteksti"/>
        <w:ind w:left="1304"/>
        <w:jc w:val="both"/>
      </w:pPr>
    </w:p>
    <w:p w:rsidR="00812B14" w:rsidRDefault="00EE6BE9" w:rsidP="000C19CC">
      <w:pPr>
        <w:pStyle w:val="Leipteksti"/>
        <w:ind w:left="1304"/>
        <w:jc w:val="both"/>
      </w:pPr>
      <w:r>
        <w:t xml:space="preserve">ET pitää valitettavana myös sitä, että luonnosta valmistelleen työtyhmän tehtäviin </w:t>
      </w:r>
      <w:r w:rsidRPr="001901B7">
        <w:rPr>
          <w:b/>
          <w:i/>
        </w:rPr>
        <w:t xml:space="preserve">ei sisällytetty </w:t>
      </w:r>
      <w:r w:rsidR="00345563" w:rsidRPr="001901B7">
        <w:rPr>
          <w:b/>
          <w:i/>
        </w:rPr>
        <w:t>h</w:t>
      </w:r>
      <w:r w:rsidR="00345563" w:rsidRPr="00982B75">
        <w:rPr>
          <w:b/>
          <w:i/>
        </w:rPr>
        <w:t>ankeluettelon arviointia</w:t>
      </w:r>
      <w:r w:rsidR="00345563">
        <w:t xml:space="preserve">. </w:t>
      </w:r>
      <w:r w:rsidR="00982B75">
        <w:t xml:space="preserve">Luonnoksessa </w:t>
      </w:r>
      <w:r w:rsidR="00982B75" w:rsidRPr="001901B7">
        <w:rPr>
          <w:b/>
          <w:i/>
        </w:rPr>
        <w:t xml:space="preserve">ei myöskään ole kiinnitetty </w:t>
      </w:r>
      <w:r w:rsidR="00FB4FC2">
        <w:rPr>
          <w:b/>
          <w:i/>
        </w:rPr>
        <w:t xml:space="preserve">riittävästi </w:t>
      </w:r>
      <w:r w:rsidR="00982B75" w:rsidRPr="001901B7">
        <w:rPr>
          <w:b/>
          <w:i/>
        </w:rPr>
        <w:t>huomiota harkinnanvaraiseen YVA:an liittyviin k</w:t>
      </w:r>
      <w:r w:rsidR="00982B75" w:rsidRPr="001901B7">
        <w:rPr>
          <w:b/>
          <w:i/>
        </w:rPr>
        <w:t>y</w:t>
      </w:r>
      <w:r w:rsidR="00982B75" w:rsidRPr="001901B7">
        <w:rPr>
          <w:b/>
          <w:i/>
        </w:rPr>
        <w:t>symyksiin</w:t>
      </w:r>
      <w:r w:rsidR="00982B75">
        <w:t xml:space="preserve">, kuten </w:t>
      </w:r>
      <w:r w:rsidR="001901B7">
        <w:t>kynnykseen ylipäätään hakea päätöstä soveltamisesta. N</w:t>
      </w:r>
      <w:r w:rsidR="00345563">
        <w:t xml:space="preserve">ämä olisi ollut tarpeen lakiuudistuksen tavoitteeksi asetetun sujuvoittamisen </w:t>
      </w:r>
      <w:r w:rsidR="001E05CF">
        <w:t>tehost</w:t>
      </w:r>
      <w:r w:rsidR="001E05CF">
        <w:t>a</w:t>
      </w:r>
      <w:r w:rsidR="001E05CF">
        <w:t>miseksi.</w:t>
      </w:r>
    </w:p>
    <w:p w:rsidR="001E31A0" w:rsidRDefault="001E31A0" w:rsidP="000C19CC">
      <w:pPr>
        <w:pStyle w:val="Leipteksti"/>
        <w:ind w:left="1304"/>
        <w:jc w:val="both"/>
      </w:pPr>
    </w:p>
    <w:p w:rsidR="001E31A0" w:rsidRDefault="0003003A" w:rsidP="000C19CC">
      <w:pPr>
        <w:pStyle w:val="Leipteksti"/>
        <w:jc w:val="both"/>
        <w:rPr>
          <w:b/>
        </w:rPr>
      </w:pPr>
      <w:r>
        <w:rPr>
          <w:b/>
        </w:rPr>
        <w:t>Lausuntopyynnön vaihtoehdot h</w:t>
      </w:r>
      <w:r w:rsidR="001E31A0" w:rsidRPr="00834EC3">
        <w:rPr>
          <w:b/>
        </w:rPr>
        <w:t>ankekaavan ja YVA-menettelyn yhdistämi</w:t>
      </w:r>
      <w:r>
        <w:rPr>
          <w:b/>
        </w:rPr>
        <w:t>seksi</w:t>
      </w:r>
    </w:p>
    <w:p w:rsidR="00C27F38" w:rsidRDefault="00C27F38" w:rsidP="000C19CC">
      <w:pPr>
        <w:pStyle w:val="Leipteksti"/>
        <w:jc w:val="both"/>
        <w:rPr>
          <w:b/>
        </w:rPr>
      </w:pPr>
    </w:p>
    <w:p w:rsidR="00C27F38" w:rsidRPr="00F263E8" w:rsidRDefault="00EE6BE9" w:rsidP="00F263E8">
      <w:pPr>
        <w:pStyle w:val="Leipteksti"/>
        <w:ind w:left="1304"/>
        <w:jc w:val="both"/>
      </w:pPr>
      <w:r>
        <w:t>Yleisesti ottaen lausuntopyynnössä esitetyt vaihtoehdot hankekaavan ja YVA-menettelyn yhdistämiseksi eivät ole sellaisenaan riittäviä menettelyiden sujuvoi</w:t>
      </w:r>
      <w:r>
        <w:t>t</w:t>
      </w:r>
      <w:r>
        <w:t xml:space="preserve">tamiseksi. </w:t>
      </w:r>
    </w:p>
    <w:p w:rsidR="005B6C1E" w:rsidRPr="00F661CD" w:rsidRDefault="005B6C1E" w:rsidP="000C19CC">
      <w:pPr>
        <w:pStyle w:val="Leipteksti"/>
        <w:ind w:left="1304"/>
        <w:jc w:val="both"/>
        <w:rPr>
          <w:b/>
        </w:rPr>
      </w:pPr>
    </w:p>
    <w:p w:rsidR="00697CFF" w:rsidRDefault="00C12B9C" w:rsidP="000C19CC">
      <w:pPr>
        <w:pStyle w:val="Leipteksti"/>
        <w:ind w:left="1304"/>
        <w:jc w:val="both"/>
      </w:pPr>
      <w:r w:rsidRPr="00DB697A">
        <w:rPr>
          <w:b/>
          <w:i/>
        </w:rPr>
        <w:t>Vaihtoehto A (joustava yhdistäminen)</w:t>
      </w:r>
      <w:r w:rsidR="009D3947" w:rsidRPr="00C12B9C">
        <w:rPr>
          <w:b/>
          <w:i/>
        </w:rPr>
        <w:t xml:space="preserve"> </w:t>
      </w:r>
      <w:r w:rsidR="009D3947" w:rsidRPr="00C12B9C">
        <w:t>säilyttäisi erilliset menettelyt sekä kaava- ja YVA-yhteysviranomaisen tehtävät, mutta menettely</w:t>
      </w:r>
      <w:r w:rsidR="00697CFF">
        <w:t>ih</w:t>
      </w:r>
      <w:r w:rsidR="009D3947" w:rsidRPr="00C12B9C">
        <w:t>in liittyvä tiedo</w:t>
      </w:r>
      <w:r w:rsidR="009D3947" w:rsidRPr="00C12B9C">
        <w:t>t</w:t>
      </w:r>
      <w:r w:rsidR="009D3947" w:rsidRPr="00C12B9C">
        <w:t>taminen, kuuleminen ja tilaisuudet sovite</w:t>
      </w:r>
      <w:r w:rsidR="007346C8" w:rsidRPr="00C12B9C">
        <w:t>taan yhteen.</w:t>
      </w:r>
      <w:r w:rsidRPr="00C12B9C">
        <w:t xml:space="preserve"> </w:t>
      </w:r>
    </w:p>
    <w:p w:rsidR="00697CFF" w:rsidRDefault="00697CFF" w:rsidP="000C19CC">
      <w:pPr>
        <w:pStyle w:val="Leipteksti"/>
        <w:ind w:left="1304"/>
        <w:jc w:val="both"/>
      </w:pPr>
    </w:p>
    <w:p w:rsidR="00C12B9C" w:rsidRDefault="00C12B9C" w:rsidP="000C19CC">
      <w:pPr>
        <w:pStyle w:val="Leipteksti"/>
        <w:ind w:left="1304"/>
        <w:jc w:val="both"/>
      </w:pPr>
      <w:r>
        <w:t>Vaihtoehto A vastaa lähestulkoon nykylainsäädäntöä ja -käytäntöä lukuun ott</w:t>
      </w:r>
      <w:r>
        <w:t>a</w:t>
      </w:r>
      <w:r>
        <w:t>matta yhdistämiseen ohjaavien sanamuotojen voimist</w:t>
      </w:r>
      <w:r w:rsidR="00697CFF">
        <w:t>umista</w:t>
      </w:r>
      <w:r>
        <w:t xml:space="preserve"> nykyisestä. Tämä lainsäätäjän tahtotilan korostuminen on myönteistä, mutta käytännössä </w:t>
      </w:r>
      <w:r w:rsidRPr="00FD5C60">
        <w:rPr>
          <w:b/>
          <w:i/>
        </w:rPr>
        <w:t>lak</w:t>
      </w:r>
      <w:r w:rsidRPr="00FD5C60">
        <w:rPr>
          <w:b/>
          <w:i/>
        </w:rPr>
        <w:t>i</w:t>
      </w:r>
      <w:r w:rsidRPr="00FD5C60">
        <w:rPr>
          <w:b/>
          <w:i/>
        </w:rPr>
        <w:t>muutoksen merkitys olisi vähäinen.</w:t>
      </w:r>
    </w:p>
    <w:p w:rsidR="009D3947" w:rsidRPr="00C12B9C" w:rsidRDefault="009D3947" w:rsidP="000C19CC">
      <w:pPr>
        <w:pStyle w:val="Leipteksti"/>
        <w:ind w:left="1304"/>
        <w:jc w:val="both"/>
      </w:pPr>
    </w:p>
    <w:p w:rsidR="0003003A" w:rsidRPr="00C12B9C" w:rsidRDefault="00C12B9C" w:rsidP="000C19CC">
      <w:pPr>
        <w:pStyle w:val="Leipteksti"/>
        <w:ind w:left="1304"/>
        <w:jc w:val="both"/>
      </w:pPr>
      <w:r>
        <w:rPr>
          <w:b/>
          <w:i/>
        </w:rPr>
        <w:t>Va</w:t>
      </w:r>
      <w:r w:rsidR="00804AEA" w:rsidRPr="00C12B9C">
        <w:rPr>
          <w:b/>
          <w:i/>
        </w:rPr>
        <w:t>ihtoehto B (yhteismenettely)</w:t>
      </w:r>
      <w:r w:rsidR="00804AEA" w:rsidRPr="00C12B9C">
        <w:t xml:space="preserve"> siirtäisi YVA-menettelyn tehtäväksi </w:t>
      </w:r>
      <w:r w:rsidR="007346C8" w:rsidRPr="00C12B9C">
        <w:t>kaavoitu</w:t>
      </w:r>
      <w:r w:rsidR="007346C8" w:rsidRPr="00C12B9C">
        <w:t>s</w:t>
      </w:r>
      <w:r w:rsidR="007346C8" w:rsidRPr="00C12B9C">
        <w:t xml:space="preserve">viranomaisen johdolla </w:t>
      </w:r>
      <w:r w:rsidR="00804AEA" w:rsidRPr="00C12B9C">
        <w:t>kaavoituksen yhteydessä</w:t>
      </w:r>
      <w:r w:rsidR="007346C8" w:rsidRPr="00C12B9C">
        <w:t>. YVA-yhteysviranomainen vastaisi edelleen YVA:n sisällön ohjaamisesta sekä YVA-ohj</w:t>
      </w:r>
      <w:r w:rsidR="00697CFF">
        <w:t>e</w:t>
      </w:r>
      <w:r w:rsidR="007346C8" w:rsidRPr="00C12B9C">
        <w:t>lmaa ja –selostusta koskevien lausuntojen laatimisesta. YVA:aan liittyvä tiedottaminen, kuuleminen ja tilaisu</w:t>
      </w:r>
      <w:r w:rsidR="007346C8" w:rsidRPr="00C12B9C">
        <w:t>u</w:t>
      </w:r>
      <w:r w:rsidR="007346C8" w:rsidRPr="00C12B9C">
        <w:t>det siirrettäisiin tehtäväksi kaavoituk</w:t>
      </w:r>
      <w:r w:rsidR="00597809" w:rsidRPr="00C12B9C">
        <w:t>s</w:t>
      </w:r>
      <w:r w:rsidR="007346C8" w:rsidRPr="00C12B9C">
        <w:t>en yhteydessä.</w:t>
      </w:r>
    </w:p>
    <w:p w:rsidR="00815478" w:rsidRPr="00C12B9C" w:rsidRDefault="00815478" w:rsidP="000C19CC">
      <w:pPr>
        <w:pStyle w:val="Leipteksti"/>
        <w:ind w:left="1304"/>
        <w:jc w:val="both"/>
      </w:pPr>
    </w:p>
    <w:p w:rsidR="00F31A5B" w:rsidRDefault="00C27F38" w:rsidP="000C19CC">
      <w:pPr>
        <w:pStyle w:val="Leipteksti"/>
        <w:ind w:left="1304"/>
        <w:jc w:val="both"/>
      </w:pPr>
      <w:r>
        <w:rPr>
          <w:b/>
          <w:i/>
        </w:rPr>
        <w:lastRenderedPageBreak/>
        <w:t>Yhteismenettely</w:t>
      </w:r>
      <w:r w:rsidR="00C12B9C" w:rsidRPr="00C12B9C">
        <w:rPr>
          <w:b/>
          <w:i/>
        </w:rPr>
        <w:t xml:space="preserve"> tarkoittaisi menettelyiden syvempää integrointia per</w:t>
      </w:r>
      <w:r w:rsidR="00C12B9C" w:rsidRPr="00C12B9C">
        <w:rPr>
          <w:b/>
          <w:i/>
        </w:rPr>
        <w:t>i</w:t>
      </w:r>
      <w:r w:rsidR="00C12B9C" w:rsidRPr="00C12B9C">
        <w:rPr>
          <w:b/>
          <w:i/>
        </w:rPr>
        <w:t>aatteessa, mutta käytännössä menettelyt jäisivät suurelta osin erillisiksi</w:t>
      </w:r>
      <w:r w:rsidR="00C12B9C">
        <w:t>. Edelleen menettelyistä vastaisi kaksi viranomaista, menettelyihin laadit</w:t>
      </w:r>
      <w:r w:rsidR="00D76F70">
        <w:t>taisiin</w:t>
      </w:r>
      <w:r w:rsidR="00C12B9C">
        <w:t xml:space="preserve"> er</w:t>
      </w:r>
      <w:r w:rsidR="00C12B9C">
        <w:t>o</w:t>
      </w:r>
      <w:r w:rsidR="00C12B9C">
        <w:t>tettavissa olevat asiakirjat sekä YVA-yhteysviranomainen laatisi lausunnot YVA-ohjelmaa ja –selostusta koskien ja kunta vastaisi kaavan käsittelyyn liittyvistä menettelyistä ja päätöksistä. Erityisesti toiminnanharjoittajan näkökulmasta m</w:t>
      </w:r>
      <w:r w:rsidR="00C12B9C">
        <w:t>o</w:t>
      </w:r>
      <w:r w:rsidR="00C12B9C">
        <w:t xml:space="preserve">lemmilla viranomaisilla olisi edelleen merkittävä rooli, mikä nykyiseen tapaan edellyttäisi tiivistä yhteystyötä kaikkien tahojen välillä. </w:t>
      </w:r>
    </w:p>
    <w:p w:rsidR="00F31A5B" w:rsidRDefault="00F31A5B" w:rsidP="000C19CC">
      <w:pPr>
        <w:pStyle w:val="Leipteksti"/>
        <w:ind w:left="1304"/>
        <w:jc w:val="both"/>
        <w:rPr>
          <w:b/>
          <w:i/>
        </w:rPr>
      </w:pPr>
    </w:p>
    <w:p w:rsidR="00C12B9C" w:rsidRDefault="00C12B9C" w:rsidP="000C19CC">
      <w:pPr>
        <w:pStyle w:val="Leipteksti"/>
        <w:ind w:left="1304"/>
        <w:jc w:val="both"/>
      </w:pPr>
      <w:r w:rsidRPr="00FC4541">
        <w:rPr>
          <w:b/>
          <w:i/>
        </w:rPr>
        <w:t xml:space="preserve">Yhteismenettely voi jopa hankaloittaa tai viivästyttää kaavoituksen ja/tai YVA:n loppuunsaattamista. </w:t>
      </w:r>
      <w:r>
        <w:t>Kaavoitusvetoisessa yhteismenettelyssä kuntapä</w:t>
      </w:r>
      <w:r>
        <w:t>ä</w:t>
      </w:r>
      <w:r>
        <w:t>tökset ovat määräävässä asemassa ja voivat siten vaikuttaa YVA:n etenemiseen, kun taas toisaalta joissain tapauksissa kaavoitus voisi edetä huomattavasti YVA:a nopeammin. Yleisön kannalta vaihtoehto voisi selkeyttää osallistumista, mutta mahdollinen yhteismenettelyn purkaminen kesken prosessin vaikeuttaisi menett</w:t>
      </w:r>
      <w:r>
        <w:t>e</w:t>
      </w:r>
      <w:r>
        <w:t xml:space="preserve">lyiden hahmottamista. </w:t>
      </w:r>
    </w:p>
    <w:p w:rsidR="00F31A5B" w:rsidRDefault="00F31A5B" w:rsidP="000C19CC">
      <w:pPr>
        <w:pStyle w:val="Leipteksti"/>
        <w:ind w:left="1304"/>
        <w:jc w:val="both"/>
      </w:pPr>
    </w:p>
    <w:p w:rsidR="00F31A5B" w:rsidRDefault="00F31A5B" w:rsidP="000C19CC">
      <w:pPr>
        <w:pStyle w:val="Leipteksti"/>
        <w:ind w:left="1304"/>
        <w:jc w:val="both"/>
      </w:pPr>
      <w:r>
        <w:t xml:space="preserve">Molemmissa </w:t>
      </w:r>
      <w:r w:rsidR="00A906AD">
        <w:t>vaihtoehdoissa</w:t>
      </w:r>
      <w:r>
        <w:t xml:space="preserve"> on esitetty lähtökohdaksi YVA-selostuksen liittäminen kaavan valmisteluaineistoon (kaavaluonnokseen)</w:t>
      </w:r>
      <w:r w:rsidR="002A032C">
        <w:t xml:space="preserve">. </w:t>
      </w:r>
      <w:r w:rsidR="002A032C" w:rsidRPr="002A032C">
        <w:rPr>
          <w:b/>
          <w:i/>
        </w:rPr>
        <w:t>Mahdollisuus liittää selostus kaavaehdotukseen on tärkeää</w:t>
      </w:r>
      <w:r w:rsidR="002A032C">
        <w:t xml:space="preserve"> yhdistetyn menettelyn joutuisuuden turvaam</w:t>
      </w:r>
      <w:r w:rsidR="002A032C">
        <w:t>i</w:t>
      </w:r>
      <w:r w:rsidR="002A032C">
        <w:t>seksi.</w:t>
      </w:r>
    </w:p>
    <w:p w:rsidR="00F31A5B" w:rsidRDefault="00F31A5B" w:rsidP="000C19CC">
      <w:pPr>
        <w:pStyle w:val="Leipteksti"/>
        <w:ind w:left="1304"/>
        <w:jc w:val="both"/>
      </w:pPr>
    </w:p>
    <w:p w:rsidR="00DB697A" w:rsidRDefault="00932827" w:rsidP="000C19CC">
      <w:pPr>
        <w:pStyle w:val="Leipteksti"/>
        <w:ind w:left="1304"/>
        <w:jc w:val="both"/>
        <w:rPr>
          <w:b/>
          <w:i/>
        </w:rPr>
      </w:pPr>
      <w:r w:rsidRPr="00C12B9C">
        <w:rPr>
          <w:b/>
          <w:i/>
        </w:rPr>
        <w:t>Päät</w:t>
      </w:r>
      <w:r w:rsidRPr="00932827">
        <w:rPr>
          <w:b/>
          <w:i/>
        </w:rPr>
        <w:t>ös menettelyiden yhdistämisestä tulee olla toiminnanharjoittajalla</w:t>
      </w:r>
      <w:r w:rsidR="00815478">
        <w:rPr>
          <w:b/>
          <w:i/>
        </w:rPr>
        <w:t xml:space="preserve"> ja </w:t>
      </w:r>
      <w:r w:rsidR="001E22BE">
        <w:rPr>
          <w:b/>
          <w:i/>
        </w:rPr>
        <w:t xml:space="preserve">näin ollen </w:t>
      </w:r>
      <w:r w:rsidR="00815478">
        <w:rPr>
          <w:b/>
          <w:i/>
        </w:rPr>
        <w:t>lainsäädännön on velvoitettava viranomaiset yhdistämiseen toiminna</w:t>
      </w:r>
      <w:r w:rsidR="001E22BE">
        <w:rPr>
          <w:b/>
          <w:i/>
        </w:rPr>
        <w:t>n</w:t>
      </w:r>
      <w:r w:rsidR="00815478">
        <w:rPr>
          <w:b/>
          <w:i/>
        </w:rPr>
        <w:t>harjoittajan pyynnöstä</w:t>
      </w:r>
      <w:r w:rsidRPr="00932827">
        <w:rPr>
          <w:b/>
          <w:i/>
        </w:rPr>
        <w:t>.</w:t>
      </w:r>
      <w:r>
        <w:t xml:space="preserve"> Lausuntopyynnössä esitetään, että vaiht</w:t>
      </w:r>
      <w:r>
        <w:t>o</w:t>
      </w:r>
      <w:r>
        <w:t>ehto A:ssa yhteysviranomainen ja kaavoitusviranomainen sopivat yhteensovitt</w:t>
      </w:r>
      <w:r>
        <w:t>a</w:t>
      </w:r>
      <w:r>
        <w:t>misesta kuultuaan hankkeesta vastaavaa, kun taas vaihtoehto B:ssä kaavoitusv</w:t>
      </w:r>
      <w:r>
        <w:t>i</w:t>
      </w:r>
      <w:r>
        <w:t>ranomainen, yhteisviranomainen ja hankkeesta vastaava voivat yhdessä sopia y</w:t>
      </w:r>
      <w:r>
        <w:t>h</w:t>
      </w:r>
      <w:r>
        <w:t xml:space="preserve">teismenettelystä. </w:t>
      </w:r>
      <w:r w:rsidR="001E22BE">
        <w:t>ET esittää näiden sanamuotojen korjaamista em. periaatteen mukaisiksi.</w:t>
      </w:r>
      <w:r w:rsidR="00F31A5B" w:rsidRPr="00F31A5B">
        <w:rPr>
          <w:b/>
          <w:i/>
        </w:rPr>
        <w:t xml:space="preserve"> </w:t>
      </w:r>
      <w:r w:rsidR="00F31A5B">
        <w:rPr>
          <w:b/>
          <w:i/>
        </w:rPr>
        <w:t>M</w:t>
      </w:r>
      <w:r w:rsidR="00F31A5B" w:rsidRPr="00F31A5B">
        <w:rPr>
          <w:b/>
          <w:i/>
        </w:rPr>
        <w:t>ahdollisuu</w:t>
      </w:r>
      <w:r w:rsidR="00F31A5B">
        <w:rPr>
          <w:b/>
          <w:i/>
        </w:rPr>
        <w:t>s</w:t>
      </w:r>
      <w:r w:rsidR="00F31A5B" w:rsidRPr="00F31A5B">
        <w:rPr>
          <w:b/>
          <w:i/>
        </w:rPr>
        <w:t xml:space="preserve"> erillisiin menettelyihin on tärkeää</w:t>
      </w:r>
      <w:r w:rsidR="00F31A5B">
        <w:t xml:space="preserve"> joustavuuden varmistamiseksi. Erillinen YVA-menettely on edelleen tarpeen mm. tilanteissa, joissa kaavoitusasia on sisällöllisesti vähäinen (esim. asemakaavan pieni muutos) tai menettelyt ovat eriaikaisia. Erillinen YVA-menettely voi olla perusteltu myös linjamaisissa pitkittäishankkeissa sekä poikkeuksellisen mittavissa hankkeissa toiminnanharjoittajan näin halutessa. </w:t>
      </w:r>
      <w:r w:rsidR="00F31A5B" w:rsidRPr="001E22BE">
        <w:rPr>
          <w:b/>
          <w:i/>
        </w:rPr>
        <w:t>Menettelyiden yhdistämisen korost</w:t>
      </w:r>
      <w:r w:rsidR="00F31A5B" w:rsidRPr="001E22BE">
        <w:rPr>
          <w:b/>
          <w:i/>
        </w:rPr>
        <w:t>u</w:t>
      </w:r>
      <w:r w:rsidR="00F31A5B" w:rsidRPr="001E22BE">
        <w:rPr>
          <w:b/>
          <w:i/>
        </w:rPr>
        <w:t>minen ei saa aiheuttaa kaavoitustarvekynnyksen madaltumista.</w:t>
      </w:r>
    </w:p>
    <w:p w:rsidR="00F42C7A" w:rsidRDefault="00F42C7A" w:rsidP="000C19CC">
      <w:pPr>
        <w:pStyle w:val="Leipteksti"/>
        <w:ind w:left="1304"/>
        <w:jc w:val="both"/>
      </w:pPr>
    </w:p>
    <w:p w:rsidR="00296205" w:rsidRDefault="00B5706F" w:rsidP="00296205">
      <w:pPr>
        <w:pStyle w:val="Leipteksti"/>
        <w:jc w:val="both"/>
        <w:rPr>
          <w:b/>
        </w:rPr>
      </w:pPr>
      <w:r>
        <w:rPr>
          <w:b/>
        </w:rPr>
        <w:tab/>
      </w:r>
      <w:r w:rsidR="00296205" w:rsidRPr="00834EC3">
        <w:rPr>
          <w:b/>
        </w:rPr>
        <w:t>Ennakkoneuvottelu</w:t>
      </w:r>
    </w:p>
    <w:p w:rsidR="00296205" w:rsidRDefault="00296205" w:rsidP="00296205">
      <w:pPr>
        <w:pStyle w:val="Leipteksti"/>
        <w:jc w:val="both"/>
        <w:rPr>
          <w:b/>
        </w:rPr>
      </w:pPr>
    </w:p>
    <w:p w:rsidR="00296205" w:rsidRPr="00296205" w:rsidRDefault="00296205" w:rsidP="00296205">
      <w:pPr>
        <w:pStyle w:val="Leipteksti"/>
        <w:ind w:left="1304"/>
        <w:jc w:val="both"/>
      </w:pPr>
      <w:r w:rsidRPr="00296205">
        <w:t>Luonnoksessa</w:t>
      </w:r>
      <w:r>
        <w:t xml:space="preserve"> on esitetty ennakkoneuvottelua YVA:n </w:t>
      </w:r>
      <w:r w:rsidR="00F94B17">
        <w:t xml:space="preserve">ja </w:t>
      </w:r>
      <w:r>
        <w:t>hankekaa</w:t>
      </w:r>
      <w:r w:rsidR="00F94B17">
        <w:t>van</w:t>
      </w:r>
      <w:r>
        <w:t xml:space="preserve"> yhdistäm</w:t>
      </w:r>
      <w:r>
        <w:t>i</w:t>
      </w:r>
      <w:r>
        <w:t xml:space="preserve">seen liittyen. </w:t>
      </w:r>
      <w:r w:rsidR="00F94B17">
        <w:t>Ennakkoneuvottelu</w:t>
      </w:r>
      <w:r w:rsidR="00B5706F">
        <w:t>n</w:t>
      </w:r>
      <w:r w:rsidR="00F94B17">
        <w:t xml:space="preserve"> joutuisa toteutuminen tulee turvata, jotta pr</w:t>
      </w:r>
      <w:r w:rsidR="00F94B17">
        <w:t>o</w:t>
      </w:r>
      <w:r w:rsidR="00F94B17">
        <w:t>sessi</w:t>
      </w:r>
      <w:r w:rsidR="00B5706F">
        <w:t>n aloittamiseen</w:t>
      </w:r>
      <w:r w:rsidR="00F94B17">
        <w:t xml:space="preserve"> ei tule tarpeetonta viivettä.</w:t>
      </w:r>
      <w:r w:rsidR="00882F6B">
        <w:t xml:space="preserve"> </w:t>
      </w:r>
    </w:p>
    <w:p w:rsidR="00F7786F" w:rsidRPr="00296205" w:rsidRDefault="00F7786F" w:rsidP="000C19CC">
      <w:pPr>
        <w:pStyle w:val="Leipteksti"/>
        <w:jc w:val="both"/>
      </w:pPr>
    </w:p>
    <w:p w:rsidR="00ED0EFE" w:rsidRDefault="00ED0EFE" w:rsidP="000C19CC">
      <w:pPr>
        <w:pStyle w:val="Leipteksti"/>
        <w:jc w:val="both"/>
        <w:rPr>
          <w:b/>
        </w:rPr>
      </w:pPr>
    </w:p>
    <w:p w:rsidR="00B5706F" w:rsidRDefault="002310F4" w:rsidP="000C19CC">
      <w:pPr>
        <w:pStyle w:val="Leipteksti"/>
        <w:jc w:val="both"/>
        <w:rPr>
          <w:b/>
        </w:rPr>
      </w:pPr>
      <w:r>
        <w:rPr>
          <w:b/>
        </w:rPr>
        <w:t>Arviointiselostuksen sisältövaatimukset</w:t>
      </w:r>
    </w:p>
    <w:p w:rsidR="00B5706F" w:rsidRDefault="00B5706F" w:rsidP="000C19CC">
      <w:pPr>
        <w:pStyle w:val="Leipteksti"/>
        <w:jc w:val="both"/>
        <w:rPr>
          <w:b/>
        </w:rPr>
      </w:pPr>
    </w:p>
    <w:p w:rsidR="00E76FDA" w:rsidRDefault="001B0EC0" w:rsidP="001B0EC0">
      <w:pPr>
        <w:pStyle w:val="Leipteksti"/>
        <w:ind w:left="1304"/>
        <w:jc w:val="both"/>
      </w:pPr>
      <w:r w:rsidRPr="001B0EC0">
        <w:t xml:space="preserve">YVA-direktiivi ja myös kansallinen YVA-lainsäädännön uudistus lähtevät </w:t>
      </w:r>
      <w:r w:rsidRPr="001B0EC0">
        <w:rPr>
          <w:i/>
        </w:rPr>
        <w:t>merkitt</w:t>
      </w:r>
      <w:r w:rsidRPr="001B0EC0">
        <w:rPr>
          <w:i/>
        </w:rPr>
        <w:t>ä</w:t>
      </w:r>
      <w:r w:rsidRPr="001B0EC0">
        <w:rPr>
          <w:i/>
        </w:rPr>
        <w:t>vien</w:t>
      </w:r>
      <w:r w:rsidRPr="001B0EC0">
        <w:t xml:space="preserve"> vaikutusten arvioinnista.</w:t>
      </w:r>
      <w:r w:rsidR="006C7DC4">
        <w:t xml:space="preserve"> Keskittyminen merkittäviin vaikutuksiin turvaa la</w:t>
      </w:r>
      <w:r w:rsidR="006C7DC4">
        <w:t>a</w:t>
      </w:r>
      <w:r w:rsidR="006C7DC4">
        <w:t>dukkaan arvioinnin sekä mahdollistaa arvioinnin tulosten ytimekkään ja ymmä</w:t>
      </w:r>
      <w:r w:rsidR="006C7DC4">
        <w:t>r</w:t>
      </w:r>
      <w:r w:rsidR="006C7DC4">
        <w:t>rettävän esittämisen myös laa</w:t>
      </w:r>
      <w:r w:rsidR="00744EDD">
        <w:t xml:space="preserve">jan sidosryhmän </w:t>
      </w:r>
      <w:r w:rsidR="00D76F70">
        <w:t>kannalta</w:t>
      </w:r>
      <w:r w:rsidR="006C7DC4">
        <w:t>.</w:t>
      </w:r>
      <w:r w:rsidR="00744EDD">
        <w:t xml:space="preserve"> </w:t>
      </w:r>
      <w:r w:rsidR="00D13AA4">
        <w:t>N</w:t>
      </w:r>
      <w:r w:rsidR="00E76FDA">
        <w:t xml:space="preserve">äkökulman tärkeys huomioiden </w:t>
      </w:r>
      <w:r w:rsidR="00E76FDA" w:rsidRPr="00E76FDA">
        <w:rPr>
          <w:b/>
          <w:i/>
        </w:rPr>
        <w:t>luonnoksessa ei riittävästi painoteta rajoittumista merkittäviin vaikutuksiin</w:t>
      </w:r>
      <w:r w:rsidR="00E76FDA">
        <w:t>. Ennakkoneuvotteluissa sekä erityisesti YVA-ohjelmassa ja ohje</w:t>
      </w:r>
      <w:r w:rsidR="00E76FDA">
        <w:t>l</w:t>
      </w:r>
      <w:r w:rsidR="00E76FDA">
        <w:t>masta annettavas</w:t>
      </w:r>
      <w:r w:rsidR="001C4ED0">
        <w:t>s</w:t>
      </w:r>
      <w:r w:rsidR="00E76FDA">
        <w:t xml:space="preserve">a lausunnossa </w:t>
      </w:r>
      <w:r w:rsidR="00430DD4">
        <w:t>on tunnistettava</w:t>
      </w:r>
      <w:r w:rsidR="00E76FDA">
        <w:t xml:space="preserve"> merkittävät vaikutukset.</w:t>
      </w:r>
      <w:r w:rsidR="00660DCA">
        <w:t xml:space="preserve"> </w:t>
      </w:r>
      <w:r w:rsidR="00660DCA" w:rsidRPr="00660DCA">
        <w:rPr>
          <w:b/>
          <w:i/>
        </w:rPr>
        <w:t>YVA-yhteysviranomaisen on sitouduttava YVA-menettelyn loppuun saakka si</w:t>
      </w:r>
      <w:r w:rsidR="00660DCA" w:rsidRPr="00660DCA">
        <w:rPr>
          <w:b/>
          <w:i/>
        </w:rPr>
        <w:t>i</w:t>
      </w:r>
      <w:r w:rsidR="00660DCA" w:rsidRPr="00660DCA">
        <w:rPr>
          <w:b/>
          <w:i/>
        </w:rPr>
        <w:t xml:space="preserve">hen, että vaikutukset </w:t>
      </w:r>
      <w:r w:rsidR="00D76F70">
        <w:rPr>
          <w:b/>
          <w:i/>
        </w:rPr>
        <w:t>arvioidaan</w:t>
      </w:r>
      <w:r w:rsidR="00660DCA" w:rsidRPr="00660DCA">
        <w:rPr>
          <w:b/>
          <w:i/>
        </w:rPr>
        <w:t xml:space="preserve"> ainoastaan merkittävistä vaikutuksista.</w:t>
      </w:r>
      <w:r w:rsidR="00660DCA">
        <w:t xml:space="preserve"> Lisäksi on harkittava mahdollisuutta kirjata myös epäolennaiset vaikutukset o</w:t>
      </w:r>
      <w:r w:rsidR="00660DCA">
        <w:t>h</w:t>
      </w:r>
      <w:r w:rsidR="00660DCA">
        <w:t>jelmavaiheessa, millä varmistettaisiin eri osapuolien samanlainen käsitys eri va</w:t>
      </w:r>
      <w:r w:rsidR="00660DCA">
        <w:t>i</w:t>
      </w:r>
      <w:r w:rsidR="00660DCA">
        <w:t>kutusten merkittävyydestä.</w:t>
      </w:r>
    </w:p>
    <w:p w:rsidR="00E76FDA" w:rsidRDefault="00E76FDA" w:rsidP="001B0EC0">
      <w:pPr>
        <w:pStyle w:val="Leipteksti"/>
        <w:ind w:left="1304"/>
        <w:jc w:val="both"/>
      </w:pPr>
    </w:p>
    <w:p w:rsidR="00E76FDA" w:rsidRDefault="00E76FDA" w:rsidP="001B0EC0">
      <w:pPr>
        <w:pStyle w:val="Leipteksti"/>
        <w:ind w:left="1304"/>
        <w:jc w:val="both"/>
      </w:pPr>
    </w:p>
    <w:p w:rsidR="00202868" w:rsidRDefault="00202868" w:rsidP="000C19CC">
      <w:pPr>
        <w:pStyle w:val="Leipteksti"/>
        <w:jc w:val="both"/>
        <w:rPr>
          <w:b/>
        </w:rPr>
      </w:pPr>
    </w:p>
    <w:p w:rsidR="00202868" w:rsidRDefault="00202868" w:rsidP="000C19CC">
      <w:pPr>
        <w:pStyle w:val="Leipteksti"/>
        <w:jc w:val="both"/>
        <w:rPr>
          <w:b/>
        </w:rPr>
      </w:pPr>
    </w:p>
    <w:p w:rsidR="005E5760" w:rsidRPr="00F7786F" w:rsidRDefault="00202868" w:rsidP="005E5760">
      <w:pPr>
        <w:pStyle w:val="Leipteksti"/>
        <w:jc w:val="both"/>
        <w:rPr>
          <w:b/>
        </w:rPr>
      </w:pPr>
      <w:r>
        <w:rPr>
          <w:b/>
        </w:rPr>
        <w:t>Lausunto selostuksesta sekä p</w:t>
      </w:r>
      <w:r w:rsidR="00660DCA">
        <w:rPr>
          <w:b/>
        </w:rPr>
        <w:t>erusteltu päätelmä ja sen ajantasaisuuden varmist</w:t>
      </w:r>
      <w:r w:rsidR="00660DCA">
        <w:rPr>
          <w:b/>
        </w:rPr>
        <w:t>a</w:t>
      </w:r>
      <w:r w:rsidR="00660DCA">
        <w:rPr>
          <w:b/>
        </w:rPr>
        <w:t>minen</w:t>
      </w:r>
      <w:r w:rsidR="005E5760">
        <w:rPr>
          <w:b/>
        </w:rPr>
        <w:t>,</w:t>
      </w:r>
      <w:r w:rsidR="005E5760" w:rsidRPr="005E5760">
        <w:rPr>
          <w:b/>
        </w:rPr>
        <w:t xml:space="preserve"> </w:t>
      </w:r>
      <w:r w:rsidR="005E5760" w:rsidRPr="00F7786F">
        <w:rPr>
          <w:b/>
        </w:rPr>
        <w:t>YVA:n täydentäminen</w:t>
      </w:r>
    </w:p>
    <w:p w:rsidR="00202868" w:rsidRDefault="00202868" w:rsidP="000C19CC">
      <w:pPr>
        <w:pStyle w:val="Leipteksti"/>
        <w:jc w:val="both"/>
        <w:rPr>
          <w:b/>
        </w:rPr>
      </w:pPr>
    </w:p>
    <w:p w:rsidR="005E5760" w:rsidRDefault="00202868" w:rsidP="00202868">
      <w:pPr>
        <w:pStyle w:val="Leipteksti"/>
        <w:ind w:left="1304"/>
        <w:jc w:val="both"/>
      </w:pPr>
      <w:r w:rsidRPr="00202868">
        <w:t>YVA-</w:t>
      </w:r>
      <w:r>
        <w:t>yhteysviranomaisen lausuntoa ja perusteltua pääte</w:t>
      </w:r>
      <w:r w:rsidR="00A52382">
        <w:t xml:space="preserve">lmää tulee kehittää siten, että niistä voidaan </w:t>
      </w:r>
      <w:r w:rsidR="00A52382" w:rsidRPr="005E5760">
        <w:rPr>
          <w:b/>
          <w:i/>
        </w:rPr>
        <w:t>yksiselitteisesti lukea arvioinnin riittävyys</w:t>
      </w:r>
      <w:r w:rsidR="00A52382">
        <w:t xml:space="preserve"> (YVA-ohjelman mukaisten merkittävien vaikutusten osalta). </w:t>
      </w:r>
    </w:p>
    <w:p w:rsidR="005E5760" w:rsidRDefault="005E5760" w:rsidP="00202868">
      <w:pPr>
        <w:pStyle w:val="Leipteksti"/>
        <w:ind w:left="1304"/>
        <w:jc w:val="both"/>
      </w:pPr>
    </w:p>
    <w:p w:rsidR="000838DA" w:rsidRDefault="00A52382" w:rsidP="00202868">
      <w:pPr>
        <w:pStyle w:val="Leipteksti"/>
        <w:ind w:left="1304"/>
        <w:jc w:val="both"/>
      </w:pPr>
      <w:r>
        <w:t xml:space="preserve">Luonnoksessa on </w:t>
      </w:r>
      <w:r w:rsidR="005E5760">
        <w:t>esitetty, että lupavira</w:t>
      </w:r>
      <w:r w:rsidR="00FD1BAA">
        <w:t>n</w:t>
      </w:r>
      <w:r w:rsidR="005E5760">
        <w:t>omaisen tulee ilmoittaa päätelmän tä</w:t>
      </w:r>
      <w:r w:rsidR="005E5760">
        <w:t>y</w:t>
      </w:r>
      <w:r w:rsidR="005E5760">
        <w:t>dennystarpeesta yhteysviranomaiselle, jonka puolestaan tulee viipymättä täyde</w:t>
      </w:r>
      <w:r w:rsidR="005E5760">
        <w:t>n</w:t>
      </w:r>
      <w:r w:rsidR="000838DA">
        <w:t>tää päätelmää tarpeellis</w:t>
      </w:r>
      <w:r w:rsidR="001C4ED0">
        <w:t>e</w:t>
      </w:r>
      <w:r w:rsidR="000838DA">
        <w:t xml:space="preserve">ssa </w:t>
      </w:r>
      <w:r w:rsidR="005E5760">
        <w:t xml:space="preserve">määrin. </w:t>
      </w:r>
      <w:r w:rsidR="000838DA" w:rsidRPr="000838DA">
        <w:rPr>
          <w:b/>
          <w:i/>
        </w:rPr>
        <w:t>Hankkeen ollessa lupavaiheessa, ei ole perusteltua</w:t>
      </w:r>
      <w:r w:rsidR="001C4ED0" w:rsidRPr="001C4ED0">
        <w:rPr>
          <w:b/>
          <w:i/>
        </w:rPr>
        <w:t xml:space="preserve"> </w:t>
      </w:r>
      <w:r w:rsidR="001C4ED0" w:rsidRPr="000838DA">
        <w:rPr>
          <w:b/>
          <w:i/>
        </w:rPr>
        <w:t>enää</w:t>
      </w:r>
      <w:r w:rsidR="000838DA" w:rsidRPr="000838DA">
        <w:rPr>
          <w:b/>
          <w:i/>
        </w:rPr>
        <w:t xml:space="preserve"> siirtää asian käsittely</w:t>
      </w:r>
      <w:r w:rsidR="000838DA">
        <w:rPr>
          <w:b/>
          <w:i/>
        </w:rPr>
        <w:t>ä</w:t>
      </w:r>
      <w:r w:rsidR="000838DA" w:rsidRPr="000838DA">
        <w:rPr>
          <w:b/>
          <w:i/>
        </w:rPr>
        <w:t xml:space="preserve"> miltään osin YVA-yhteysviranomaiselle</w:t>
      </w:r>
      <w:r w:rsidR="000838DA">
        <w:t>. Luvan käsittelyn yhteydessä on nykyisellään riittävät mahdollisuudet selvittää YVA:n ja hakemuksen mukaisten hankkeiden ja niiden vaikutusten erot.</w:t>
      </w:r>
    </w:p>
    <w:p w:rsidR="000838DA" w:rsidRDefault="000838DA" w:rsidP="00202868">
      <w:pPr>
        <w:pStyle w:val="Leipteksti"/>
        <w:ind w:left="1304"/>
        <w:jc w:val="both"/>
      </w:pPr>
    </w:p>
    <w:p w:rsidR="001C4ED0" w:rsidRDefault="000838DA" w:rsidP="00202868">
      <w:pPr>
        <w:pStyle w:val="Leipteksti"/>
        <w:ind w:left="1304"/>
        <w:jc w:val="both"/>
      </w:pPr>
      <w:r w:rsidRPr="001C4ED0">
        <w:rPr>
          <w:b/>
          <w:i/>
        </w:rPr>
        <w:t>YVA:n täydentämiseen liittyvä</w:t>
      </w:r>
      <w:r w:rsidR="00FD1BAA" w:rsidRPr="001C4ED0">
        <w:rPr>
          <w:b/>
          <w:i/>
        </w:rPr>
        <w:t xml:space="preserve">n </w:t>
      </w:r>
      <w:r w:rsidR="00314CF7" w:rsidRPr="001C4ED0">
        <w:rPr>
          <w:b/>
          <w:i/>
        </w:rPr>
        <w:t>uuden pykälän käyttökynnys tulee olla erittäin korkea.</w:t>
      </w:r>
      <w:r w:rsidR="00314CF7">
        <w:t xml:space="preserve"> Lähtökohtaisesti arviointiselostus on oltava riittävä sil</w:t>
      </w:r>
      <w:r w:rsidR="00FD1BAA">
        <w:t>loin, ku</w:t>
      </w:r>
      <w:r w:rsidR="00314CF7">
        <w:t xml:space="preserve">n se on laadittu YVA-ohjelman ja siitä annetun lausunnon mukaan. </w:t>
      </w:r>
    </w:p>
    <w:p w:rsidR="000838DA" w:rsidRDefault="000838DA" w:rsidP="00202868">
      <w:pPr>
        <w:pStyle w:val="Leipteksti"/>
        <w:ind w:left="1304"/>
        <w:jc w:val="both"/>
      </w:pPr>
    </w:p>
    <w:p w:rsidR="00314CF7" w:rsidRDefault="00314CF7" w:rsidP="000C19CC">
      <w:pPr>
        <w:pStyle w:val="Leipteksti"/>
        <w:jc w:val="both"/>
        <w:rPr>
          <w:b/>
        </w:rPr>
      </w:pPr>
      <w:r>
        <w:rPr>
          <w:b/>
        </w:rPr>
        <w:t xml:space="preserve">Nykyisen </w:t>
      </w:r>
      <w:r w:rsidRPr="00F7786F">
        <w:rPr>
          <w:b/>
        </w:rPr>
        <w:t>YVA-lain 5</w:t>
      </w:r>
      <w:r>
        <w:rPr>
          <w:b/>
        </w:rPr>
        <w:t>.2</w:t>
      </w:r>
      <w:r w:rsidRPr="00F7786F">
        <w:rPr>
          <w:b/>
        </w:rPr>
        <w:t xml:space="preserve"> §</w:t>
      </w:r>
      <w:r>
        <w:rPr>
          <w:b/>
        </w:rPr>
        <w:t>:n</w:t>
      </w:r>
      <w:r w:rsidRPr="00F7786F">
        <w:rPr>
          <w:b/>
        </w:rPr>
        <w:t xml:space="preserve"> poist</w:t>
      </w:r>
      <w:r>
        <w:rPr>
          <w:b/>
        </w:rPr>
        <w:t>aminen</w:t>
      </w:r>
    </w:p>
    <w:p w:rsidR="00314CF7" w:rsidRDefault="00314CF7" w:rsidP="000C19CC">
      <w:pPr>
        <w:pStyle w:val="Leipteksti"/>
        <w:jc w:val="both"/>
        <w:rPr>
          <w:b/>
        </w:rPr>
      </w:pPr>
    </w:p>
    <w:p w:rsidR="00A319DD" w:rsidRDefault="00314CF7" w:rsidP="00314CF7">
      <w:pPr>
        <w:pStyle w:val="Leipteksti"/>
        <w:ind w:left="1304"/>
        <w:jc w:val="both"/>
      </w:pPr>
      <w:r w:rsidRPr="00314CF7">
        <w:t xml:space="preserve">Luonnokseen ei sisälly nykyisen lain säädöstä, jonka mukaan </w:t>
      </w:r>
      <w:r w:rsidR="00A319DD">
        <w:t xml:space="preserve">YVA-menettelyä ei sovelleta </w:t>
      </w:r>
      <w:r w:rsidRPr="00314CF7">
        <w:t>harkin</w:t>
      </w:r>
      <w:r w:rsidR="00A319DD">
        <w:t>nan</w:t>
      </w:r>
      <w:r w:rsidRPr="00314CF7">
        <w:t>varais</w:t>
      </w:r>
      <w:r w:rsidR="00A319DD">
        <w:t xml:space="preserve">een YVA-hankkeeseen, kun vaikutukset on selvitetty muutoin. Tämä pykälä on käytännössä sujuvoittanut </w:t>
      </w:r>
      <w:r w:rsidR="00430DD4">
        <w:t xml:space="preserve">joidenkin </w:t>
      </w:r>
      <w:r w:rsidR="00A319DD">
        <w:t>hankkeiden toteu</w:t>
      </w:r>
      <w:r w:rsidR="00A319DD">
        <w:t>t</w:t>
      </w:r>
      <w:r w:rsidR="00A319DD">
        <w:t>tamista</w:t>
      </w:r>
      <w:r w:rsidR="00430DD4">
        <w:t>, eikä</w:t>
      </w:r>
      <w:r w:rsidR="00A319DD">
        <w:t xml:space="preserve"> </w:t>
      </w:r>
      <w:r w:rsidR="00430DD4">
        <w:t xml:space="preserve">tämän </w:t>
      </w:r>
      <w:r w:rsidR="00A319DD">
        <w:t>sujuvoittamis</w:t>
      </w:r>
      <w:r w:rsidR="00FD1BAA">
        <w:t>sääd</w:t>
      </w:r>
      <w:r w:rsidR="001C4ED0">
        <w:t>ö</w:t>
      </w:r>
      <w:r w:rsidR="00FD1BAA">
        <w:t>ksen</w:t>
      </w:r>
      <w:r w:rsidR="00A319DD">
        <w:t xml:space="preserve"> poistamiselle ole perusteita.</w:t>
      </w:r>
    </w:p>
    <w:p w:rsidR="00A319DD" w:rsidRDefault="00A319DD" w:rsidP="00314CF7">
      <w:pPr>
        <w:pStyle w:val="Leipteksti"/>
        <w:ind w:left="1304"/>
        <w:jc w:val="both"/>
      </w:pPr>
    </w:p>
    <w:p w:rsidR="00E513B7" w:rsidRDefault="00E513B7" w:rsidP="000C19CC">
      <w:pPr>
        <w:pStyle w:val="Leipteksti"/>
        <w:jc w:val="both"/>
      </w:pPr>
    </w:p>
    <w:p w:rsidR="00374BDA" w:rsidRPr="007D2F1B" w:rsidRDefault="007D2F1B" w:rsidP="000C19CC">
      <w:pPr>
        <w:pStyle w:val="Leipteksti"/>
        <w:jc w:val="both"/>
        <w:rPr>
          <w:b/>
        </w:rPr>
      </w:pPr>
      <w:r w:rsidRPr="007D2F1B">
        <w:rPr>
          <w:b/>
        </w:rPr>
        <w:t>Pykäläkohtaisia huomioita</w:t>
      </w:r>
    </w:p>
    <w:p w:rsidR="007D2F1B" w:rsidRDefault="007D2F1B" w:rsidP="000C19CC">
      <w:pPr>
        <w:pStyle w:val="Leipteksti"/>
        <w:jc w:val="both"/>
      </w:pPr>
    </w:p>
    <w:p w:rsidR="008F6B47" w:rsidRPr="00180EC0" w:rsidRDefault="00180EC0" w:rsidP="00FD1BAA">
      <w:pPr>
        <w:pStyle w:val="Leipteksti"/>
        <w:ind w:left="1304"/>
        <w:rPr>
          <w:b/>
        </w:rPr>
      </w:pPr>
      <w:r w:rsidRPr="00180EC0">
        <w:rPr>
          <w:b/>
        </w:rPr>
        <w:t>2 §. Määritelmiä –</w:t>
      </w:r>
      <w:r w:rsidR="0061512A">
        <w:rPr>
          <w:b/>
        </w:rPr>
        <w:t xml:space="preserve"> </w:t>
      </w:r>
      <w:r w:rsidRPr="00180EC0">
        <w:rPr>
          <w:b/>
        </w:rPr>
        <w:t xml:space="preserve"> </w:t>
      </w:r>
      <w:r w:rsidR="00430DD4">
        <w:rPr>
          <w:b/>
        </w:rPr>
        <w:t>ympäristövaikutus</w:t>
      </w:r>
    </w:p>
    <w:p w:rsidR="00180EC0" w:rsidRDefault="00180EC0" w:rsidP="000C19CC">
      <w:pPr>
        <w:pStyle w:val="Leipteksti"/>
        <w:ind w:left="1304"/>
        <w:jc w:val="both"/>
      </w:pPr>
    </w:p>
    <w:p w:rsidR="00180EC0" w:rsidRDefault="00180EC0" w:rsidP="000C19CC">
      <w:pPr>
        <w:pStyle w:val="Leipteksti"/>
        <w:ind w:left="1304"/>
        <w:jc w:val="both"/>
      </w:pPr>
      <w:r>
        <w:t>Luonnoksessa (2 §, 1 kohta) ympär</w:t>
      </w:r>
      <w:r w:rsidR="00787591">
        <w:t>istövaikutukseksi on määritelty hankkeen tai toiminnan sellaisia vaikutuksia, joita ei ole mainittu direktiivin vastaavassa ko</w:t>
      </w:r>
      <w:r w:rsidR="00787591">
        <w:t>h</w:t>
      </w:r>
      <w:r w:rsidR="00787591">
        <w:t>dassa. Näitä ovat vaikutukset</w:t>
      </w:r>
      <w:r w:rsidR="00787591" w:rsidRPr="00556C74">
        <w:rPr>
          <w:i/>
        </w:rPr>
        <w:t xml:space="preserve"> elinoloihin ja viihtyisyyteen</w:t>
      </w:r>
      <w:r w:rsidR="00787591">
        <w:t xml:space="preserve">, </w:t>
      </w:r>
      <w:r w:rsidR="00787591" w:rsidRPr="00556C74">
        <w:rPr>
          <w:i/>
        </w:rPr>
        <w:t>kasvillisuuteen</w:t>
      </w:r>
      <w:r w:rsidR="00556C74" w:rsidRPr="00556C74">
        <w:rPr>
          <w:i/>
        </w:rPr>
        <w:t xml:space="preserve">, </w:t>
      </w:r>
      <w:r w:rsidR="00787591" w:rsidRPr="00556C74">
        <w:rPr>
          <w:i/>
        </w:rPr>
        <w:t>eliöihin</w:t>
      </w:r>
      <w:r w:rsidR="00787591">
        <w:t xml:space="preserve"> sekä </w:t>
      </w:r>
      <w:r w:rsidR="00787591" w:rsidRPr="00556C74">
        <w:rPr>
          <w:i/>
        </w:rPr>
        <w:t>yhdyskuntarakenteeseen</w:t>
      </w:r>
      <w:r w:rsidR="00787591">
        <w:t xml:space="preserve">, </w:t>
      </w:r>
      <w:r w:rsidR="00787591" w:rsidRPr="00556C74">
        <w:rPr>
          <w:i/>
        </w:rPr>
        <w:t>alueidenkäyttöön</w:t>
      </w:r>
      <w:r w:rsidR="00787591">
        <w:t xml:space="preserve"> ja </w:t>
      </w:r>
      <w:r w:rsidR="00787591" w:rsidRPr="00556C74">
        <w:rPr>
          <w:i/>
        </w:rPr>
        <w:t>kaupunkikuvaan</w:t>
      </w:r>
      <w:r w:rsidR="00787591">
        <w:t xml:space="preserve"> sekä</w:t>
      </w:r>
      <w:r w:rsidR="00556C74">
        <w:t xml:space="preserve"> l</w:t>
      </w:r>
      <w:r w:rsidR="00556C74" w:rsidRPr="00556C74">
        <w:rPr>
          <w:i/>
        </w:rPr>
        <w:t>uo</w:t>
      </w:r>
      <w:r w:rsidR="00556C74" w:rsidRPr="00556C74">
        <w:rPr>
          <w:i/>
        </w:rPr>
        <w:t>n</w:t>
      </w:r>
      <w:r w:rsidR="00556C74" w:rsidRPr="00556C74">
        <w:rPr>
          <w:i/>
        </w:rPr>
        <w:t>nonvarojen hyödyntämiseen</w:t>
      </w:r>
      <w:r w:rsidR="00556C74">
        <w:t>.</w:t>
      </w:r>
    </w:p>
    <w:p w:rsidR="00556C74" w:rsidRDefault="00556C74" w:rsidP="000C19CC">
      <w:pPr>
        <w:pStyle w:val="Leipteksti"/>
        <w:ind w:left="1304"/>
        <w:jc w:val="both"/>
      </w:pPr>
    </w:p>
    <w:p w:rsidR="00556C74" w:rsidRDefault="00556C74" w:rsidP="000C19CC">
      <w:pPr>
        <w:pStyle w:val="Leipteksti"/>
        <w:ind w:left="1304"/>
        <w:jc w:val="both"/>
      </w:pPr>
      <w:r>
        <w:t>Ympäristövaikutusten laajentaminen direktiivin mukaisten terveysvaikutusten l</w:t>
      </w:r>
      <w:r>
        <w:t>i</w:t>
      </w:r>
      <w:r>
        <w:t>säksi elinoloihin ja viihtyisyyteen tuo soveltamisalaan sellaisia sosiaalisia vaik</w:t>
      </w:r>
      <w:r>
        <w:t>u</w:t>
      </w:r>
      <w:r>
        <w:t xml:space="preserve">tuksia, joiden sisällyttäminen YVA-lainsäädäntöön ei ole perusteltua. </w:t>
      </w:r>
      <w:r w:rsidR="00A32720">
        <w:t>Kaikkien k</w:t>
      </w:r>
      <w:r>
        <w:t>asvillisuus- ja eliövaikutu</w:t>
      </w:r>
      <w:r w:rsidR="00CB7CAC">
        <w:t>sten</w:t>
      </w:r>
      <w:r>
        <w:t xml:space="preserve"> </w:t>
      </w:r>
      <w:r w:rsidR="00A32720">
        <w:t>sisällyttäminen ympäristövaikutuksiin ei ole peru</w:t>
      </w:r>
      <w:r w:rsidR="00A32720">
        <w:t>s</w:t>
      </w:r>
      <w:r w:rsidR="00A32720">
        <w:t>telua, vaan direktiivin rajaus luonnon monimuotoisuuteen ja erityisesti suojeltu</w:t>
      </w:r>
      <w:r w:rsidR="00A32720">
        <w:t>i</w:t>
      </w:r>
      <w:r w:rsidR="00A32720">
        <w:t>hin lajeihin ja luontotyyppeihin on tarkoituksenmukainen. Yhdyskuntarakenne- ja alueidenkäyttö- ja kaupunkikuvavaikutukset tulevat arvioiduksi MRL:n mukaisissa menettelyissä.</w:t>
      </w:r>
      <w:r w:rsidR="0086605D">
        <w:t xml:space="preserve"> YVA-lain määritelmän tulee vastata direktiivin rajausta.</w:t>
      </w:r>
    </w:p>
    <w:p w:rsidR="00A32720" w:rsidRDefault="00A32720" w:rsidP="000C19CC">
      <w:pPr>
        <w:pStyle w:val="Leipteksti"/>
        <w:ind w:left="1304"/>
        <w:jc w:val="both"/>
      </w:pPr>
    </w:p>
    <w:p w:rsidR="00A32720" w:rsidRDefault="00A32720" w:rsidP="000C19CC">
      <w:pPr>
        <w:pStyle w:val="Leipteksti"/>
        <w:ind w:left="1304"/>
        <w:jc w:val="both"/>
      </w:pPr>
    </w:p>
    <w:p w:rsidR="0061512A" w:rsidRPr="00430DD4" w:rsidRDefault="0061512A" w:rsidP="0061512A">
      <w:pPr>
        <w:pStyle w:val="Leipteksti"/>
        <w:ind w:left="1304"/>
        <w:jc w:val="both"/>
        <w:rPr>
          <w:b/>
          <w:u w:val="single"/>
        </w:rPr>
      </w:pPr>
      <w:r>
        <w:rPr>
          <w:b/>
        </w:rPr>
        <w:t>2 §. Määritelmiä –kuulemisen laajuu</w:t>
      </w:r>
      <w:r w:rsidR="00430DD4">
        <w:rPr>
          <w:b/>
        </w:rPr>
        <w:t>s</w:t>
      </w:r>
    </w:p>
    <w:p w:rsidR="0061512A" w:rsidRPr="00430DD4" w:rsidRDefault="0061512A" w:rsidP="0061512A">
      <w:pPr>
        <w:pStyle w:val="Leipteksti"/>
        <w:jc w:val="both"/>
        <w:rPr>
          <w:u w:val="single"/>
        </w:rPr>
      </w:pPr>
    </w:p>
    <w:p w:rsidR="0086605D" w:rsidRDefault="0061512A" w:rsidP="0061512A">
      <w:pPr>
        <w:pStyle w:val="Leipteksti"/>
        <w:ind w:left="1304"/>
        <w:jc w:val="both"/>
      </w:pPr>
      <w:r>
        <w:t xml:space="preserve">Luonnoksen (2 §, 2 kohta) mukaan kuuleminen tulee kohdistua viranomaisiin ja niihin, joiden oloihin tai etuihin hanke </w:t>
      </w:r>
      <w:r w:rsidRPr="0061512A">
        <w:rPr>
          <w:i/>
        </w:rPr>
        <w:t>saattaa</w:t>
      </w:r>
      <w:r>
        <w:t xml:space="preserve"> vaikuttaa sekä yhteisöihin ja säät</w:t>
      </w:r>
      <w:r>
        <w:t>i</w:t>
      </w:r>
      <w:r>
        <w:t xml:space="preserve">öihin, joiden toimialaa hankkeen vaikutukset </w:t>
      </w:r>
      <w:r w:rsidRPr="0061512A">
        <w:rPr>
          <w:i/>
        </w:rPr>
        <w:t>saattavat</w:t>
      </w:r>
      <w:r>
        <w:t xml:space="preserve"> koskea.</w:t>
      </w:r>
      <w:r w:rsidR="0086605D">
        <w:t xml:space="preserve"> </w:t>
      </w:r>
    </w:p>
    <w:p w:rsidR="0086605D" w:rsidRDefault="0086605D" w:rsidP="0061512A">
      <w:pPr>
        <w:pStyle w:val="Leipteksti"/>
        <w:ind w:left="1304"/>
        <w:jc w:val="both"/>
      </w:pPr>
    </w:p>
    <w:p w:rsidR="0086605D" w:rsidRDefault="0061512A" w:rsidP="0061512A">
      <w:pPr>
        <w:pStyle w:val="Leipteksti"/>
        <w:ind w:left="1304"/>
        <w:jc w:val="both"/>
      </w:pPr>
      <w:r>
        <w:t>Direktiivin mukaan kuuleminen tulee kohdistu</w:t>
      </w:r>
      <w:r w:rsidR="0086605D">
        <w:t>a</w:t>
      </w:r>
      <w:r>
        <w:t xml:space="preserve"> ainoastaan </w:t>
      </w:r>
      <w:r w:rsidR="0086605D">
        <w:t xml:space="preserve">viranomaisiin, joita hanke </w:t>
      </w:r>
      <w:r w:rsidR="0086605D" w:rsidRPr="0086605D">
        <w:rPr>
          <w:i/>
        </w:rPr>
        <w:t>todennäköisesti</w:t>
      </w:r>
      <w:r w:rsidR="0086605D">
        <w:t xml:space="preserve"> koskee (”authorities likely to be concerned”) sekä </w:t>
      </w:r>
      <w:r>
        <w:t>yleisöön, jo</w:t>
      </w:r>
      <w:r w:rsidR="0086605D">
        <w:t>ihin</w:t>
      </w:r>
      <w:r>
        <w:t xml:space="preserve"> </w:t>
      </w:r>
      <w:r w:rsidR="0086605D">
        <w:t>hanke</w:t>
      </w:r>
      <w:r>
        <w:t xml:space="preserve"> </w:t>
      </w:r>
      <w:r w:rsidR="0086605D" w:rsidRPr="0086605D">
        <w:rPr>
          <w:i/>
        </w:rPr>
        <w:t>vaikuttaa tai todennäköisesti vaikuttaa</w:t>
      </w:r>
      <w:r>
        <w:t xml:space="preserve"> (”public concerned”). </w:t>
      </w:r>
      <w:r w:rsidR="0086605D">
        <w:t>YVA-lain määritelmän tulee vastata direktiivin rajausta.</w:t>
      </w:r>
    </w:p>
    <w:p w:rsidR="00430DD4" w:rsidRDefault="00430DD4" w:rsidP="0061512A">
      <w:pPr>
        <w:pStyle w:val="Leipteksti"/>
        <w:ind w:left="1304"/>
        <w:jc w:val="both"/>
      </w:pPr>
    </w:p>
    <w:p w:rsidR="003D25D1" w:rsidRDefault="003D25D1">
      <w:pPr>
        <w:rPr>
          <w:b/>
        </w:rPr>
      </w:pPr>
      <w:r>
        <w:rPr>
          <w:b/>
        </w:rPr>
        <w:br w:type="page"/>
      </w:r>
    </w:p>
    <w:p w:rsidR="00430DD4" w:rsidRPr="00430DD4" w:rsidRDefault="00430DD4" w:rsidP="0061512A">
      <w:pPr>
        <w:pStyle w:val="Leipteksti"/>
        <w:ind w:left="1304"/>
        <w:jc w:val="both"/>
        <w:rPr>
          <w:b/>
        </w:rPr>
      </w:pPr>
      <w:r w:rsidRPr="00430DD4">
        <w:rPr>
          <w:b/>
        </w:rPr>
        <w:lastRenderedPageBreak/>
        <w:t xml:space="preserve">10 §. Päätös arviointimenettelyn soveltamisesta </w:t>
      </w:r>
    </w:p>
    <w:p w:rsidR="00430DD4" w:rsidRDefault="00430DD4" w:rsidP="0061512A">
      <w:pPr>
        <w:pStyle w:val="Leipteksti"/>
        <w:ind w:left="1304"/>
        <w:jc w:val="both"/>
      </w:pPr>
    </w:p>
    <w:p w:rsidR="00430DD4" w:rsidRDefault="00430DD4" w:rsidP="0061512A">
      <w:pPr>
        <w:pStyle w:val="Leipteksti"/>
        <w:ind w:left="1304"/>
        <w:jc w:val="both"/>
      </w:pPr>
      <w:r>
        <w:t>Luonnoksen (10 §, mom 1) mukaan viranomaisen on tehtävä päätös arviointim</w:t>
      </w:r>
      <w:r>
        <w:t>e</w:t>
      </w:r>
      <w:r>
        <w:t>nettelyn soveltamisesta saatuaan hankkeesta</w:t>
      </w:r>
      <w:r w:rsidRPr="00430DD4">
        <w:rPr>
          <w:i/>
        </w:rPr>
        <w:t xml:space="preserve"> riittävät</w:t>
      </w:r>
      <w:r>
        <w:t xml:space="preserve"> tiedot.</w:t>
      </w:r>
    </w:p>
    <w:p w:rsidR="004D3A11" w:rsidRDefault="004D3A11" w:rsidP="0061512A">
      <w:pPr>
        <w:pStyle w:val="Leipteksti"/>
        <w:ind w:left="1304"/>
        <w:jc w:val="both"/>
      </w:pPr>
    </w:p>
    <w:p w:rsidR="004D3A11" w:rsidRDefault="004D3A11" w:rsidP="0061512A">
      <w:pPr>
        <w:pStyle w:val="Leipteksti"/>
        <w:ind w:left="1304"/>
        <w:jc w:val="both"/>
      </w:pPr>
      <w:r>
        <w:t>Direktiivi rajaa tiedot, jotka hankevastaavan on toimitettava YVA-menettelyn s</w:t>
      </w:r>
      <w:r>
        <w:t>o</w:t>
      </w:r>
      <w:r>
        <w:t xml:space="preserve">veltamista koskevaa päätöstä varten. Tarvittavat tiedot koskevat </w:t>
      </w:r>
      <w:r w:rsidRPr="004D3A11">
        <w:rPr>
          <w:i/>
        </w:rPr>
        <w:t>hanketta ja sen todennäköisesti merkittäviä vaikutuksia</w:t>
      </w:r>
      <w:r>
        <w:t>. YVA-lain vaatimuksen tulee vastata d</w:t>
      </w:r>
      <w:r>
        <w:t>i</w:t>
      </w:r>
      <w:r>
        <w:t>rektiivin rajausta.</w:t>
      </w:r>
    </w:p>
    <w:p w:rsidR="00430DD4" w:rsidRDefault="00430DD4" w:rsidP="0061512A">
      <w:pPr>
        <w:pStyle w:val="Leipteksti"/>
        <w:ind w:left="1304"/>
        <w:jc w:val="both"/>
      </w:pPr>
    </w:p>
    <w:p w:rsidR="0086605D" w:rsidRDefault="0086605D" w:rsidP="0061512A">
      <w:pPr>
        <w:pStyle w:val="Leipteksti"/>
        <w:ind w:left="1304"/>
        <w:jc w:val="both"/>
      </w:pPr>
    </w:p>
    <w:p w:rsidR="00556C74" w:rsidRDefault="00556C74" w:rsidP="000C19CC">
      <w:pPr>
        <w:pStyle w:val="Leipteksti"/>
        <w:ind w:left="1304"/>
        <w:jc w:val="both"/>
      </w:pPr>
    </w:p>
    <w:p w:rsidR="00DD28CE" w:rsidRDefault="00DD28CE" w:rsidP="00DD28CE">
      <w:pPr>
        <w:pStyle w:val="Leipteksti"/>
        <w:jc w:val="both"/>
        <w:rPr>
          <w:b/>
        </w:rPr>
      </w:pPr>
      <w:r>
        <w:rPr>
          <w:b/>
        </w:rPr>
        <w:t>LIITE</w:t>
      </w:r>
    </w:p>
    <w:p w:rsidR="00DD28CE" w:rsidRDefault="00DD28CE" w:rsidP="00DD28CE">
      <w:pPr>
        <w:pStyle w:val="Leipteksti"/>
        <w:jc w:val="both"/>
        <w:rPr>
          <w:b/>
        </w:rPr>
      </w:pPr>
    </w:p>
    <w:p w:rsidR="00DD28CE" w:rsidRDefault="00DD28CE" w:rsidP="00DD28CE">
      <w:pPr>
        <w:pStyle w:val="Leipteksti"/>
        <w:jc w:val="both"/>
        <w:rPr>
          <w:b/>
        </w:rPr>
      </w:pPr>
      <w:r>
        <w:rPr>
          <w:b/>
        </w:rPr>
        <w:t>ET:n näkemys ympäristövaikutusten arvioinnin yh</w:t>
      </w:r>
      <w:r w:rsidRPr="009D3947">
        <w:rPr>
          <w:b/>
        </w:rPr>
        <w:t>d</w:t>
      </w:r>
      <w:r>
        <w:rPr>
          <w:b/>
        </w:rPr>
        <w:t>i</w:t>
      </w:r>
      <w:r w:rsidRPr="009D3947">
        <w:rPr>
          <w:b/>
        </w:rPr>
        <w:t xml:space="preserve">stämiseksi </w:t>
      </w:r>
      <w:r>
        <w:rPr>
          <w:b/>
        </w:rPr>
        <w:t>kaavoitukseen ja l</w:t>
      </w:r>
      <w:r>
        <w:rPr>
          <w:b/>
        </w:rPr>
        <w:t>u</w:t>
      </w:r>
      <w:r>
        <w:rPr>
          <w:b/>
        </w:rPr>
        <w:t>pamenettelyyn</w:t>
      </w:r>
    </w:p>
    <w:p w:rsidR="00DD28CE" w:rsidRDefault="00DD28CE" w:rsidP="00DD28CE">
      <w:pPr>
        <w:pStyle w:val="Leipteksti"/>
        <w:jc w:val="both"/>
        <w:rPr>
          <w:b/>
        </w:rPr>
      </w:pPr>
    </w:p>
    <w:p w:rsidR="00DD28CE" w:rsidRPr="008C503A" w:rsidRDefault="00DD28CE" w:rsidP="00DD28CE">
      <w:pPr>
        <w:pStyle w:val="Leipteksti"/>
        <w:ind w:left="1304"/>
        <w:jc w:val="both"/>
      </w:pPr>
      <w:r w:rsidRPr="0017014B">
        <w:t xml:space="preserve">Lainsäädäntöä tulee kehittää siten, että </w:t>
      </w:r>
      <w:r>
        <w:rPr>
          <w:b/>
          <w:i/>
        </w:rPr>
        <w:t xml:space="preserve">lähtökohtaisesti </w:t>
      </w:r>
      <w:r w:rsidRPr="00FC4541">
        <w:rPr>
          <w:b/>
          <w:i/>
        </w:rPr>
        <w:t>erillisestä YVA-menettelystä YVA-viranomaisineen</w:t>
      </w:r>
      <w:r>
        <w:rPr>
          <w:b/>
          <w:i/>
        </w:rPr>
        <w:t xml:space="preserve"> </w:t>
      </w:r>
      <w:r w:rsidRPr="00FC4541">
        <w:rPr>
          <w:b/>
          <w:i/>
        </w:rPr>
        <w:t>tulee luopua</w:t>
      </w:r>
      <w:r>
        <w:rPr>
          <w:b/>
          <w:i/>
        </w:rPr>
        <w:t xml:space="preserve">. Tällöin </w:t>
      </w:r>
      <w:r w:rsidRPr="00FC4541">
        <w:rPr>
          <w:b/>
          <w:i/>
        </w:rPr>
        <w:t>kaavoi</w:t>
      </w:r>
      <w:r>
        <w:rPr>
          <w:b/>
          <w:i/>
        </w:rPr>
        <w:t>tus- ja/tai lupaviranomain</w:t>
      </w:r>
      <w:r w:rsidRPr="00FC4541">
        <w:rPr>
          <w:b/>
          <w:i/>
        </w:rPr>
        <w:t>en varmistaa YVA-direktiviin sisäl</w:t>
      </w:r>
      <w:r>
        <w:rPr>
          <w:b/>
          <w:i/>
        </w:rPr>
        <w:t>tö</w:t>
      </w:r>
      <w:r w:rsidRPr="00FC4541">
        <w:rPr>
          <w:b/>
          <w:i/>
        </w:rPr>
        <w:t>vaatimusten toteut</w:t>
      </w:r>
      <w:r w:rsidRPr="00FC4541">
        <w:rPr>
          <w:b/>
          <w:i/>
        </w:rPr>
        <w:t>u</w:t>
      </w:r>
      <w:r w:rsidRPr="00FC4541">
        <w:rPr>
          <w:b/>
          <w:i/>
        </w:rPr>
        <w:t>mi</w:t>
      </w:r>
      <w:r>
        <w:rPr>
          <w:b/>
          <w:i/>
        </w:rPr>
        <w:t>sen</w:t>
      </w:r>
      <w:r w:rsidRPr="0017014B">
        <w:rPr>
          <w:b/>
          <w:i/>
        </w:rPr>
        <w:t xml:space="preserve"> </w:t>
      </w:r>
      <w:r>
        <w:rPr>
          <w:b/>
          <w:i/>
        </w:rPr>
        <w:t xml:space="preserve">nykyisissä </w:t>
      </w:r>
      <w:r w:rsidR="004D3A11">
        <w:rPr>
          <w:b/>
          <w:i/>
        </w:rPr>
        <w:t>kaava- ja lupa</w:t>
      </w:r>
      <w:r w:rsidRPr="00FC4541">
        <w:rPr>
          <w:b/>
          <w:i/>
        </w:rPr>
        <w:t>menettelyissä</w:t>
      </w:r>
      <w:r>
        <w:rPr>
          <w:b/>
          <w:i/>
        </w:rPr>
        <w:t xml:space="preserve">. </w:t>
      </w:r>
      <w:r w:rsidR="008C7A86">
        <w:t>I</w:t>
      </w:r>
      <w:r>
        <w:t>ntegroinnissa tulee tähdätä YVA-direktiivin sisältövaatimusten,</w:t>
      </w:r>
      <w:r w:rsidRPr="008C503A">
        <w:t xml:space="preserve"> </w:t>
      </w:r>
      <w:r>
        <w:t>asiakirjojen, kuulemisten, toimivaltaisten v</w:t>
      </w:r>
      <w:r>
        <w:t>i</w:t>
      </w:r>
      <w:r>
        <w:t>ranomaisten ja lopulta aineellisen lainsäädännön yhdistämiseen muihin menett</w:t>
      </w:r>
      <w:r>
        <w:t>e</w:t>
      </w:r>
      <w:r>
        <w:t xml:space="preserve">lyihin. On huomionarvioista, että </w:t>
      </w:r>
      <w:r w:rsidR="008C7A86">
        <w:t xml:space="preserve">YVA-direktiivi ei </w:t>
      </w:r>
      <w:r w:rsidR="001E3D83">
        <w:t>määrittele</w:t>
      </w:r>
      <w:r w:rsidR="008C7A86">
        <w:t xml:space="preserve"> menettely</w:t>
      </w:r>
      <w:r w:rsidR="001E3D83">
        <w:t>ä</w:t>
      </w:r>
      <w:r w:rsidR="008C7A86">
        <w:t>, vaan a</w:t>
      </w:r>
      <w:r w:rsidR="008C7A86">
        <w:t>i</w:t>
      </w:r>
      <w:r w:rsidR="008C7A86">
        <w:t>noas</w:t>
      </w:r>
      <w:r w:rsidR="001E3D83">
        <w:t>taan vaikutusten arvioinnin sisällön. YVA-direktiivi nimenomaisesti ohjaa lii</w:t>
      </w:r>
      <w:r w:rsidR="001E3D83">
        <w:t>t</w:t>
      </w:r>
      <w:r w:rsidR="001E3D83">
        <w:t>tämään vaikutusten arvioinnin ”voimassa oleviin hankkei</w:t>
      </w:r>
      <w:r w:rsidR="00491C2E">
        <w:t>ta koskeviin lupamene</w:t>
      </w:r>
      <w:r w:rsidR="00491C2E">
        <w:t>t</w:t>
      </w:r>
      <w:r w:rsidR="00491C2E">
        <w:t>telyihin” ja a</w:t>
      </w:r>
      <w:r w:rsidR="001E3D83">
        <w:t>inoastaan tämän ollessa mahdotonta, voidaan erillinen menettely o</w:t>
      </w:r>
      <w:r w:rsidR="001E3D83">
        <w:t>t</w:t>
      </w:r>
      <w:r w:rsidR="001E3D83">
        <w:t>taa käyttöön.</w:t>
      </w:r>
      <w:r w:rsidR="00284469">
        <w:t xml:space="preserve">  Erillinen menettely on tarpeen Suomessakin ainoastaan erityisissä tilanteissa.</w:t>
      </w:r>
    </w:p>
    <w:p w:rsidR="00DD28CE" w:rsidRDefault="00DD28CE" w:rsidP="00DD28CE">
      <w:pPr>
        <w:pStyle w:val="Leipteksti"/>
        <w:ind w:left="1304"/>
        <w:jc w:val="both"/>
        <w:rPr>
          <w:b/>
          <w:i/>
        </w:rPr>
      </w:pPr>
    </w:p>
    <w:p w:rsidR="00DD28CE" w:rsidRDefault="00DD28CE" w:rsidP="00DD28CE">
      <w:pPr>
        <w:pStyle w:val="Leipteksti"/>
        <w:ind w:left="1304"/>
        <w:jc w:val="both"/>
      </w:pPr>
      <w:r>
        <w:t>Useimpien YVA-hankkeiden ympäristövaikutukset tulevat arvioitua kattavasti jo nykyisellään kaavoissa ja lupamenettelyissä. Kaavojen sisältövaatimuksista ku</w:t>
      </w:r>
      <w:r>
        <w:t>n</w:t>
      </w:r>
      <w:r>
        <w:t>kin kaavatason osalta on säädetty laajasti MRL:ssä (9, 28, 39 ja 54 §). Kaavoja laadittaessa on huomioitava mm. alueiden käyttöön, luonnonvaroihin, luonto-, ympäristö- ja maisemavaikutuksiin, turvallisuuteen, terveyteen ja muihin elinolo</w:t>
      </w:r>
      <w:r>
        <w:t>i</w:t>
      </w:r>
      <w:r>
        <w:t xml:space="preserve">hin liittyvät seikat. Luvituksessa arvioidaan mm. ympäristön pilaantuminen sekä tekniset vaatimukset lupatyypistä riippuen. Kaavoissa ja luvituksessa on kattavat kuulemismenettelyt. </w:t>
      </w:r>
      <w:r w:rsidRPr="00D11240">
        <w:rPr>
          <w:b/>
          <w:i/>
        </w:rPr>
        <w:t xml:space="preserve">YVA-direktiivin vaatimukset tulee täytäntöönpanna täydentämällä nykyisiä menettelyitä </w:t>
      </w:r>
      <w:r>
        <w:rPr>
          <w:b/>
          <w:i/>
        </w:rPr>
        <w:t xml:space="preserve">tarvittavilta osin </w:t>
      </w:r>
      <w:r w:rsidRPr="00D11240">
        <w:rPr>
          <w:b/>
          <w:i/>
        </w:rPr>
        <w:t>eikä kehittämällä näihin nähden päällekkäistä YVA-lainsäädäntöä</w:t>
      </w:r>
      <w:r>
        <w:t>.</w:t>
      </w:r>
    </w:p>
    <w:p w:rsidR="00491C2E" w:rsidRDefault="00491C2E" w:rsidP="00DD28CE">
      <w:pPr>
        <w:pStyle w:val="Leipteksti"/>
        <w:ind w:left="1304"/>
        <w:jc w:val="both"/>
      </w:pPr>
    </w:p>
    <w:p w:rsidR="00DD28CE" w:rsidRDefault="00DD28CE" w:rsidP="00DD28CE">
      <w:pPr>
        <w:pStyle w:val="Leipteksti"/>
        <w:ind w:left="1304"/>
        <w:jc w:val="both"/>
      </w:pPr>
      <w:r>
        <w:t>YVA-menettelyn integroiminen kaavaan ja lupaan voidaan toteuttaa siten, että v</w:t>
      </w:r>
      <w:r>
        <w:t>i</w:t>
      </w:r>
      <w:r>
        <w:t>ranomaisten osaamisvaatimukset eivät merkittävästi muutu. YVA olisi osa kaavo</w:t>
      </w:r>
      <w:r>
        <w:t>i</w:t>
      </w:r>
      <w:r>
        <w:t>tusta silloin, kun maankäyttöön ja sijoittumisen hyväksyttävyyteen liittyvät kys</w:t>
      </w:r>
      <w:r>
        <w:t>y</w:t>
      </w:r>
      <w:r>
        <w:t>mykset ovat keskiössä. Tällaisia hankkeita ovat esim. tuulivoimahankkeet. YVA olisi osa luvitusta silloin, kun kysymys olisi ensisijaisesti päästöjen vähentämise</w:t>
      </w:r>
      <w:r>
        <w:t>s</w:t>
      </w:r>
      <w:r>
        <w:t>tä ja hallinnasta. Tällaisia lupaan integroitavia hankkeita olisivat esimerkiksi ol</w:t>
      </w:r>
      <w:r>
        <w:t>e</w:t>
      </w:r>
      <w:r>
        <w:t>massa olevien energia- ja teollisuuslaitosten laajennukset ja muutokset sekä u</w:t>
      </w:r>
      <w:r>
        <w:t>u</w:t>
      </w:r>
      <w:r>
        <w:t>den laitoksen perustaminen toiminnan sallivalle kaava-alueelle.</w:t>
      </w:r>
    </w:p>
    <w:p w:rsidR="00DD28CE" w:rsidRDefault="00DD28CE" w:rsidP="00DD28CE">
      <w:pPr>
        <w:pStyle w:val="Leipteksti"/>
        <w:ind w:left="1304"/>
        <w:jc w:val="both"/>
      </w:pPr>
    </w:p>
    <w:p w:rsidR="00DD28CE" w:rsidRDefault="00DD28CE" w:rsidP="00DD28CE">
      <w:pPr>
        <w:pStyle w:val="Leipteksti"/>
        <w:ind w:left="1304"/>
        <w:jc w:val="both"/>
      </w:pPr>
      <w:r w:rsidRPr="00815621">
        <w:rPr>
          <w:b/>
          <w:i/>
        </w:rPr>
        <w:t>Y</w:t>
      </w:r>
      <w:r w:rsidRPr="00C27F38">
        <w:rPr>
          <w:b/>
          <w:i/>
        </w:rPr>
        <w:t>VA voitaisiin myös jakaa sisällöllisesti kaavaan ja lupaan</w:t>
      </w:r>
      <w:r>
        <w:t xml:space="preserve"> sellaisissa han</w:t>
      </w:r>
      <w:r>
        <w:t>k</w:t>
      </w:r>
      <w:r>
        <w:t>keissa, joissa tarvitaan merkittävä kaavaratkaisu, mutta myös päästökysymykset ovat oleellisia. Hankekehityksen aikana sijoituskysymys on tyypillisesti ratkaistava alkuvaiheessa, kun taas yksityiskohtaisemmat tekniikka-, raaka- ja polttoainek</w:t>
      </w:r>
      <w:r>
        <w:t>y</w:t>
      </w:r>
      <w:r>
        <w:t>symykset sekä päästöjen hallintakeinot päätetään myöhemmin. Sijoittumisen a</w:t>
      </w:r>
      <w:r>
        <w:t>r</w:t>
      </w:r>
      <w:r>
        <w:t>viointi kaavoituksessa ja em. muiden vaikutusten arviointi luvituksessa vastaisi hankekehityksen tarkentumista. Erityisesti maakuntakaavoituksessa hankkeet ovat tyypillisesti yksilöimättömiä, joten YVA:n tekeminen kokonaisuudessaan kaavan yhteydessä (esim. päästöjen arvioinnin osalta) on haastavaa.</w:t>
      </w:r>
    </w:p>
    <w:p w:rsidR="00F93553" w:rsidRDefault="00F93553" w:rsidP="00DD28CE">
      <w:pPr>
        <w:pStyle w:val="Leipteksti"/>
        <w:ind w:left="1304"/>
        <w:jc w:val="both"/>
      </w:pPr>
    </w:p>
    <w:p w:rsidR="00F93553" w:rsidRDefault="00F93553" w:rsidP="00F93553">
      <w:pPr>
        <w:pStyle w:val="Leipteksti"/>
        <w:ind w:left="1304"/>
        <w:jc w:val="both"/>
      </w:pPr>
      <w:r>
        <w:lastRenderedPageBreak/>
        <w:t xml:space="preserve">Kaavoituksen tulee toimia myös ympäristövaikutusten arvioinnin välineenä siten, että alueelle sijoittuvan toiminnan YVA katsotaan tehdyksi kaavoittajan toimesta. Tällöin </w:t>
      </w:r>
      <w:r w:rsidRPr="00C72586">
        <w:rPr>
          <w:b/>
          <w:i/>
        </w:rPr>
        <w:t>kunnan tai maakunnan kaavoittamalle alueelle voisi myöhemmin sijoittua kaavan mukaista</w:t>
      </w:r>
      <w:r w:rsidR="00C72586" w:rsidRPr="00C72586">
        <w:rPr>
          <w:b/>
          <w:i/>
        </w:rPr>
        <w:t xml:space="preserve"> toimintaa vielä kaavoitusvaiheessa nimeämä</w:t>
      </w:r>
      <w:r w:rsidR="00C72586" w:rsidRPr="00C72586">
        <w:rPr>
          <w:b/>
          <w:i/>
        </w:rPr>
        <w:t>t</w:t>
      </w:r>
      <w:r w:rsidR="00C72586" w:rsidRPr="00C72586">
        <w:rPr>
          <w:b/>
          <w:i/>
        </w:rPr>
        <w:t>tömän hankevastaavan toimesta.</w:t>
      </w:r>
      <w:r w:rsidR="00C72586">
        <w:t xml:space="preserve"> Menettely tarjoaisi kunnille mahdollisuuden tarjota </w:t>
      </w:r>
      <w:r w:rsidR="00284469">
        <w:t>”alustavasti hyväksyttyjä”</w:t>
      </w:r>
      <w:r w:rsidR="00C72586">
        <w:t xml:space="preserve"> sijoituspaikkoja toiminnanharjoittajille. Hank</w:t>
      </w:r>
      <w:r w:rsidR="00C72586">
        <w:t>e</w:t>
      </w:r>
      <w:r w:rsidR="00C72586">
        <w:t>kohtaisia yksittäisiä kysymyksiä voitaisiin tarvittaessa tarkastella lisäksi lupam</w:t>
      </w:r>
      <w:r w:rsidR="00C72586">
        <w:t>e</w:t>
      </w:r>
      <w:r w:rsidR="00C72586">
        <w:t>nettelyssä.</w:t>
      </w:r>
    </w:p>
    <w:p w:rsidR="00F93553" w:rsidRDefault="00F93553" w:rsidP="00F93553">
      <w:pPr>
        <w:pStyle w:val="Leipteksti"/>
        <w:ind w:left="1304"/>
        <w:jc w:val="both"/>
      </w:pPr>
    </w:p>
    <w:p w:rsidR="00DD28CE" w:rsidRDefault="00DD28CE" w:rsidP="00FD1BAA">
      <w:pPr>
        <w:pStyle w:val="Leipteksti"/>
        <w:ind w:left="1304"/>
        <w:jc w:val="both"/>
      </w:pPr>
      <w:r w:rsidRPr="00C45D49">
        <w:t>Hyvä</w:t>
      </w:r>
      <w:r>
        <w:t xml:space="preserve"> esimerkki eri menettelyiden integroinnista on SOVA-direktiivin mukaisen ympäristövaikutusten arvioinnin integroiminen maakäyttö- ja rakennuslainsä</w:t>
      </w:r>
      <w:r>
        <w:t>ä</w:t>
      </w:r>
      <w:r>
        <w:t>däntöön kaavoituksen osalta. Integrointi on toteutettu siten, että lain soveltaja ei huomaa toteuttavansa erillisiä menettelyjä. Tähän tulee pyrkiä myös YVA:n inte</w:t>
      </w:r>
      <w:r w:rsidR="00CB7CAC">
        <w:t>g</w:t>
      </w:r>
      <w:r>
        <w:t>roinnissa.</w:t>
      </w:r>
    </w:p>
    <w:p w:rsidR="00736DFB" w:rsidRDefault="00736DFB" w:rsidP="00FD1BAA">
      <w:pPr>
        <w:pStyle w:val="Leipteksti"/>
        <w:ind w:left="1304"/>
        <w:jc w:val="both"/>
      </w:pPr>
    </w:p>
    <w:p w:rsidR="00736DFB" w:rsidRDefault="00736DFB" w:rsidP="00FD1BAA">
      <w:pPr>
        <w:pStyle w:val="Leipteksti"/>
        <w:ind w:left="1304"/>
        <w:jc w:val="both"/>
      </w:pPr>
    </w:p>
    <w:p w:rsidR="00736DFB" w:rsidRDefault="00736DFB" w:rsidP="00736DFB">
      <w:pPr>
        <w:pStyle w:val="Leipteksti"/>
      </w:pPr>
      <w:r>
        <w:t>Kunnioittavasti</w:t>
      </w:r>
    </w:p>
    <w:p w:rsidR="00736DFB" w:rsidRDefault="00736DFB" w:rsidP="00736DFB">
      <w:pPr>
        <w:pStyle w:val="Leipteksti"/>
      </w:pPr>
    </w:p>
    <w:p w:rsidR="00736DFB" w:rsidRDefault="00736DFB" w:rsidP="00736DFB">
      <w:pPr>
        <w:pStyle w:val="Leipteksti"/>
      </w:pPr>
      <w:r>
        <w:t>ENERGIATEOLLISUUS RY</w:t>
      </w:r>
    </w:p>
    <w:p w:rsidR="00736DFB" w:rsidRDefault="00736DFB" w:rsidP="00736DFB">
      <w:pPr>
        <w:pStyle w:val="Leipteksti"/>
      </w:pPr>
    </w:p>
    <w:p w:rsidR="00736DFB" w:rsidRDefault="00736DFB" w:rsidP="00736DFB">
      <w:pPr>
        <w:pStyle w:val="Leipteksti"/>
      </w:pPr>
    </w:p>
    <w:p w:rsidR="00736DFB" w:rsidRDefault="00736DFB" w:rsidP="00736DFB">
      <w:pPr>
        <w:pStyle w:val="Leipteksti"/>
      </w:pPr>
      <w:r>
        <w:t>Jukka Leskelä</w:t>
      </w:r>
    </w:p>
    <w:p w:rsidR="00736DFB" w:rsidRDefault="00736DFB" w:rsidP="00736DFB">
      <w:pPr>
        <w:pStyle w:val="Leipteksti"/>
      </w:pPr>
      <w:r>
        <w:t>Johtaja, sähköntuotanto</w:t>
      </w:r>
    </w:p>
    <w:p w:rsidR="00736DFB" w:rsidRDefault="00736DFB" w:rsidP="00736DFB">
      <w:pPr>
        <w:pStyle w:val="Leipteksti"/>
        <w:jc w:val="both"/>
      </w:pPr>
    </w:p>
    <w:sectPr w:rsidR="00736DFB" w:rsidSect="00734A1A">
      <w:headerReference w:type="default" r:id="rId7"/>
      <w:headerReference w:type="first" r:id="rId8"/>
      <w:footerReference w:type="first" r:id="rId9"/>
      <w:pgSz w:w="11906" w:h="16838" w:code="9"/>
      <w:pgMar w:top="1134" w:right="1134" w:bottom="669" w:left="1134" w:header="709" w:footer="34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2F6B" w:rsidRDefault="00882F6B">
      <w:r>
        <w:separator/>
      </w:r>
    </w:p>
  </w:endnote>
  <w:endnote w:type="continuationSeparator" w:id="0">
    <w:p w:rsidR="00882F6B" w:rsidRDefault="00882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2F6B" w:rsidRDefault="00882F6B" w:rsidP="00387957">
    <w:pPr>
      <w:pStyle w:val="Alatunniste"/>
      <w:ind w:left="5812"/>
      <w:rPr>
        <w:b/>
      </w:rPr>
    </w:pPr>
    <w:r>
      <w:rPr>
        <w:b/>
      </w:rPr>
      <w:t xml:space="preserve">Energiateollisuus ry </w:t>
    </w:r>
  </w:p>
  <w:p w:rsidR="00882F6B" w:rsidRDefault="00882F6B" w:rsidP="00387957">
    <w:pPr>
      <w:pStyle w:val="Alatunniste"/>
      <w:ind w:left="5812"/>
    </w:pPr>
    <w:r>
      <w:t xml:space="preserve">Fredrikinkatu 51–53 B, 00100 Helsinki </w:t>
    </w:r>
  </w:p>
  <w:p w:rsidR="00882F6B" w:rsidRDefault="00882F6B" w:rsidP="00387957">
    <w:pPr>
      <w:pStyle w:val="Alatunniste"/>
      <w:ind w:left="5812"/>
    </w:pPr>
    <w:r>
      <w:t>PL 100, 00101 Helsinki</w:t>
    </w:r>
  </w:p>
  <w:p w:rsidR="00882F6B" w:rsidRDefault="00882F6B" w:rsidP="00387957">
    <w:pPr>
      <w:pStyle w:val="Alatunniste"/>
      <w:ind w:left="5812"/>
    </w:pPr>
    <w:r>
      <w:t>Puhelin: (09) 530 520, faksi: (09) 5305 2900</w:t>
    </w:r>
  </w:p>
  <w:p w:rsidR="00882F6B" w:rsidRPr="0021472A" w:rsidRDefault="00882F6B" w:rsidP="00387957">
    <w:pPr>
      <w:pStyle w:val="Alatunniste"/>
      <w:ind w:left="5812"/>
    </w:pPr>
    <w:r>
      <w:t>www.energia.fi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2F6B" w:rsidRDefault="00882F6B">
      <w:r>
        <w:separator/>
      </w:r>
    </w:p>
  </w:footnote>
  <w:footnote w:type="continuationSeparator" w:id="0">
    <w:p w:rsidR="00882F6B" w:rsidRDefault="00882F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2F6B" w:rsidRDefault="00882F6B" w:rsidP="004D6D01">
    <w:pPr>
      <w:pStyle w:val="Yltunniste"/>
      <w:tabs>
        <w:tab w:val="clear" w:pos="4819"/>
        <w:tab w:val="clear" w:pos="9638"/>
        <w:tab w:val="left" w:pos="3434"/>
      </w:tabs>
      <w:jc w:val="right"/>
      <w:rPr>
        <w:snapToGrid w:val="0"/>
      </w:rPr>
    </w:pPr>
  </w:p>
  <w:p w:rsidR="00882F6B" w:rsidRDefault="00882F6B" w:rsidP="004D6D01">
    <w:pPr>
      <w:pStyle w:val="Yltunniste"/>
      <w:tabs>
        <w:tab w:val="clear" w:pos="4819"/>
        <w:tab w:val="clear" w:pos="9638"/>
        <w:tab w:val="left" w:pos="3434"/>
      </w:tabs>
      <w:jc w:val="right"/>
    </w:pP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 w:rsidR="00B548BD">
      <w:rPr>
        <w:noProof/>
        <w:snapToGrid w:val="0"/>
      </w:rPr>
      <w:t>2</w:t>
    </w:r>
    <w:r>
      <w:rPr>
        <w:snapToGrid w:val="0"/>
      </w:rPr>
      <w:fldChar w:fldCharType="end"/>
    </w:r>
    <w:r>
      <w:rPr>
        <w:snapToGrid w:val="0"/>
      </w:rPr>
      <w:t>(</w:t>
    </w:r>
    <w:r>
      <w:rPr>
        <w:snapToGrid w:val="0"/>
      </w:rPr>
      <w:fldChar w:fldCharType="begin"/>
    </w:r>
    <w:r>
      <w:rPr>
        <w:snapToGrid w:val="0"/>
      </w:rPr>
      <w:instrText xml:space="preserve"> NUMPAGES </w:instrText>
    </w:r>
    <w:r>
      <w:rPr>
        <w:snapToGrid w:val="0"/>
      </w:rPr>
      <w:fldChar w:fldCharType="separate"/>
    </w:r>
    <w:r w:rsidR="00B548BD">
      <w:rPr>
        <w:noProof/>
        <w:snapToGrid w:val="0"/>
      </w:rPr>
      <w:t>5</w:t>
    </w:r>
    <w:r>
      <w:rPr>
        <w:snapToGrid w:val="0"/>
      </w:rPr>
      <w:fldChar w:fldCharType="end"/>
    </w:r>
    <w:r>
      <w:rPr>
        <w:snapToGrid w:val="0"/>
      </w:rPr>
      <w:t>)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173" w:type="dxa"/>
      <w:tblInd w:w="-38" w:type="dxa"/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5190"/>
      <w:gridCol w:w="2629"/>
      <w:gridCol w:w="1787"/>
      <w:gridCol w:w="567"/>
    </w:tblGrid>
    <w:tr w:rsidR="00882F6B">
      <w:trPr>
        <w:cantSplit/>
        <w:trHeight w:hRule="exact" w:val="300"/>
      </w:trPr>
      <w:tc>
        <w:tcPr>
          <w:tcW w:w="5190" w:type="dxa"/>
          <w:vMerge w:val="restart"/>
        </w:tcPr>
        <w:p w:rsidR="00882F6B" w:rsidRDefault="00882F6B" w:rsidP="005B057F">
          <w:pPr>
            <w:pStyle w:val="Yltunniste"/>
          </w:pPr>
          <w:r>
            <w:rPr>
              <w:noProof/>
            </w:rPr>
            <w:drawing>
              <wp:inline distT="0" distB="0" distL="0" distR="0" wp14:anchorId="7AE34BA6" wp14:editId="7CDA1BFB">
                <wp:extent cx="2028825" cy="447675"/>
                <wp:effectExtent l="0" t="0" r="9525" b="9525"/>
                <wp:docPr id="1" name="Kuva 1" descr="LA1_R3V9_Energiateolli_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A1_R3V9_Energiateolli_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2882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83" w:type="dxa"/>
          <w:gridSpan w:val="3"/>
        </w:tcPr>
        <w:p w:rsidR="00882F6B" w:rsidRDefault="00882F6B" w:rsidP="005B057F">
          <w:pPr>
            <w:pStyle w:val="Yltunniste"/>
          </w:pPr>
        </w:p>
      </w:tc>
    </w:tr>
    <w:tr w:rsidR="00882F6B">
      <w:trPr>
        <w:cantSplit/>
        <w:trHeight w:hRule="exact" w:val="220"/>
      </w:trPr>
      <w:tc>
        <w:tcPr>
          <w:tcW w:w="5190" w:type="dxa"/>
          <w:vMerge/>
        </w:tcPr>
        <w:p w:rsidR="00882F6B" w:rsidRDefault="00882F6B" w:rsidP="005B057F">
          <w:pPr>
            <w:pStyle w:val="Yltunniste"/>
          </w:pPr>
        </w:p>
      </w:tc>
      <w:tc>
        <w:tcPr>
          <w:tcW w:w="2629" w:type="dxa"/>
          <w:vMerge w:val="restart"/>
        </w:tcPr>
        <w:p w:rsidR="00882F6B" w:rsidRDefault="00882F6B" w:rsidP="005B057F">
          <w:pPr>
            <w:pStyle w:val="Yltunniste"/>
            <w:rPr>
              <w:b/>
            </w:rPr>
          </w:pPr>
        </w:p>
      </w:tc>
      <w:tc>
        <w:tcPr>
          <w:tcW w:w="1787" w:type="dxa"/>
        </w:tcPr>
        <w:p w:rsidR="00882F6B" w:rsidRDefault="00882F6B" w:rsidP="005B057F">
          <w:pPr>
            <w:pStyle w:val="Yltunniste"/>
            <w:rPr>
              <w:b/>
            </w:rPr>
          </w:pPr>
          <w:r>
            <w:rPr>
              <w:b/>
            </w:rPr>
            <w:t>LAUSUNTO</w:t>
          </w:r>
        </w:p>
      </w:tc>
      <w:tc>
        <w:tcPr>
          <w:tcW w:w="567" w:type="dxa"/>
        </w:tcPr>
        <w:p w:rsidR="00882F6B" w:rsidRDefault="00882F6B" w:rsidP="005B057F">
          <w:pPr>
            <w:pStyle w:val="Yltunniste"/>
          </w:pPr>
          <w:r>
            <w:rPr>
              <w:snapToGrid w:val="0"/>
            </w:rPr>
            <w:fldChar w:fldCharType="begin"/>
          </w:r>
          <w:r>
            <w:rPr>
              <w:snapToGrid w:val="0"/>
            </w:rPr>
            <w:instrText xml:space="preserve"> PAGE </w:instrText>
          </w:r>
          <w:r>
            <w:rPr>
              <w:snapToGrid w:val="0"/>
            </w:rPr>
            <w:fldChar w:fldCharType="separate"/>
          </w:r>
          <w:r w:rsidR="00B548BD">
            <w:rPr>
              <w:noProof/>
              <w:snapToGrid w:val="0"/>
            </w:rPr>
            <w:t>1</w:t>
          </w:r>
          <w:r>
            <w:rPr>
              <w:snapToGrid w:val="0"/>
            </w:rPr>
            <w:fldChar w:fldCharType="end"/>
          </w:r>
          <w:r>
            <w:rPr>
              <w:snapToGrid w:val="0"/>
            </w:rPr>
            <w:t>(</w:t>
          </w:r>
          <w:r>
            <w:rPr>
              <w:snapToGrid w:val="0"/>
            </w:rPr>
            <w:fldChar w:fldCharType="begin"/>
          </w:r>
          <w:r>
            <w:rPr>
              <w:snapToGrid w:val="0"/>
            </w:rPr>
            <w:instrText xml:space="preserve"> NUMPAGES </w:instrText>
          </w:r>
          <w:r>
            <w:rPr>
              <w:snapToGrid w:val="0"/>
            </w:rPr>
            <w:fldChar w:fldCharType="separate"/>
          </w:r>
          <w:r w:rsidR="00B548BD">
            <w:rPr>
              <w:noProof/>
              <w:snapToGrid w:val="0"/>
            </w:rPr>
            <w:t>1</w:t>
          </w:r>
          <w:r>
            <w:rPr>
              <w:snapToGrid w:val="0"/>
            </w:rPr>
            <w:fldChar w:fldCharType="end"/>
          </w:r>
          <w:r>
            <w:rPr>
              <w:snapToGrid w:val="0"/>
            </w:rPr>
            <w:t>)</w:t>
          </w:r>
        </w:p>
      </w:tc>
    </w:tr>
    <w:tr w:rsidR="00882F6B">
      <w:trPr>
        <w:cantSplit/>
        <w:trHeight w:hRule="exact" w:val="220"/>
      </w:trPr>
      <w:tc>
        <w:tcPr>
          <w:tcW w:w="5190" w:type="dxa"/>
          <w:vMerge/>
        </w:tcPr>
        <w:p w:rsidR="00882F6B" w:rsidRDefault="00882F6B" w:rsidP="005B057F">
          <w:pPr>
            <w:pStyle w:val="Yltunniste"/>
          </w:pPr>
        </w:p>
      </w:tc>
      <w:tc>
        <w:tcPr>
          <w:tcW w:w="2629" w:type="dxa"/>
          <w:vMerge/>
        </w:tcPr>
        <w:p w:rsidR="00882F6B" w:rsidRDefault="00882F6B" w:rsidP="005B057F">
          <w:pPr>
            <w:pStyle w:val="Yltunniste"/>
          </w:pPr>
        </w:p>
      </w:tc>
      <w:tc>
        <w:tcPr>
          <w:tcW w:w="2354" w:type="dxa"/>
          <w:gridSpan w:val="2"/>
          <w:vMerge w:val="restart"/>
        </w:tcPr>
        <w:p w:rsidR="00882F6B" w:rsidRDefault="00882F6B" w:rsidP="005B057F">
          <w:pPr>
            <w:pStyle w:val="Yltunniste"/>
          </w:pPr>
        </w:p>
      </w:tc>
    </w:tr>
    <w:tr w:rsidR="00882F6B">
      <w:trPr>
        <w:cantSplit/>
        <w:trHeight w:hRule="exact" w:val="220"/>
      </w:trPr>
      <w:tc>
        <w:tcPr>
          <w:tcW w:w="5190" w:type="dxa"/>
          <w:vMerge/>
        </w:tcPr>
        <w:p w:rsidR="00882F6B" w:rsidRDefault="00882F6B" w:rsidP="005B057F">
          <w:pPr>
            <w:pStyle w:val="Yltunniste"/>
          </w:pPr>
        </w:p>
      </w:tc>
      <w:tc>
        <w:tcPr>
          <w:tcW w:w="2629" w:type="dxa"/>
        </w:tcPr>
        <w:p w:rsidR="00882F6B" w:rsidRDefault="00882F6B" w:rsidP="005B057F">
          <w:pPr>
            <w:pStyle w:val="Yltunniste"/>
          </w:pPr>
          <w:r>
            <w:t>Heidi Lettojärvi</w:t>
          </w:r>
        </w:p>
      </w:tc>
      <w:tc>
        <w:tcPr>
          <w:tcW w:w="2354" w:type="dxa"/>
          <w:gridSpan w:val="2"/>
          <w:vMerge/>
        </w:tcPr>
        <w:p w:rsidR="00882F6B" w:rsidRDefault="00882F6B" w:rsidP="005B057F">
          <w:pPr>
            <w:pStyle w:val="Yltunniste"/>
          </w:pPr>
        </w:p>
      </w:tc>
    </w:tr>
    <w:tr w:rsidR="00882F6B">
      <w:trPr>
        <w:cantSplit/>
        <w:trHeight w:hRule="exact" w:val="220"/>
      </w:trPr>
      <w:tc>
        <w:tcPr>
          <w:tcW w:w="5190" w:type="dxa"/>
          <w:vMerge/>
        </w:tcPr>
        <w:p w:rsidR="00882F6B" w:rsidRDefault="00882F6B" w:rsidP="005B057F">
          <w:pPr>
            <w:pStyle w:val="Yltunniste"/>
          </w:pPr>
        </w:p>
      </w:tc>
      <w:tc>
        <w:tcPr>
          <w:tcW w:w="2629" w:type="dxa"/>
        </w:tcPr>
        <w:p w:rsidR="00882F6B" w:rsidRDefault="00CB7CAC" w:rsidP="00CB7CAC">
          <w:pPr>
            <w:pStyle w:val="Yltunniste"/>
          </w:pPr>
          <w:r>
            <w:t>2.6</w:t>
          </w:r>
          <w:r w:rsidR="00882F6B">
            <w:t>.2016</w:t>
          </w:r>
          <w:r w:rsidR="001901B7">
            <w:t xml:space="preserve"> </w:t>
          </w:r>
        </w:p>
      </w:tc>
      <w:tc>
        <w:tcPr>
          <w:tcW w:w="2354" w:type="dxa"/>
          <w:gridSpan w:val="2"/>
        </w:tcPr>
        <w:p w:rsidR="00882F6B" w:rsidRDefault="00882F6B" w:rsidP="005B057F">
          <w:pPr>
            <w:pStyle w:val="Yltunniste"/>
          </w:pPr>
        </w:p>
      </w:tc>
    </w:tr>
    <w:tr w:rsidR="00882F6B">
      <w:trPr>
        <w:trHeight w:hRule="exact" w:val="400"/>
      </w:trPr>
      <w:tc>
        <w:tcPr>
          <w:tcW w:w="10173" w:type="dxa"/>
          <w:gridSpan w:val="4"/>
        </w:tcPr>
        <w:p w:rsidR="00882F6B" w:rsidRDefault="00882F6B" w:rsidP="005B057F">
          <w:pPr>
            <w:pStyle w:val="Yltunniste"/>
          </w:pPr>
        </w:p>
      </w:tc>
    </w:tr>
  </w:tbl>
  <w:p w:rsidR="00882F6B" w:rsidRDefault="00882F6B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296"/>
    <w:rsid w:val="00005159"/>
    <w:rsid w:val="00010AB4"/>
    <w:rsid w:val="0003003A"/>
    <w:rsid w:val="000838DA"/>
    <w:rsid w:val="000A0894"/>
    <w:rsid w:val="000A3275"/>
    <w:rsid w:val="000B3F01"/>
    <w:rsid w:val="000C19CC"/>
    <w:rsid w:val="001113C1"/>
    <w:rsid w:val="00116A93"/>
    <w:rsid w:val="00123565"/>
    <w:rsid w:val="00152979"/>
    <w:rsid w:val="0017014B"/>
    <w:rsid w:val="00180EC0"/>
    <w:rsid w:val="001834BB"/>
    <w:rsid w:val="001901B7"/>
    <w:rsid w:val="001B0EC0"/>
    <w:rsid w:val="001C4ED0"/>
    <w:rsid w:val="001C5F26"/>
    <w:rsid w:val="001E05CF"/>
    <w:rsid w:val="001E22BE"/>
    <w:rsid w:val="001E31A0"/>
    <w:rsid w:val="001E3D83"/>
    <w:rsid w:val="001E59A7"/>
    <w:rsid w:val="001F2F9B"/>
    <w:rsid w:val="00202868"/>
    <w:rsid w:val="002103EF"/>
    <w:rsid w:val="00210DFB"/>
    <w:rsid w:val="0021472A"/>
    <w:rsid w:val="002310F4"/>
    <w:rsid w:val="00231143"/>
    <w:rsid w:val="00256B17"/>
    <w:rsid w:val="002654DA"/>
    <w:rsid w:val="00271FF6"/>
    <w:rsid w:val="00284469"/>
    <w:rsid w:val="00293BC1"/>
    <w:rsid w:val="00296205"/>
    <w:rsid w:val="002A032C"/>
    <w:rsid w:val="002D7336"/>
    <w:rsid w:val="002D789F"/>
    <w:rsid w:val="00314CF7"/>
    <w:rsid w:val="00331EFE"/>
    <w:rsid w:val="00345563"/>
    <w:rsid w:val="003606B3"/>
    <w:rsid w:val="00374296"/>
    <w:rsid w:val="00374591"/>
    <w:rsid w:val="00374BDA"/>
    <w:rsid w:val="00387957"/>
    <w:rsid w:val="003B1C36"/>
    <w:rsid w:val="003B2B13"/>
    <w:rsid w:val="003D25D1"/>
    <w:rsid w:val="003D6CFB"/>
    <w:rsid w:val="003F4C09"/>
    <w:rsid w:val="003F54AA"/>
    <w:rsid w:val="00420093"/>
    <w:rsid w:val="00425619"/>
    <w:rsid w:val="00430DD4"/>
    <w:rsid w:val="00440D37"/>
    <w:rsid w:val="004919B3"/>
    <w:rsid w:val="00491C2E"/>
    <w:rsid w:val="004D3A11"/>
    <w:rsid w:val="004D6D01"/>
    <w:rsid w:val="004E08A8"/>
    <w:rsid w:val="004E1275"/>
    <w:rsid w:val="004F3531"/>
    <w:rsid w:val="004F466B"/>
    <w:rsid w:val="005158DE"/>
    <w:rsid w:val="00530538"/>
    <w:rsid w:val="00556C74"/>
    <w:rsid w:val="00583C9C"/>
    <w:rsid w:val="00597809"/>
    <w:rsid w:val="005B057F"/>
    <w:rsid w:val="005B6C1E"/>
    <w:rsid w:val="005E5760"/>
    <w:rsid w:val="005F62CE"/>
    <w:rsid w:val="0061512A"/>
    <w:rsid w:val="00626FA7"/>
    <w:rsid w:val="00660DCA"/>
    <w:rsid w:val="00665C5E"/>
    <w:rsid w:val="00687984"/>
    <w:rsid w:val="00693CB0"/>
    <w:rsid w:val="00697CFF"/>
    <w:rsid w:val="006A6AA0"/>
    <w:rsid w:val="006B1915"/>
    <w:rsid w:val="006C7DC4"/>
    <w:rsid w:val="0072025C"/>
    <w:rsid w:val="007346C8"/>
    <w:rsid w:val="00734A1A"/>
    <w:rsid w:val="00736DFB"/>
    <w:rsid w:val="00744EDD"/>
    <w:rsid w:val="00760C92"/>
    <w:rsid w:val="00777C16"/>
    <w:rsid w:val="00787591"/>
    <w:rsid w:val="007A0410"/>
    <w:rsid w:val="007D2F1B"/>
    <w:rsid w:val="007F2813"/>
    <w:rsid w:val="00804AEA"/>
    <w:rsid w:val="00812B14"/>
    <w:rsid w:val="00815478"/>
    <w:rsid w:val="00815621"/>
    <w:rsid w:val="00824A71"/>
    <w:rsid w:val="00834EC3"/>
    <w:rsid w:val="0086605D"/>
    <w:rsid w:val="00874B38"/>
    <w:rsid w:val="008765E0"/>
    <w:rsid w:val="0087751F"/>
    <w:rsid w:val="00882F6B"/>
    <w:rsid w:val="00891CBB"/>
    <w:rsid w:val="008B2835"/>
    <w:rsid w:val="008C503A"/>
    <w:rsid w:val="008C7A86"/>
    <w:rsid w:val="008F6B47"/>
    <w:rsid w:val="00904C44"/>
    <w:rsid w:val="009146B4"/>
    <w:rsid w:val="009177D4"/>
    <w:rsid w:val="00917CF8"/>
    <w:rsid w:val="00932827"/>
    <w:rsid w:val="009338E9"/>
    <w:rsid w:val="0095671D"/>
    <w:rsid w:val="009622A1"/>
    <w:rsid w:val="00976C22"/>
    <w:rsid w:val="00982B75"/>
    <w:rsid w:val="009D3947"/>
    <w:rsid w:val="009F32C0"/>
    <w:rsid w:val="00A319DD"/>
    <w:rsid w:val="00A32720"/>
    <w:rsid w:val="00A4669A"/>
    <w:rsid w:val="00A51CDD"/>
    <w:rsid w:val="00A52382"/>
    <w:rsid w:val="00A8163E"/>
    <w:rsid w:val="00A906AD"/>
    <w:rsid w:val="00A963CF"/>
    <w:rsid w:val="00AC3244"/>
    <w:rsid w:val="00AD129C"/>
    <w:rsid w:val="00AE1D43"/>
    <w:rsid w:val="00B203D5"/>
    <w:rsid w:val="00B308C1"/>
    <w:rsid w:val="00B53C80"/>
    <w:rsid w:val="00B548BD"/>
    <w:rsid w:val="00B5706F"/>
    <w:rsid w:val="00B57142"/>
    <w:rsid w:val="00B6396F"/>
    <w:rsid w:val="00B77526"/>
    <w:rsid w:val="00B81ECD"/>
    <w:rsid w:val="00BA07AF"/>
    <w:rsid w:val="00BC25B9"/>
    <w:rsid w:val="00C047B2"/>
    <w:rsid w:val="00C112AD"/>
    <w:rsid w:val="00C1259F"/>
    <w:rsid w:val="00C12B9C"/>
    <w:rsid w:val="00C27F38"/>
    <w:rsid w:val="00C334EB"/>
    <w:rsid w:val="00C34666"/>
    <w:rsid w:val="00C45D49"/>
    <w:rsid w:val="00C6789C"/>
    <w:rsid w:val="00C72586"/>
    <w:rsid w:val="00C9636F"/>
    <w:rsid w:val="00CB4438"/>
    <w:rsid w:val="00CB7CAC"/>
    <w:rsid w:val="00D1086F"/>
    <w:rsid w:val="00D11240"/>
    <w:rsid w:val="00D13AA4"/>
    <w:rsid w:val="00D479A3"/>
    <w:rsid w:val="00D57C48"/>
    <w:rsid w:val="00D62749"/>
    <w:rsid w:val="00D71BCF"/>
    <w:rsid w:val="00D7560B"/>
    <w:rsid w:val="00D76F70"/>
    <w:rsid w:val="00DB5491"/>
    <w:rsid w:val="00DB6448"/>
    <w:rsid w:val="00DB697A"/>
    <w:rsid w:val="00DD28CE"/>
    <w:rsid w:val="00DF46BA"/>
    <w:rsid w:val="00E04070"/>
    <w:rsid w:val="00E36F34"/>
    <w:rsid w:val="00E43CC9"/>
    <w:rsid w:val="00E45F2F"/>
    <w:rsid w:val="00E513B7"/>
    <w:rsid w:val="00E76FDA"/>
    <w:rsid w:val="00EA5A1B"/>
    <w:rsid w:val="00ED0EFE"/>
    <w:rsid w:val="00EE6BE9"/>
    <w:rsid w:val="00F10CE8"/>
    <w:rsid w:val="00F1212A"/>
    <w:rsid w:val="00F17A18"/>
    <w:rsid w:val="00F25731"/>
    <w:rsid w:val="00F263E8"/>
    <w:rsid w:val="00F30606"/>
    <w:rsid w:val="00F31A5B"/>
    <w:rsid w:val="00F42C7A"/>
    <w:rsid w:val="00F50720"/>
    <w:rsid w:val="00F661CD"/>
    <w:rsid w:val="00F71108"/>
    <w:rsid w:val="00F7786F"/>
    <w:rsid w:val="00F93553"/>
    <w:rsid w:val="00F94B17"/>
    <w:rsid w:val="00FA30AB"/>
    <w:rsid w:val="00FA7108"/>
    <w:rsid w:val="00FB4FC2"/>
    <w:rsid w:val="00FC4541"/>
    <w:rsid w:val="00FD1BAA"/>
    <w:rsid w:val="00FD2B0D"/>
    <w:rsid w:val="00FD49FF"/>
    <w:rsid w:val="00FD51C7"/>
    <w:rsid w:val="00FD5C60"/>
    <w:rsid w:val="00FD7555"/>
    <w:rsid w:val="00FF2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Pr>
      <w:rFonts w:ascii="Verdana" w:hAnsi="Verdana"/>
      <w:szCs w:val="19"/>
    </w:rPr>
  </w:style>
  <w:style w:type="paragraph" w:styleId="Otsikko1">
    <w:name w:val="heading 1"/>
    <w:next w:val="Leipteksti"/>
    <w:qFormat/>
    <w:pPr>
      <w:keepNext/>
      <w:outlineLvl w:val="0"/>
    </w:pPr>
    <w:rPr>
      <w:rFonts w:ascii="Verdana" w:hAnsi="Verdana" w:cs="Arial"/>
      <w:b/>
      <w:bCs/>
      <w:kern w:val="32"/>
      <w:sz w:val="28"/>
      <w:szCs w:val="32"/>
    </w:rPr>
  </w:style>
  <w:style w:type="paragraph" w:styleId="Otsikko2">
    <w:name w:val="heading 2"/>
    <w:basedOn w:val="Otsikko1"/>
    <w:next w:val="Leipteksti"/>
    <w:qFormat/>
    <w:pPr>
      <w:outlineLvl w:val="1"/>
    </w:pPr>
    <w:rPr>
      <w:bCs w:val="0"/>
      <w:iCs/>
      <w:sz w:val="20"/>
      <w:szCs w:val="28"/>
    </w:rPr>
  </w:style>
  <w:style w:type="paragraph" w:styleId="Otsikko3">
    <w:name w:val="heading 3"/>
    <w:basedOn w:val="Otsikko1"/>
    <w:next w:val="Leipteksti"/>
    <w:qFormat/>
    <w:pPr>
      <w:outlineLvl w:val="2"/>
    </w:pPr>
    <w:rPr>
      <w:bCs w:val="0"/>
      <w:sz w:val="20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pPr>
      <w:tabs>
        <w:tab w:val="center" w:pos="4819"/>
        <w:tab w:val="right" w:pos="9638"/>
      </w:tabs>
    </w:pPr>
    <w:rPr>
      <w:sz w:val="16"/>
    </w:rPr>
  </w:style>
  <w:style w:type="paragraph" w:styleId="Leipteksti">
    <w:name w:val="Body Text"/>
    <w:basedOn w:val="Normaali"/>
  </w:style>
  <w:style w:type="paragraph" w:styleId="Alatunniste">
    <w:name w:val="footer"/>
    <w:rsid w:val="00387957"/>
    <w:pPr>
      <w:tabs>
        <w:tab w:val="center" w:pos="4819"/>
        <w:tab w:val="right" w:pos="9638"/>
      </w:tabs>
      <w:spacing w:line="220" w:lineRule="atLeast"/>
      <w:ind w:left="5783"/>
    </w:pPr>
    <w:rPr>
      <w:rFonts w:ascii="Verdana" w:hAnsi="Verdana"/>
      <w:sz w:val="16"/>
      <w:szCs w:val="16"/>
    </w:rPr>
  </w:style>
  <w:style w:type="paragraph" w:styleId="Seliteteksti">
    <w:name w:val="Balloon Text"/>
    <w:basedOn w:val="Normaali"/>
    <w:link w:val="SelitetekstiChar"/>
    <w:rsid w:val="00AC3244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rsid w:val="00AC32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Pr>
      <w:rFonts w:ascii="Verdana" w:hAnsi="Verdana"/>
      <w:szCs w:val="19"/>
    </w:rPr>
  </w:style>
  <w:style w:type="paragraph" w:styleId="Otsikko1">
    <w:name w:val="heading 1"/>
    <w:next w:val="Leipteksti"/>
    <w:qFormat/>
    <w:pPr>
      <w:keepNext/>
      <w:outlineLvl w:val="0"/>
    </w:pPr>
    <w:rPr>
      <w:rFonts w:ascii="Verdana" w:hAnsi="Verdana" w:cs="Arial"/>
      <w:b/>
      <w:bCs/>
      <w:kern w:val="32"/>
      <w:sz w:val="28"/>
      <w:szCs w:val="32"/>
    </w:rPr>
  </w:style>
  <w:style w:type="paragraph" w:styleId="Otsikko2">
    <w:name w:val="heading 2"/>
    <w:basedOn w:val="Otsikko1"/>
    <w:next w:val="Leipteksti"/>
    <w:qFormat/>
    <w:pPr>
      <w:outlineLvl w:val="1"/>
    </w:pPr>
    <w:rPr>
      <w:bCs w:val="0"/>
      <w:iCs/>
      <w:sz w:val="20"/>
      <w:szCs w:val="28"/>
    </w:rPr>
  </w:style>
  <w:style w:type="paragraph" w:styleId="Otsikko3">
    <w:name w:val="heading 3"/>
    <w:basedOn w:val="Otsikko1"/>
    <w:next w:val="Leipteksti"/>
    <w:qFormat/>
    <w:pPr>
      <w:outlineLvl w:val="2"/>
    </w:pPr>
    <w:rPr>
      <w:bCs w:val="0"/>
      <w:sz w:val="20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pPr>
      <w:tabs>
        <w:tab w:val="center" w:pos="4819"/>
        <w:tab w:val="right" w:pos="9638"/>
      </w:tabs>
    </w:pPr>
    <w:rPr>
      <w:sz w:val="16"/>
    </w:rPr>
  </w:style>
  <w:style w:type="paragraph" w:styleId="Leipteksti">
    <w:name w:val="Body Text"/>
    <w:basedOn w:val="Normaali"/>
  </w:style>
  <w:style w:type="paragraph" w:styleId="Alatunniste">
    <w:name w:val="footer"/>
    <w:rsid w:val="00387957"/>
    <w:pPr>
      <w:tabs>
        <w:tab w:val="center" w:pos="4819"/>
        <w:tab w:val="right" w:pos="9638"/>
      </w:tabs>
      <w:spacing w:line="220" w:lineRule="atLeast"/>
      <w:ind w:left="5783"/>
    </w:pPr>
    <w:rPr>
      <w:rFonts w:ascii="Verdana" w:hAnsi="Verdana"/>
      <w:sz w:val="16"/>
      <w:szCs w:val="16"/>
    </w:rPr>
  </w:style>
  <w:style w:type="paragraph" w:styleId="Seliteteksti">
    <w:name w:val="Balloon Text"/>
    <w:basedOn w:val="Normaali"/>
    <w:link w:val="SelitetekstiChar"/>
    <w:rsid w:val="00AC3244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rsid w:val="00AC32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1295</Words>
  <Characters>11923</Characters>
  <Application>Microsoft Office Word</Application>
  <DocSecurity>4</DocSecurity>
  <Lines>99</Lines>
  <Paragraphs>26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kirjemallipohja</vt:lpstr>
    </vt:vector>
  </TitlesOfParts>
  <Company>Energiateollisuus</Company>
  <LinksUpToDate>false</LinksUpToDate>
  <CharactersWithSpaces>13192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kirjemallipohja</dc:title>
  <dc:creator>Lettojärvi Heidi</dc:creator>
  <cp:lastModifiedBy>Hakkarainen Satu</cp:lastModifiedBy>
  <cp:revision>2</cp:revision>
  <cp:lastPrinted>2006-09-13T10:46:00Z</cp:lastPrinted>
  <dcterms:created xsi:type="dcterms:W3CDTF">2016-06-03T11:12:00Z</dcterms:created>
  <dcterms:modified xsi:type="dcterms:W3CDTF">2016-06-03T11:12:00Z</dcterms:modified>
</cp:coreProperties>
</file>