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2A" w:rsidRDefault="00146B2A" w:rsidP="000F2157">
      <w:pPr>
        <w:pStyle w:val="TwebOtsikko"/>
        <w:tabs>
          <w:tab w:val="left" w:pos="1191"/>
        </w:tabs>
      </w:pPr>
      <w:bookmarkStart w:id="0" w:name="_GoBack"/>
      <w:bookmarkEnd w:id="0"/>
    </w:p>
    <w:p w:rsidR="00F538F2" w:rsidRDefault="00F538F2" w:rsidP="00F538F2">
      <w:pPr>
        <w:pStyle w:val="Otsikko2"/>
        <w:ind w:left="0"/>
        <w:jc w:val="left"/>
      </w:pPr>
      <w:r>
        <w:t xml:space="preserve">Lahden kaupungin vastaus Ympäristöministeriön lausuntopyyntöön luonnoksesta hallituksen esitykseksi laiksi ympäristövaikutusten arviointimenettelystä </w:t>
      </w:r>
    </w:p>
    <w:p w:rsidR="00F538F2" w:rsidRDefault="00F538F2" w:rsidP="00F538F2"/>
    <w:p w:rsidR="00F538F2" w:rsidRDefault="00F538F2" w:rsidP="00F538F2">
      <w:pPr>
        <w:ind w:left="0"/>
        <w:rPr>
          <w:sz w:val="22"/>
          <w:szCs w:val="22"/>
        </w:rPr>
      </w:pPr>
      <w:r w:rsidRPr="0026070F">
        <w:rPr>
          <w:sz w:val="22"/>
          <w:szCs w:val="22"/>
        </w:rPr>
        <w:t xml:space="preserve">Taustalla on </w:t>
      </w:r>
      <w:proofErr w:type="spellStart"/>
      <w:r w:rsidRPr="0026070F">
        <w:rPr>
          <w:sz w:val="22"/>
          <w:szCs w:val="22"/>
        </w:rPr>
        <w:t>YVA-direktiivin</w:t>
      </w:r>
      <w:proofErr w:type="spellEnd"/>
      <w:r w:rsidRPr="0026070F">
        <w:rPr>
          <w:sz w:val="22"/>
          <w:szCs w:val="22"/>
        </w:rPr>
        <w:t xml:space="preserve"> muutosdirektiivin (2014/52/EU) täytäntöönpano sekä Ympäristö</w:t>
      </w:r>
      <w:r>
        <w:rPr>
          <w:sz w:val="22"/>
          <w:szCs w:val="22"/>
        </w:rPr>
        <w:softHyphen/>
      </w:r>
      <w:r w:rsidRPr="0026070F">
        <w:rPr>
          <w:sz w:val="22"/>
          <w:szCs w:val="22"/>
        </w:rPr>
        <w:t xml:space="preserve">ministeriön asettaman työryhmän valmistelemat muutokset ympäristövaikutusten </w:t>
      </w:r>
      <w:r>
        <w:rPr>
          <w:sz w:val="22"/>
          <w:szCs w:val="22"/>
        </w:rPr>
        <w:t>arvioinnista annettuun lakiin,</w:t>
      </w:r>
      <w:r w:rsidRPr="0026070F">
        <w:rPr>
          <w:sz w:val="22"/>
          <w:szCs w:val="22"/>
        </w:rPr>
        <w:t xml:space="preserve"> muuhun lainsäädäntöön sekä ehdotukset </w:t>
      </w:r>
      <w:proofErr w:type="spellStart"/>
      <w:r w:rsidRPr="0026070F">
        <w:rPr>
          <w:sz w:val="22"/>
          <w:szCs w:val="22"/>
        </w:rPr>
        <w:t>YVA-menettelyn</w:t>
      </w:r>
      <w:proofErr w:type="spellEnd"/>
      <w:r w:rsidRPr="0026070F">
        <w:rPr>
          <w:sz w:val="22"/>
          <w:szCs w:val="22"/>
        </w:rPr>
        <w:t xml:space="preserve"> yhteensovittamiseksi kaavoitukseen ja ympäristöä koskeviin lupamenettelyihin.  Ympäristöministeriön asettaman </w:t>
      </w:r>
      <w:proofErr w:type="spellStart"/>
      <w:r w:rsidRPr="0026070F">
        <w:rPr>
          <w:sz w:val="22"/>
          <w:szCs w:val="22"/>
        </w:rPr>
        <w:t>YVA-työryhmän</w:t>
      </w:r>
      <w:proofErr w:type="spellEnd"/>
      <w:r w:rsidRPr="0026070F">
        <w:rPr>
          <w:sz w:val="22"/>
          <w:szCs w:val="22"/>
        </w:rPr>
        <w:t xml:space="preserve"> yhtenä tehtävänä on ollut </w:t>
      </w:r>
      <w:r>
        <w:rPr>
          <w:sz w:val="22"/>
          <w:szCs w:val="22"/>
        </w:rPr>
        <w:t>lisäksi tehdä</w:t>
      </w:r>
      <w:r w:rsidRPr="0026070F">
        <w:rPr>
          <w:sz w:val="22"/>
          <w:szCs w:val="22"/>
        </w:rPr>
        <w:t xml:space="preserve"> ehdotus </w:t>
      </w:r>
      <w:proofErr w:type="spellStart"/>
      <w:r w:rsidRPr="0026070F">
        <w:rPr>
          <w:sz w:val="22"/>
          <w:szCs w:val="22"/>
        </w:rPr>
        <w:t>YVA-menettelyn</w:t>
      </w:r>
      <w:proofErr w:type="spellEnd"/>
      <w:r w:rsidRPr="0026070F">
        <w:rPr>
          <w:sz w:val="22"/>
          <w:szCs w:val="22"/>
        </w:rPr>
        <w:t xml:space="preserve"> ja hankekaavoituksen yhdistämisestä.</w:t>
      </w:r>
      <w:r>
        <w:rPr>
          <w:sz w:val="22"/>
          <w:szCs w:val="22"/>
        </w:rPr>
        <w:t xml:space="preserve"> Työryhmä ehdottaa kahta tapaa yhdistää YVA ja hankekaava, A ja B. Ennakko</w:t>
      </w:r>
      <w:r>
        <w:rPr>
          <w:sz w:val="22"/>
          <w:szCs w:val="22"/>
        </w:rPr>
        <w:softHyphen/>
        <w:t>neuvottelu sisältyy molempiin vaihtoehtoihin.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 w:rsidRPr="0026070F">
        <w:rPr>
          <w:b/>
          <w:sz w:val="22"/>
          <w:szCs w:val="22"/>
        </w:rPr>
        <w:t>Vaihtoehdossa A</w:t>
      </w:r>
      <w:r w:rsidRPr="0026070F">
        <w:rPr>
          <w:sz w:val="22"/>
          <w:szCs w:val="22"/>
        </w:rPr>
        <w:t xml:space="preserve"> </w:t>
      </w:r>
      <w:proofErr w:type="spellStart"/>
      <w:r w:rsidRPr="0026070F">
        <w:rPr>
          <w:sz w:val="22"/>
          <w:szCs w:val="22"/>
        </w:rPr>
        <w:t>YVA-menettelyn</w:t>
      </w:r>
      <w:proofErr w:type="spellEnd"/>
      <w:r w:rsidRPr="0026070F">
        <w:rPr>
          <w:sz w:val="22"/>
          <w:szCs w:val="22"/>
        </w:rPr>
        <w:t xml:space="preserve"> ja hankekaavoituksen tiedottaminen, palautteen antaminen ja yleisötilaisuudet yhdistettäisiin. Myös ympäristövaikutusten arvioinnin sisältö, kuten tarvittava</w:t>
      </w:r>
      <w:r>
        <w:rPr>
          <w:sz w:val="22"/>
          <w:szCs w:val="22"/>
        </w:rPr>
        <w:t xml:space="preserve">t selvitykset, koordinoitaisiin, mutta prosessien johtaminen säilyisi </w:t>
      </w:r>
      <w:proofErr w:type="spellStart"/>
      <w:r>
        <w:rPr>
          <w:sz w:val="22"/>
          <w:szCs w:val="22"/>
        </w:rPr>
        <w:t>YVAn</w:t>
      </w:r>
      <w:proofErr w:type="spellEnd"/>
      <w:r>
        <w:rPr>
          <w:sz w:val="22"/>
          <w:szCs w:val="22"/>
        </w:rPr>
        <w:t xml:space="preserve"> osalta </w:t>
      </w:r>
      <w:proofErr w:type="spellStart"/>
      <w:r>
        <w:rPr>
          <w:sz w:val="22"/>
          <w:szCs w:val="22"/>
        </w:rPr>
        <w:t>YVA-yhteysviran</w:t>
      </w:r>
      <w:r>
        <w:rPr>
          <w:sz w:val="22"/>
          <w:szCs w:val="22"/>
        </w:rPr>
        <w:softHyphen/>
        <w:t>omaisella</w:t>
      </w:r>
      <w:proofErr w:type="spellEnd"/>
      <w:r>
        <w:rPr>
          <w:sz w:val="22"/>
          <w:szCs w:val="22"/>
        </w:rPr>
        <w:t xml:space="preserve"> ja kaavoituksen osalta kaavoittajalla. </w:t>
      </w:r>
      <w:r w:rsidRPr="0026070F">
        <w:rPr>
          <w:sz w:val="22"/>
          <w:szCs w:val="22"/>
        </w:rPr>
        <w:t xml:space="preserve">Hankekaavoitus ja hankkeen ympäristövaikutusten arviointimenettely </w:t>
      </w:r>
      <w:r>
        <w:rPr>
          <w:sz w:val="22"/>
          <w:szCs w:val="22"/>
        </w:rPr>
        <w:t xml:space="preserve">kuitenkin </w:t>
      </w:r>
      <w:r w:rsidRPr="0026070F">
        <w:rPr>
          <w:sz w:val="22"/>
          <w:szCs w:val="22"/>
        </w:rPr>
        <w:t>sovitettaisiin yhteen aina, ellei ole perusteltua syytä jättää sovitta</w:t>
      </w:r>
      <w:r>
        <w:rPr>
          <w:sz w:val="22"/>
          <w:szCs w:val="22"/>
        </w:rPr>
        <w:softHyphen/>
      </w:r>
      <w:r w:rsidRPr="0026070F">
        <w:rPr>
          <w:sz w:val="22"/>
          <w:szCs w:val="22"/>
        </w:rPr>
        <w:t>matta.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YVA-ohjelmavaihe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OAS-vaihe</w:t>
      </w:r>
      <w:proofErr w:type="spellEnd"/>
      <w:r>
        <w:rPr>
          <w:sz w:val="22"/>
          <w:szCs w:val="22"/>
        </w:rPr>
        <w:t xml:space="preserve"> yhdistyisivät ja </w:t>
      </w:r>
      <w:proofErr w:type="spellStart"/>
      <w:r>
        <w:rPr>
          <w:sz w:val="22"/>
          <w:szCs w:val="22"/>
        </w:rPr>
        <w:t>YVA-selostus</w:t>
      </w:r>
      <w:proofErr w:type="spellEnd"/>
      <w:r>
        <w:rPr>
          <w:sz w:val="22"/>
          <w:szCs w:val="22"/>
        </w:rPr>
        <w:t xml:space="preserve"> ja kaavaluonnosvaihe yhdistyisivät. Mikäli kaavoitus viivästyy, YVA voi jatkua ja prosessi edetä jo lupavalmisteluun. 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 w:rsidRPr="00A82524">
        <w:rPr>
          <w:b/>
          <w:sz w:val="22"/>
          <w:szCs w:val="22"/>
        </w:rPr>
        <w:t>Vaihtoehdossa B</w:t>
      </w:r>
      <w:r>
        <w:rPr>
          <w:sz w:val="22"/>
          <w:szCs w:val="22"/>
        </w:rPr>
        <w:t xml:space="preserve"> </w:t>
      </w:r>
      <w:proofErr w:type="spellStart"/>
      <w:r w:rsidRPr="00A82524">
        <w:rPr>
          <w:sz w:val="22"/>
          <w:szCs w:val="22"/>
        </w:rPr>
        <w:t>YVA-menettelystä</w:t>
      </w:r>
      <w:proofErr w:type="spellEnd"/>
      <w:r w:rsidRPr="00A82524">
        <w:rPr>
          <w:sz w:val="22"/>
          <w:szCs w:val="22"/>
        </w:rPr>
        <w:t xml:space="preserve"> tiedott</w:t>
      </w:r>
      <w:r>
        <w:rPr>
          <w:sz w:val="22"/>
          <w:szCs w:val="22"/>
        </w:rPr>
        <w:t>aminen, arviointiohjelmasta ja -</w:t>
      </w:r>
      <w:r w:rsidRPr="00A82524">
        <w:rPr>
          <w:sz w:val="22"/>
          <w:szCs w:val="22"/>
        </w:rPr>
        <w:t>selostuksesta palaut</w:t>
      </w:r>
      <w:r>
        <w:rPr>
          <w:sz w:val="22"/>
          <w:szCs w:val="22"/>
        </w:rPr>
        <w:softHyphen/>
      </w:r>
      <w:r w:rsidRPr="00A82524">
        <w:rPr>
          <w:sz w:val="22"/>
          <w:szCs w:val="22"/>
        </w:rPr>
        <w:t xml:space="preserve">teen antaminen sekä yleisötilaisuudet siirrettäisiin tehtäväksi hankekaavoituksen yhteydessä. Kaavoitusviranomainen vastaisi näiden osuuksien toteuttamisesta, mutta </w:t>
      </w:r>
      <w:proofErr w:type="spellStart"/>
      <w:r w:rsidRPr="00A82524">
        <w:rPr>
          <w:sz w:val="22"/>
          <w:szCs w:val="22"/>
        </w:rPr>
        <w:t>YVAn</w:t>
      </w:r>
      <w:proofErr w:type="spellEnd"/>
      <w:r w:rsidRPr="00A82524">
        <w:rPr>
          <w:sz w:val="22"/>
          <w:szCs w:val="22"/>
        </w:rPr>
        <w:t xml:space="preserve"> sisällön ohjaus ja laadunvarmistus olisivat </w:t>
      </w:r>
      <w:proofErr w:type="spellStart"/>
      <w:r w:rsidRPr="00A82524">
        <w:rPr>
          <w:sz w:val="22"/>
          <w:szCs w:val="22"/>
        </w:rPr>
        <w:t>YVA-yhteysviranomaisella</w:t>
      </w:r>
      <w:proofErr w:type="spellEnd"/>
      <w:r w:rsidRPr="00A82524">
        <w:rPr>
          <w:sz w:val="22"/>
          <w:szCs w:val="22"/>
        </w:rPr>
        <w:t>. Myös tässä vaihtoehdossa ympäristövaiku</w:t>
      </w:r>
      <w:r>
        <w:rPr>
          <w:sz w:val="22"/>
          <w:szCs w:val="22"/>
        </w:rPr>
        <w:softHyphen/>
      </w:r>
      <w:r w:rsidRPr="00A82524">
        <w:rPr>
          <w:sz w:val="22"/>
          <w:szCs w:val="22"/>
        </w:rPr>
        <w:t>tus</w:t>
      </w:r>
      <w:r>
        <w:rPr>
          <w:sz w:val="22"/>
          <w:szCs w:val="22"/>
        </w:rPr>
        <w:softHyphen/>
      </w:r>
      <w:r w:rsidRPr="00A82524">
        <w:rPr>
          <w:sz w:val="22"/>
          <w:szCs w:val="22"/>
        </w:rPr>
        <w:t>ten arvioinnin sisältö koordinoitaisiin</w:t>
      </w:r>
      <w:r>
        <w:rPr>
          <w:sz w:val="22"/>
          <w:szCs w:val="22"/>
        </w:rPr>
        <w:t xml:space="preserve">, mutta </w:t>
      </w:r>
      <w:r w:rsidRPr="00A82524">
        <w:rPr>
          <w:sz w:val="22"/>
          <w:szCs w:val="22"/>
        </w:rPr>
        <w:t>yhteysviranomaisen tehtävät jakautuisivat kahdelle viranomaiselle</w:t>
      </w:r>
      <w:r>
        <w:rPr>
          <w:sz w:val="22"/>
          <w:szCs w:val="22"/>
        </w:rPr>
        <w:t xml:space="preserve">. Vastuu </w:t>
      </w:r>
      <w:proofErr w:type="spellStart"/>
      <w:r>
        <w:rPr>
          <w:sz w:val="22"/>
          <w:szCs w:val="22"/>
        </w:rPr>
        <w:t>YVA-menettelyn</w:t>
      </w:r>
      <w:proofErr w:type="spellEnd"/>
      <w:r>
        <w:rPr>
          <w:sz w:val="22"/>
          <w:szCs w:val="22"/>
        </w:rPr>
        <w:t xml:space="preserve"> </w:t>
      </w:r>
      <w:r w:rsidRPr="00A82524">
        <w:rPr>
          <w:sz w:val="22"/>
          <w:szCs w:val="22"/>
        </w:rPr>
        <w:t xml:space="preserve">johtamisesta </w:t>
      </w:r>
      <w:r>
        <w:rPr>
          <w:sz w:val="22"/>
          <w:szCs w:val="22"/>
        </w:rPr>
        <w:t>kuuluisi</w:t>
      </w:r>
      <w:r w:rsidRPr="00A82524">
        <w:rPr>
          <w:sz w:val="22"/>
          <w:szCs w:val="22"/>
        </w:rPr>
        <w:t xml:space="preserve"> kaavan valmistelusta vastaava</w:t>
      </w:r>
      <w:r>
        <w:rPr>
          <w:sz w:val="22"/>
          <w:szCs w:val="22"/>
        </w:rPr>
        <w:t>lle viranomais</w:t>
      </w:r>
      <w:r w:rsidRPr="00A82524">
        <w:rPr>
          <w:sz w:val="22"/>
          <w:szCs w:val="22"/>
        </w:rPr>
        <w:t>e</w:t>
      </w:r>
      <w:r>
        <w:rPr>
          <w:sz w:val="22"/>
          <w:szCs w:val="22"/>
        </w:rPr>
        <w:t>lle</w:t>
      </w:r>
      <w:r w:rsidRPr="00A82524">
        <w:rPr>
          <w:sz w:val="22"/>
          <w:szCs w:val="22"/>
        </w:rPr>
        <w:t>. Asianosaiset ja muut menettelyyn osallistuvat tahot asioisivat ensisijaisesti kaavoitusviranomaisen kanssa, yhteysviranomaisen ollessa enemmän taka-alalla.</w:t>
      </w:r>
      <w:r>
        <w:rPr>
          <w:sz w:val="22"/>
          <w:szCs w:val="22"/>
        </w:rPr>
        <w:t xml:space="preserve"> </w:t>
      </w:r>
      <w:proofErr w:type="spellStart"/>
      <w:r w:rsidRPr="00A82524">
        <w:rPr>
          <w:sz w:val="22"/>
          <w:szCs w:val="22"/>
        </w:rPr>
        <w:t>Y</w:t>
      </w:r>
      <w:r>
        <w:rPr>
          <w:sz w:val="22"/>
          <w:szCs w:val="22"/>
        </w:rPr>
        <w:t>VA-yh</w:t>
      </w:r>
      <w:r w:rsidRPr="00A82524">
        <w:rPr>
          <w:sz w:val="22"/>
          <w:szCs w:val="22"/>
        </w:rPr>
        <w:t>teysvi</w:t>
      </w:r>
      <w:r>
        <w:rPr>
          <w:sz w:val="22"/>
          <w:szCs w:val="22"/>
        </w:rPr>
        <w:softHyphen/>
      </w:r>
      <w:r w:rsidRPr="00A82524">
        <w:rPr>
          <w:sz w:val="22"/>
          <w:szCs w:val="22"/>
        </w:rPr>
        <w:t>ranomaisen</w:t>
      </w:r>
      <w:proofErr w:type="spellEnd"/>
      <w:r w:rsidRPr="00A82524">
        <w:rPr>
          <w:sz w:val="22"/>
          <w:szCs w:val="22"/>
        </w:rPr>
        <w:t xml:space="preserve"> vastuulle jäisi arvioida ympäristövaikutusten arvioinnin aineellista laatua ja riittävyyttä sekä tarvittaessa ohjata hankkeesta vastaava arviointiasiakirjojen sisältöön liittyvissä asioissa. Näihin asioihin se myös ottaisi kantaa lausunnoissaan </w:t>
      </w:r>
      <w:proofErr w:type="spellStart"/>
      <w:r w:rsidRPr="00A82524">
        <w:rPr>
          <w:sz w:val="22"/>
          <w:szCs w:val="22"/>
        </w:rPr>
        <w:t>YVA-ohjelman</w:t>
      </w:r>
      <w:proofErr w:type="spellEnd"/>
      <w:r w:rsidRPr="00A82524">
        <w:rPr>
          <w:sz w:val="22"/>
          <w:szCs w:val="22"/>
        </w:rPr>
        <w:t xml:space="preserve"> ja </w:t>
      </w:r>
      <w:proofErr w:type="spellStart"/>
      <w:r w:rsidRPr="00A82524">
        <w:rPr>
          <w:sz w:val="22"/>
          <w:szCs w:val="22"/>
        </w:rPr>
        <w:t>YVA-selostuksen</w:t>
      </w:r>
      <w:proofErr w:type="spellEnd"/>
      <w:r w:rsidRPr="00A82524">
        <w:rPr>
          <w:sz w:val="22"/>
          <w:szCs w:val="22"/>
        </w:rPr>
        <w:t xml:space="preserve"> sisällöstä. </w:t>
      </w:r>
      <w:r>
        <w:rPr>
          <w:sz w:val="22"/>
          <w:szCs w:val="22"/>
        </w:rPr>
        <w:t>Kaavoituksen osallistumismenettelyistä kertyneet m</w:t>
      </w:r>
      <w:r w:rsidRPr="00A82524">
        <w:rPr>
          <w:sz w:val="22"/>
          <w:szCs w:val="22"/>
        </w:rPr>
        <w:t xml:space="preserve">ielipiteet ja lausunnot koskisivat myös ympäristövaikutusten arviointiaineistoa, koska kuulemismenettelyissä pidettäisiin nähtävillä ja kuultaisiin muun kaavan valmisteluaineiston </w:t>
      </w:r>
      <w:r>
        <w:rPr>
          <w:sz w:val="22"/>
          <w:szCs w:val="22"/>
        </w:rPr>
        <w:t xml:space="preserve">ohella myös </w:t>
      </w:r>
      <w:proofErr w:type="spellStart"/>
      <w:r>
        <w:rPr>
          <w:sz w:val="22"/>
          <w:szCs w:val="22"/>
        </w:rPr>
        <w:t>YVA-ohjelma</w:t>
      </w:r>
      <w:proofErr w:type="spellEnd"/>
      <w:r>
        <w:rPr>
          <w:sz w:val="22"/>
          <w:szCs w:val="22"/>
        </w:rPr>
        <w:t xml:space="preserve"> ja -</w:t>
      </w:r>
      <w:r w:rsidRPr="00A82524">
        <w:rPr>
          <w:sz w:val="22"/>
          <w:szCs w:val="22"/>
        </w:rPr>
        <w:t>lausunto.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 w:rsidRPr="00A7064A">
        <w:rPr>
          <w:b/>
          <w:sz w:val="22"/>
          <w:szCs w:val="22"/>
        </w:rPr>
        <w:t>Lahden kaupunki toteaa</w:t>
      </w:r>
      <w:r>
        <w:rPr>
          <w:sz w:val="22"/>
          <w:szCs w:val="22"/>
        </w:rPr>
        <w:t xml:space="preserve">, että </w:t>
      </w:r>
      <w:proofErr w:type="spellStart"/>
      <w:r>
        <w:rPr>
          <w:sz w:val="22"/>
          <w:szCs w:val="22"/>
        </w:rPr>
        <w:t>YVA-menettelyn</w:t>
      </w:r>
      <w:proofErr w:type="spellEnd"/>
      <w:r>
        <w:rPr>
          <w:sz w:val="22"/>
          <w:szCs w:val="22"/>
        </w:rPr>
        <w:t xml:space="preserve"> ja hankekaavoituksen yhteensovittaminen aina kuin suinkin mahdollista, tukee kansalaisten laajaa osallistumista ja selkiyttää osallisten suuntaan mielipiteiden ja lausuntojen antamista. Todellisten vaihtoehtojen löytäminen ja tarkastelu on oleellinen osa </w:t>
      </w:r>
      <w:proofErr w:type="spellStart"/>
      <w:r>
        <w:rPr>
          <w:sz w:val="22"/>
          <w:szCs w:val="22"/>
        </w:rPr>
        <w:t>YVAn</w:t>
      </w:r>
      <w:proofErr w:type="spellEnd"/>
      <w:r>
        <w:rPr>
          <w:sz w:val="22"/>
          <w:szCs w:val="22"/>
        </w:rPr>
        <w:t xml:space="preserve"> tavoitteita ja samanaikainen kaavoituksen valmistelu voi tukea hankkeen parhaan mahdollisen sijaintipaikan tarkastelua. Suunnitelmien ja vaihtoehtojen tarkkuustasosta riippuen sijaintivaihtoehtojen arviointiin voidaan käyttää sopivaa kaavatasoa – hankekaavan ei tarvitse olla aina asemakaava. </w:t>
      </w:r>
      <w:proofErr w:type="spellStart"/>
      <w:r>
        <w:rPr>
          <w:sz w:val="22"/>
          <w:szCs w:val="22"/>
        </w:rPr>
        <w:t>YVA-menettelyn</w:t>
      </w:r>
      <w:proofErr w:type="spellEnd"/>
      <w:r>
        <w:rPr>
          <w:sz w:val="22"/>
          <w:szCs w:val="22"/>
        </w:rPr>
        <w:t xml:space="preserve"> ja hankekaavoituksen yhdistämisessä aikataulutus voi olla haasteellista, siksi prosessien mahdollinen eriyttäminen pitää olla mahdollista, esimerkiksi kaavoituksen pysähtyessä. 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Ennakkoneuvottelu on jo osa hyvää asioiden hoitotapaa ja nyt se tulisi säädösperusteiseksi myös </w:t>
      </w:r>
      <w:proofErr w:type="spellStart"/>
      <w:r>
        <w:rPr>
          <w:sz w:val="22"/>
          <w:szCs w:val="22"/>
        </w:rPr>
        <w:t>YVA-menettelyssä</w:t>
      </w:r>
      <w:proofErr w:type="spellEnd"/>
      <w:r>
        <w:rPr>
          <w:sz w:val="22"/>
          <w:szCs w:val="22"/>
        </w:rPr>
        <w:t>. Lahden kanta on, että ennakkoneuvottelussa tulee olla mukana myös lupaviranomainen (</w:t>
      </w:r>
      <w:proofErr w:type="spellStart"/>
      <w:r>
        <w:rPr>
          <w:sz w:val="22"/>
          <w:szCs w:val="22"/>
        </w:rPr>
        <w:t>-set</w:t>
      </w:r>
      <w:proofErr w:type="spellEnd"/>
      <w:r>
        <w:rPr>
          <w:sz w:val="22"/>
          <w:szCs w:val="22"/>
        </w:rPr>
        <w:t xml:space="preserve">), jotta hankkeen </w:t>
      </w:r>
      <w:proofErr w:type="spellStart"/>
      <w:r>
        <w:rPr>
          <w:sz w:val="22"/>
          <w:szCs w:val="22"/>
        </w:rPr>
        <w:t>esim.teknisten</w:t>
      </w:r>
      <w:proofErr w:type="spellEnd"/>
      <w:r>
        <w:rPr>
          <w:sz w:val="22"/>
          <w:szCs w:val="22"/>
        </w:rPr>
        <w:t xml:space="preserve"> suunnitelmien tark</w:t>
      </w:r>
      <w:r>
        <w:rPr>
          <w:sz w:val="22"/>
          <w:szCs w:val="22"/>
        </w:rPr>
        <w:softHyphen/>
        <w:t xml:space="preserve">kuustaso saadaan selville ja lupavaiheen vaatimat selvitykset voidaan mahdollisesti tehdä jo </w:t>
      </w:r>
      <w:proofErr w:type="spellStart"/>
      <w:r>
        <w:rPr>
          <w:sz w:val="22"/>
          <w:szCs w:val="22"/>
        </w:rPr>
        <w:t>YVA-vaiheessa</w:t>
      </w:r>
      <w:proofErr w:type="spellEnd"/>
      <w:r>
        <w:rPr>
          <w:sz w:val="22"/>
          <w:szCs w:val="22"/>
        </w:rPr>
        <w:t xml:space="preserve">. Tämä voi sujuvoittaa hankkeen etenemistä </w:t>
      </w:r>
      <w:proofErr w:type="spellStart"/>
      <w:r>
        <w:rPr>
          <w:sz w:val="22"/>
          <w:szCs w:val="22"/>
        </w:rPr>
        <w:t>YVA-vaiheesta</w:t>
      </w:r>
      <w:proofErr w:type="spellEnd"/>
      <w:r>
        <w:rPr>
          <w:sz w:val="22"/>
          <w:szCs w:val="22"/>
        </w:rPr>
        <w:t xml:space="preserve"> lupavaiheeseen, mutta paljon toki riippuu hankkeesta vastaavan suunnitelmien valmiusasteesta. 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Lupaviranomaisen vastuu katsoa, vieläkö YVA on ajantasainen, on hyvä uudistus. Nykyään </w:t>
      </w:r>
      <w:proofErr w:type="spellStart"/>
      <w:r>
        <w:rPr>
          <w:sz w:val="22"/>
          <w:szCs w:val="22"/>
        </w:rPr>
        <w:t>YVAssa</w:t>
      </w:r>
      <w:proofErr w:type="spellEnd"/>
      <w:r>
        <w:rPr>
          <w:sz w:val="22"/>
          <w:szCs w:val="22"/>
        </w:rPr>
        <w:t xml:space="preserve"> on ongelmallista, että </w:t>
      </w:r>
      <w:proofErr w:type="spellStart"/>
      <w:r>
        <w:rPr>
          <w:sz w:val="22"/>
          <w:szCs w:val="22"/>
        </w:rPr>
        <w:t>ympärisistövaikutusten</w:t>
      </w:r>
      <w:proofErr w:type="spellEnd"/>
      <w:r>
        <w:rPr>
          <w:sz w:val="22"/>
          <w:szCs w:val="22"/>
        </w:rPr>
        <w:t xml:space="preserve"> arviointi ”ei vanhene”, vaikka itse hanke tai alueen maankäyttö ympärillä olisi muuttunut </w:t>
      </w:r>
      <w:proofErr w:type="spellStart"/>
      <w:r>
        <w:rPr>
          <w:sz w:val="22"/>
          <w:szCs w:val="22"/>
        </w:rPr>
        <w:t>YVA-menettelyn</w:t>
      </w:r>
      <w:proofErr w:type="spellEnd"/>
      <w:r>
        <w:rPr>
          <w:sz w:val="22"/>
          <w:szCs w:val="22"/>
        </w:rPr>
        <w:t xml:space="preserve"> tekoajoista. Mikäli </w:t>
      </w:r>
      <w:proofErr w:type="spellStart"/>
      <w:r>
        <w:rPr>
          <w:sz w:val="22"/>
          <w:szCs w:val="22"/>
        </w:rPr>
        <w:t>YVA-menettely</w:t>
      </w:r>
      <w:proofErr w:type="spellEnd"/>
      <w:r>
        <w:rPr>
          <w:sz w:val="22"/>
          <w:szCs w:val="22"/>
        </w:rPr>
        <w:t xml:space="preserve"> ja hankekaava tehdään yhdessä, tulee selventää, koskeeko kaavan 13 v. vanhenemisaika </w:t>
      </w:r>
      <w:proofErr w:type="spellStart"/>
      <w:r>
        <w:rPr>
          <w:sz w:val="22"/>
          <w:szCs w:val="22"/>
        </w:rPr>
        <w:t>YVA-menettelyäkin</w:t>
      </w:r>
      <w:proofErr w:type="spellEnd"/>
      <w:r>
        <w:rPr>
          <w:sz w:val="22"/>
          <w:szCs w:val="22"/>
        </w:rPr>
        <w:t>.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Työryhmän ehdotuksista A tai B Lahden kaupunki pitää </w:t>
      </w:r>
      <w:r w:rsidRPr="000F6B85">
        <w:rPr>
          <w:b/>
          <w:sz w:val="22"/>
          <w:szCs w:val="22"/>
        </w:rPr>
        <w:t>vaihtoehtoa A</w:t>
      </w:r>
      <w:r>
        <w:rPr>
          <w:sz w:val="22"/>
          <w:szCs w:val="22"/>
        </w:rPr>
        <w:t xml:space="preserve"> parempana. Vaihtoehto B asettaa kunnat hyvin eriarvoiseen asemaan; etenkin pienemmissä kunnissa kaavoituksesta vas</w:t>
      </w:r>
      <w:r>
        <w:rPr>
          <w:sz w:val="22"/>
          <w:szCs w:val="22"/>
        </w:rPr>
        <w:softHyphen/>
        <w:t>taavalla viranomaisella ei ole resurssia johtaa prosessia eikä mahdollisuutta pyytää ympäristö</w:t>
      </w:r>
      <w:r>
        <w:rPr>
          <w:sz w:val="22"/>
          <w:szCs w:val="22"/>
        </w:rPr>
        <w:softHyphen/>
        <w:t xml:space="preserve">vaikutuksiin liittyvää sisältöasiantuntemusta. Toiseksi alueelliset eroavaisuudet menettelyissä lisääntyisivät huomattavasti. Kolmanneksi, jotta </w:t>
      </w:r>
      <w:proofErr w:type="spellStart"/>
      <w:r>
        <w:rPr>
          <w:sz w:val="22"/>
          <w:szCs w:val="22"/>
        </w:rPr>
        <w:t>YVA-</w:t>
      </w:r>
      <w:r>
        <w:rPr>
          <w:sz w:val="22"/>
          <w:szCs w:val="22"/>
        </w:rPr>
        <w:lastRenderedPageBreak/>
        <w:t>yhteysviranomainen</w:t>
      </w:r>
      <w:proofErr w:type="spellEnd"/>
      <w:r>
        <w:rPr>
          <w:sz w:val="22"/>
          <w:szCs w:val="22"/>
        </w:rPr>
        <w:t xml:space="preserve"> voisi antaa perustellun päätelmän, hänen tulisi olla tiiviisti prosessissa mukana. Neljänneksi, mikäli </w:t>
      </w:r>
      <w:proofErr w:type="spellStart"/>
      <w:r>
        <w:rPr>
          <w:sz w:val="22"/>
          <w:szCs w:val="22"/>
        </w:rPr>
        <w:t>YVA-menettelyihin</w:t>
      </w:r>
      <w:proofErr w:type="spellEnd"/>
      <w:r>
        <w:rPr>
          <w:sz w:val="22"/>
          <w:szCs w:val="22"/>
        </w:rPr>
        <w:t xml:space="preserve"> syntyisi kaksi erilaista prosessia, se vaikeuttaisi entisestään prosessien ennakoitavuutta ja osapuolten ymmärrystä heiltä odotetusta roolista ja siten vaarantaisi myös lopputuloksen laadun.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>Vaihtoehto A puoltaa paremmin hankkeen vaihtoehtojen todellista vertailua ja mahdollistaa prosessi- ja sisältöasiantuntemuksen hyvän käytön eikä aseta kuntia eriarvoiseen asemaan.  Yhdistämällä tiedotusta ja kuulemista sekä tarvittavia selvityksiä on mahdollista selkiyttää kansalaisten osallistumismahdollisuuksia sekä sujuvoittaa projektia hankkeesta vastaavan näkökulmasta. Vaihtoehto A ei todennäköisesti aseta kuntia liian eriarvoiseen asemaan resurssien ja osaamisen saatavuuden suhteen.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Lahden kaupungin lausunto on valmisteltu yhteistyössä Teknisellä ja ympäristötoimialalla Maankäyttö- ja </w:t>
      </w:r>
      <w:proofErr w:type="spellStart"/>
      <w:r>
        <w:rPr>
          <w:sz w:val="22"/>
          <w:szCs w:val="22"/>
        </w:rPr>
        <w:t>aluehankkeet-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Ympäristöpalvelut-</w:t>
      </w:r>
      <w:proofErr w:type="spellEnd"/>
      <w:r>
        <w:rPr>
          <w:sz w:val="22"/>
          <w:szCs w:val="22"/>
        </w:rPr>
        <w:t xml:space="preserve"> sekä Ympäristökehitys-yksiköissä. 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Anne </w:t>
      </w:r>
      <w:proofErr w:type="spellStart"/>
      <w:r>
        <w:rPr>
          <w:sz w:val="22"/>
          <w:szCs w:val="22"/>
        </w:rPr>
        <w:t>Karvinen-Jussilainen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Tarja Laitinen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Ismo Malin </w:t>
      </w:r>
      <w:r>
        <w:rPr>
          <w:sz w:val="22"/>
          <w:szCs w:val="22"/>
        </w:rPr>
        <w:tab/>
      </w: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>Kaupunginarkkitehti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Ympäristölupapäällikkö </w:t>
      </w:r>
      <w:r>
        <w:rPr>
          <w:sz w:val="22"/>
          <w:szCs w:val="22"/>
        </w:rPr>
        <w:tab/>
        <w:t>Vesiensuojelupäällikkö</w:t>
      </w: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rPr>
          <w:sz w:val="22"/>
          <w:szCs w:val="22"/>
        </w:rPr>
      </w:pP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Johanna Palomäki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Saara </w:t>
      </w:r>
      <w:proofErr w:type="spellStart"/>
      <w:r>
        <w:rPr>
          <w:sz w:val="22"/>
          <w:szCs w:val="22"/>
        </w:rPr>
        <w:t>Vauramo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Eira Rosberg-Airaksinen</w:t>
      </w:r>
    </w:p>
    <w:p w:rsidR="00F538F2" w:rsidRDefault="00F538F2" w:rsidP="00F538F2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Yleiskaava-arkkitehti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Ympäristöpäällikkö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Kestävän kehityksen koordinaattori</w:t>
      </w:r>
    </w:p>
    <w:p w:rsidR="00F538F2" w:rsidRPr="0026070F" w:rsidRDefault="00F538F2" w:rsidP="00F538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6B2A" w:rsidRDefault="00146B2A" w:rsidP="00DF29AA">
      <w:pPr>
        <w:pStyle w:val="Asiaotsikko"/>
      </w:pPr>
    </w:p>
    <w:sectPr w:rsidR="00146B2A" w:rsidSect="00610ADE">
      <w:pgSz w:w="11906" w:h="16838" w:code="9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08" w:rsidRDefault="00115208">
      <w:r>
        <w:separator/>
      </w:r>
    </w:p>
  </w:endnote>
  <w:endnote w:type="continuationSeparator" w:id="0">
    <w:p w:rsidR="00115208" w:rsidRDefault="0011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08" w:rsidRDefault="00115208">
      <w:r>
        <w:separator/>
      </w:r>
    </w:p>
  </w:footnote>
  <w:footnote w:type="continuationSeparator" w:id="0">
    <w:p w:rsidR="00115208" w:rsidRDefault="0011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8"/>
    <w:rsid w:val="00083F94"/>
    <w:rsid w:val="000F2157"/>
    <w:rsid w:val="00115208"/>
    <w:rsid w:val="00121AD5"/>
    <w:rsid w:val="00140EF8"/>
    <w:rsid w:val="00146B2A"/>
    <w:rsid w:val="0017647B"/>
    <w:rsid w:val="00177252"/>
    <w:rsid w:val="00271EA4"/>
    <w:rsid w:val="0032272D"/>
    <w:rsid w:val="003241A6"/>
    <w:rsid w:val="00383400"/>
    <w:rsid w:val="003D6E37"/>
    <w:rsid w:val="00427ACD"/>
    <w:rsid w:val="00435006"/>
    <w:rsid w:val="00610ADE"/>
    <w:rsid w:val="00612F64"/>
    <w:rsid w:val="0077386C"/>
    <w:rsid w:val="007D053C"/>
    <w:rsid w:val="007D631B"/>
    <w:rsid w:val="008423BA"/>
    <w:rsid w:val="00872455"/>
    <w:rsid w:val="008E26EC"/>
    <w:rsid w:val="008F3A17"/>
    <w:rsid w:val="00962E75"/>
    <w:rsid w:val="009840D5"/>
    <w:rsid w:val="009B1DCD"/>
    <w:rsid w:val="009D612F"/>
    <w:rsid w:val="009F76DF"/>
    <w:rsid w:val="00A11870"/>
    <w:rsid w:val="00AF01F5"/>
    <w:rsid w:val="00B94D18"/>
    <w:rsid w:val="00C0067E"/>
    <w:rsid w:val="00C02A7E"/>
    <w:rsid w:val="00C458A8"/>
    <w:rsid w:val="00CC3082"/>
    <w:rsid w:val="00D22A93"/>
    <w:rsid w:val="00D32FC1"/>
    <w:rsid w:val="00DF29AA"/>
    <w:rsid w:val="00E067F2"/>
    <w:rsid w:val="00E6398E"/>
    <w:rsid w:val="00F538F2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LAHTI Normal,Calibri leipis"/>
    <w:qFormat/>
    <w:rsid w:val="00F538F2"/>
    <w:pPr>
      <w:tabs>
        <w:tab w:val="left" w:pos="2268"/>
        <w:tab w:val="left" w:pos="3402"/>
        <w:tab w:val="left" w:pos="4536"/>
      </w:tabs>
      <w:ind w:left="680"/>
      <w:contextualSpacing/>
    </w:pPr>
    <w:rPr>
      <w:rFonts w:ascii="Calibri" w:eastAsia="Times" w:hAnsi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clear" w:pos="2268"/>
        <w:tab w:val="clear" w:pos="3402"/>
        <w:tab w:val="clear" w:pos="4536"/>
      </w:tabs>
      <w:spacing w:before="240" w:after="60"/>
      <w:ind w:left="0"/>
      <w:contextualSpacing w:val="0"/>
      <w:outlineLvl w:val="0"/>
    </w:pPr>
    <w:rPr>
      <w:rFonts w:ascii="Arial" w:eastAsia="Times New Roman" w:hAnsi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F538F2"/>
    <w:pPr>
      <w:keepNext/>
      <w:jc w:val="right"/>
      <w:outlineLvl w:val="1"/>
    </w:pPr>
    <w:rPr>
      <w:rFonts w:ascii="Arial" w:hAnsi="Arial"/>
      <w:b/>
      <w:color w:val="86A9C4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538F2"/>
    <w:rPr>
      <w:rFonts w:ascii="Arial" w:eastAsia="Times" w:hAnsi="Arial"/>
      <w:b/>
      <w:color w:val="86A9C4"/>
      <w:sz w:val="32"/>
      <w:szCs w:val="24"/>
      <w:lang w:eastAsia="en-US"/>
    </w:rPr>
  </w:style>
  <w:style w:type="paragraph" w:styleId="Alatunniste">
    <w:name w:val="footer"/>
    <w:basedOn w:val="Normaali"/>
    <w:rsid w:val="00DF29AA"/>
    <w:pPr>
      <w:tabs>
        <w:tab w:val="clear" w:pos="2268"/>
        <w:tab w:val="clear" w:pos="3402"/>
        <w:tab w:val="clear" w:pos="4536"/>
        <w:tab w:val="center" w:pos="4819"/>
        <w:tab w:val="right" w:pos="9638"/>
      </w:tabs>
      <w:ind w:left="0"/>
      <w:contextualSpacing w:val="0"/>
    </w:pPr>
    <w:rPr>
      <w:rFonts w:ascii="Arial" w:eastAsia="Times New Roman" w:hAnsi="Arial" w:cs="Arial"/>
      <w:lang w:eastAsia="fi-FI"/>
    </w:rPr>
  </w:style>
  <w:style w:type="character" w:styleId="Sivunumero">
    <w:name w:val="page number"/>
    <w:basedOn w:val="Kappaleenoletusfontti"/>
  </w:style>
  <w:style w:type="paragraph" w:customStyle="1" w:styleId="KuntaToimistoTeksti">
    <w:name w:val="KuntaToimistoTeksti"/>
    <w:rsid w:val="00610ADE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Arial" w:hAnsi="Arial"/>
      <w:sz w:val="24"/>
    </w:rPr>
  </w:style>
  <w:style w:type="paragraph" w:customStyle="1" w:styleId="Asialuettelo">
    <w:name w:val="Asialuettelo"/>
    <w:basedOn w:val="Asiateksti"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rsid w:val="00610ADE"/>
    <w:pPr>
      <w:tabs>
        <w:tab w:val="clear" w:pos="2268"/>
        <w:tab w:val="clear" w:pos="3402"/>
        <w:tab w:val="clear" w:pos="4536"/>
      </w:tabs>
      <w:ind w:left="0"/>
      <w:contextualSpacing w:val="0"/>
    </w:pPr>
    <w:rPr>
      <w:rFonts w:ascii="Arial" w:eastAsia="Times New Roman" w:hAnsi="Arial"/>
      <w:szCs w:val="20"/>
      <w:lang w:eastAsia="fi-FI"/>
    </w:rPr>
  </w:style>
  <w:style w:type="paragraph" w:customStyle="1" w:styleId="TwebAsiateksti1">
    <w:name w:val="TwebAsiateksti1"/>
    <w:basedOn w:val="TwebTeksti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rsid w:val="00610ADE"/>
    <w:pPr>
      <w:ind w:left="5216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435006"/>
    <w:rPr>
      <w:b/>
      <w:szCs w:val="24"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Pr>
      <w:color w:val="0000FF"/>
      <w:u w:val="single"/>
    </w:rPr>
  </w:style>
  <w:style w:type="character" w:customStyle="1" w:styleId="leipislinkki1">
    <w:name w:val="leipislinkki1"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pPr>
      <w:tabs>
        <w:tab w:val="clear" w:pos="2268"/>
        <w:tab w:val="clear" w:pos="3402"/>
        <w:tab w:val="clear" w:pos="4536"/>
      </w:tabs>
      <w:ind w:left="0"/>
      <w:contextualSpacing w:val="0"/>
    </w:pPr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Alaluettelo">
    <w:name w:val="Alaluettelo"/>
    <w:basedOn w:val="Asialuettelo"/>
    <w:rsid w:val="00DF29AA"/>
    <w:pPr>
      <w:ind w:left="3895"/>
    </w:pPr>
  </w:style>
  <w:style w:type="paragraph" w:customStyle="1" w:styleId="makro">
    <w:name w:val="makro"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rsid w:val="00DF29AA"/>
    <w:pPr>
      <w:ind w:left="4819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LAHTI Normal,Calibri leipis"/>
    <w:qFormat/>
    <w:rsid w:val="00F538F2"/>
    <w:pPr>
      <w:tabs>
        <w:tab w:val="left" w:pos="2268"/>
        <w:tab w:val="left" w:pos="3402"/>
        <w:tab w:val="left" w:pos="4536"/>
      </w:tabs>
      <w:ind w:left="680"/>
      <w:contextualSpacing/>
    </w:pPr>
    <w:rPr>
      <w:rFonts w:ascii="Calibri" w:eastAsia="Times" w:hAnsi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clear" w:pos="2268"/>
        <w:tab w:val="clear" w:pos="3402"/>
        <w:tab w:val="clear" w:pos="4536"/>
      </w:tabs>
      <w:spacing w:before="240" w:after="60"/>
      <w:ind w:left="0"/>
      <w:contextualSpacing w:val="0"/>
      <w:outlineLvl w:val="0"/>
    </w:pPr>
    <w:rPr>
      <w:rFonts w:ascii="Arial" w:eastAsia="Times New Roman" w:hAnsi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F538F2"/>
    <w:pPr>
      <w:keepNext/>
      <w:jc w:val="right"/>
      <w:outlineLvl w:val="1"/>
    </w:pPr>
    <w:rPr>
      <w:rFonts w:ascii="Arial" w:hAnsi="Arial"/>
      <w:b/>
      <w:color w:val="86A9C4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538F2"/>
    <w:rPr>
      <w:rFonts w:ascii="Arial" w:eastAsia="Times" w:hAnsi="Arial"/>
      <w:b/>
      <w:color w:val="86A9C4"/>
      <w:sz w:val="32"/>
      <w:szCs w:val="24"/>
      <w:lang w:eastAsia="en-US"/>
    </w:rPr>
  </w:style>
  <w:style w:type="paragraph" w:styleId="Alatunniste">
    <w:name w:val="footer"/>
    <w:basedOn w:val="Normaali"/>
    <w:rsid w:val="00DF29AA"/>
    <w:pPr>
      <w:tabs>
        <w:tab w:val="clear" w:pos="2268"/>
        <w:tab w:val="clear" w:pos="3402"/>
        <w:tab w:val="clear" w:pos="4536"/>
        <w:tab w:val="center" w:pos="4819"/>
        <w:tab w:val="right" w:pos="9638"/>
      </w:tabs>
      <w:ind w:left="0"/>
      <w:contextualSpacing w:val="0"/>
    </w:pPr>
    <w:rPr>
      <w:rFonts w:ascii="Arial" w:eastAsia="Times New Roman" w:hAnsi="Arial" w:cs="Arial"/>
      <w:lang w:eastAsia="fi-FI"/>
    </w:rPr>
  </w:style>
  <w:style w:type="character" w:styleId="Sivunumero">
    <w:name w:val="page number"/>
    <w:basedOn w:val="Kappaleenoletusfontti"/>
  </w:style>
  <w:style w:type="paragraph" w:customStyle="1" w:styleId="KuntaToimistoTeksti">
    <w:name w:val="KuntaToimistoTeksti"/>
    <w:rsid w:val="00610ADE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Arial" w:hAnsi="Arial"/>
      <w:sz w:val="24"/>
    </w:rPr>
  </w:style>
  <w:style w:type="paragraph" w:customStyle="1" w:styleId="Asialuettelo">
    <w:name w:val="Asialuettelo"/>
    <w:basedOn w:val="Asiateksti"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rsid w:val="00610ADE"/>
    <w:pPr>
      <w:tabs>
        <w:tab w:val="clear" w:pos="2268"/>
        <w:tab w:val="clear" w:pos="3402"/>
        <w:tab w:val="clear" w:pos="4536"/>
      </w:tabs>
      <w:ind w:left="0"/>
      <w:contextualSpacing w:val="0"/>
    </w:pPr>
    <w:rPr>
      <w:rFonts w:ascii="Arial" w:eastAsia="Times New Roman" w:hAnsi="Arial"/>
      <w:szCs w:val="20"/>
      <w:lang w:eastAsia="fi-FI"/>
    </w:rPr>
  </w:style>
  <w:style w:type="paragraph" w:customStyle="1" w:styleId="TwebAsiateksti1">
    <w:name w:val="TwebAsiateksti1"/>
    <w:basedOn w:val="TwebTeksti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rsid w:val="00610ADE"/>
    <w:pPr>
      <w:ind w:left="5216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435006"/>
    <w:rPr>
      <w:b/>
      <w:szCs w:val="24"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Pr>
      <w:color w:val="0000FF"/>
      <w:u w:val="single"/>
    </w:rPr>
  </w:style>
  <w:style w:type="character" w:customStyle="1" w:styleId="leipislinkki1">
    <w:name w:val="leipislinkki1"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pPr>
      <w:tabs>
        <w:tab w:val="clear" w:pos="2268"/>
        <w:tab w:val="clear" w:pos="3402"/>
        <w:tab w:val="clear" w:pos="4536"/>
      </w:tabs>
      <w:ind w:left="0"/>
      <w:contextualSpacing w:val="0"/>
    </w:pPr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Alaluettelo">
    <w:name w:val="Alaluettelo"/>
    <w:basedOn w:val="Asialuettelo"/>
    <w:rsid w:val="00DF29AA"/>
    <w:pPr>
      <w:ind w:left="3895"/>
    </w:pPr>
  </w:style>
  <w:style w:type="paragraph" w:customStyle="1" w:styleId="makro">
    <w:name w:val="makro"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rsid w:val="00DF29AA"/>
    <w:pPr>
      <w:ind w:left="4819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karainens\AppData\Local\Microsoft\Windows\Temporary%20Internet%20Files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B845-0BC4-4EBD-A7E5-E84C7DB3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2</Pages>
  <Words>673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</vt:lpstr>
    </vt:vector>
  </TitlesOfParts>
  <Company>Ympäristöhallinto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</dc:title>
  <dc:subject>tweb.dot</dc:subject>
  <dc:creator>Lahden kaupunki</dc:creator>
  <dc:description>Lahti</dc:description>
  <cp:lastModifiedBy>Hakkarainen Satu</cp:lastModifiedBy>
  <cp:revision>2</cp:revision>
  <dcterms:created xsi:type="dcterms:W3CDTF">2016-05-30T13:54:00Z</dcterms:created>
  <dcterms:modified xsi:type="dcterms:W3CDTF">2016-05-30T13:54:00Z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2605">
    <vt:lpwstr>Dyn.viranhaltija</vt:lpwstr>
  </property>
  <property fmtid="{D5CDD505-2E9C-101B-9397-08002B2CF9AE}" pid="66" name="tweb_doc_2606">
    <vt:lpwstr>Dyn.päätöslaji</vt:lpwstr>
  </property>
  <property fmtid="{D5CDD505-2E9C-101B-9397-08002B2CF9AE}" pid="67" name="tweb_doc_2607">
    <vt:lpwstr>Dyn.viranhaltijan nimi</vt:lpwstr>
  </property>
  <property fmtid="{D5CDD505-2E9C-101B-9397-08002B2CF9AE}" pid="68" name="tweb_doc_2608">
    <vt:lpwstr>Dyn.nähtävillä pvm</vt:lpwstr>
  </property>
  <property fmtid="{D5CDD505-2E9C-101B-9397-08002B2CF9AE}" pid="69" name="tweb_doc_2609">
    <vt:lpwstr>Dyn.nähtävilläolopaikka</vt:lpwstr>
  </property>
  <property fmtid="{D5CDD505-2E9C-101B-9397-08002B2CF9AE}" pid="70" name="tweb_doc_2610">
    <vt:lpwstr>Dyn.yksikkö</vt:lpwstr>
  </property>
  <property fmtid="{D5CDD505-2E9C-101B-9397-08002B2CF9AE}" pid="71" name="TwebKey">
    <vt:lpwstr>ce0976b58d1212d0b448b1669b69aa#twebsov1.ad.lahti.fi!/TWeb/toaxfront!8080!0</vt:lpwstr>
  </property>
</Properties>
</file>