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5C7715" w:rsidRPr="00C6102F" w:rsidTr="00E64D67">
        <w:trPr>
          <w:gridAfter w:val="1"/>
          <w:wAfter w:w="4703" w:type="dxa"/>
          <w:trHeight w:val="2143"/>
        </w:trPr>
        <w:tc>
          <w:tcPr>
            <w:tcW w:w="5212" w:type="dxa"/>
          </w:tcPr>
          <w:bookmarkStart w:id="0" w:name="zletterreceiver"/>
          <w:bookmarkStart w:id="1" w:name="_GoBack"/>
          <w:bookmarkEnd w:id="1"/>
          <w:p w:rsidR="005C7715" w:rsidRPr="00C6102F" w:rsidRDefault="00CE7473" w:rsidP="00E604F0">
            <w:pPr>
              <w:ind w:left="397"/>
            </w:pPr>
            <w:r>
              <w:fldChar w:fldCharType="begin"/>
            </w:r>
            <w:r>
              <w:instrText xml:space="preserve"> HYPERLINK "mailto:</w:instrText>
            </w:r>
            <w:r w:rsidRPr="00CE7473">
              <w:instrText>kirjaamo.ym@ymparisto.fi</w:instrText>
            </w:r>
            <w:r>
              <w:instrText xml:space="preserve">" </w:instrText>
            </w:r>
            <w:r>
              <w:fldChar w:fldCharType="separate"/>
            </w:r>
            <w:r w:rsidRPr="00024C5C">
              <w:rPr>
                <w:rStyle w:val="Hyperlinkki"/>
              </w:rPr>
              <w:t>kirjaamo.ym@ymparisto.fi</w:t>
            </w:r>
            <w:r>
              <w:fldChar w:fldCharType="end"/>
            </w:r>
            <w:r w:rsidR="00155A6F">
              <w:t xml:space="preserve"> </w:t>
            </w:r>
          </w:p>
        </w:tc>
      </w:tr>
      <w:bookmarkEnd w:id="0"/>
      <w:tr w:rsidR="005C7715" w:rsidRPr="00C6102F" w:rsidTr="00E64D67">
        <w:tc>
          <w:tcPr>
            <w:tcW w:w="9915" w:type="dxa"/>
            <w:gridSpan w:val="2"/>
          </w:tcPr>
          <w:p w:rsidR="00F347F1" w:rsidRDefault="00F347F1" w:rsidP="00E604F0"/>
          <w:p w:rsidR="005C7715" w:rsidRPr="00C6102F" w:rsidRDefault="00A62211" w:rsidP="00E604F0">
            <w:r>
              <w:t>YM008:00/2015</w:t>
            </w:r>
          </w:p>
        </w:tc>
      </w:tr>
      <w:tr w:rsidR="005C7715" w:rsidRPr="00C6102F" w:rsidTr="00E64D67">
        <w:tc>
          <w:tcPr>
            <w:tcW w:w="9915" w:type="dxa"/>
            <w:gridSpan w:val="2"/>
          </w:tcPr>
          <w:p w:rsidR="005C7715" w:rsidRPr="00C6102F" w:rsidRDefault="005C7715" w:rsidP="00E604F0"/>
        </w:tc>
      </w:tr>
      <w:tr w:rsidR="005C7715" w:rsidRPr="00C6102F" w:rsidTr="00E64D67">
        <w:trPr>
          <w:trHeight w:val="550"/>
        </w:trPr>
        <w:tc>
          <w:tcPr>
            <w:tcW w:w="9915" w:type="dxa"/>
            <w:gridSpan w:val="2"/>
          </w:tcPr>
          <w:p w:rsidR="005C7715" w:rsidRPr="00425048" w:rsidRDefault="003D083C" w:rsidP="00CE5C79">
            <w:pPr>
              <w:pStyle w:val="PaaOtsikko"/>
              <w:rPr>
                <w:color w:val="FF0000"/>
              </w:rPr>
            </w:pPr>
            <w:bookmarkStart w:id="2" w:name="dtitle"/>
            <w:r>
              <w:t>Liikenneviraston lausunto luonnoksesta hallituksen esitykse</w:t>
            </w:r>
            <w:bookmarkEnd w:id="2"/>
            <w:r w:rsidR="00F45944">
              <w:t xml:space="preserve">ksi </w:t>
            </w:r>
            <w:r w:rsidR="00CE5C79">
              <w:t>ympäristövaikutusten arviointimenettelystä ja laeiksi eräiden siihen liittyvien lakien muuttamisesta</w:t>
            </w:r>
          </w:p>
        </w:tc>
      </w:tr>
    </w:tbl>
    <w:p w:rsidR="0058250F" w:rsidRDefault="0058250F" w:rsidP="007F3A77">
      <w:pPr>
        <w:pStyle w:val="Sis2"/>
        <w:jc w:val="both"/>
      </w:pPr>
    </w:p>
    <w:p w:rsidR="0058250F" w:rsidRDefault="0058250F" w:rsidP="007F3A77">
      <w:pPr>
        <w:pStyle w:val="Sis2"/>
        <w:jc w:val="both"/>
      </w:pPr>
    </w:p>
    <w:p w:rsidR="00F97DEB" w:rsidRPr="00C6102F" w:rsidRDefault="00E22F99" w:rsidP="007F3A77">
      <w:pPr>
        <w:pStyle w:val="Sis2"/>
        <w:jc w:val="both"/>
      </w:pPr>
      <w:r>
        <w:t>Muutos</w:t>
      </w:r>
      <w:r w:rsidR="009B7577">
        <w:t>esityksen</w:t>
      </w:r>
      <w:r w:rsidR="00DA4982">
        <w:t xml:space="preserve"> sisältönä on </w:t>
      </w:r>
      <w:r w:rsidR="00A63FBA">
        <w:t>toimeenpanna ympäristövaikutusten arvioi</w:t>
      </w:r>
      <w:r w:rsidR="00A63FBA">
        <w:t>n</w:t>
      </w:r>
      <w:r w:rsidR="00A63FBA">
        <w:t>nista (YVA) annetun direktiivin muutokset (2014/52/EU) sekä sujuvoittaa YVA- ja muita ympäristöllisiä menettelyjä. Laki ympäristövaikutusten arv</w:t>
      </w:r>
      <w:r w:rsidR="00A63FBA">
        <w:t>i</w:t>
      </w:r>
      <w:r w:rsidR="00A63FBA">
        <w:t xml:space="preserve">ointimenettelystä (468/1994) uudistettaisiin ja </w:t>
      </w:r>
      <w:r w:rsidR="00D04715">
        <w:t xml:space="preserve">esitykseen sisältyviin </w:t>
      </w:r>
      <w:r w:rsidR="00A63FBA">
        <w:t>sektor</w:t>
      </w:r>
      <w:r w:rsidR="00A63FBA">
        <w:t>i</w:t>
      </w:r>
      <w:r w:rsidR="00A63FBA">
        <w:t>lakeihin</w:t>
      </w:r>
      <w:r w:rsidR="00D04715">
        <w:t>, joiden mukaisissa hankkeissa sovelletaan YVA-menettelyä,</w:t>
      </w:r>
      <w:r w:rsidR="00A63FBA">
        <w:t xml:space="preserve"> te</w:t>
      </w:r>
      <w:r w:rsidR="00A63FBA">
        <w:t>h</w:t>
      </w:r>
      <w:r w:rsidR="00A63FBA">
        <w:t>täisiin tarvittavat muutokset.</w:t>
      </w:r>
      <w:r w:rsidR="00F97DEB">
        <w:t xml:space="preserve"> Liikenneviraston edustaja on jäsenenä esity</w:t>
      </w:r>
      <w:r w:rsidR="00F97DEB">
        <w:t>k</w:t>
      </w:r>
      <w:r w:rsidR="00F97DEB">
        <w:t>sen valmistelleessa työryhmässä ja edustaa siellä liikenne- ja viestintäm</w:t>
      </w:r>
      <w:r w:rsidR="00F97DEB">
        <w:t>i</w:t>
      </w:r>
      <w:r w:rsidR="00F97DEB">
        <w:t>nisteriön hallinnonalaa.</w:t>
      </w:r>
    </w:p>
    <w:p w:rsidR="00E64D67" w:rsidRPr="00C6102F" w:rsidRDefault="00E64D67" w:rsidP="007F3A77">
      <w:pPr>
        <w:pStyle w:val="Sis2"/>
        <w:jc w:val="both"/>
      </w:pPr>
    </w:p>
    <w:p w:rsidR="00A63FBA" w:rsidRDefault="00E64D67" w:rsidP="007F3A77">
      <w:pPr>
        <w:pStyle w:val="Sis2"/>
        <w:jc w:val="both"/>
      </w:pPr>
      <w:r w:rsidRPr="00C6102F">
        <w:t xml:space="preserve">Liikennevirasto on perehtynyt </w:t>
      </w:r>
      <w:r w:rsidR="00CE5C79">
        <w:t>ympäristöministeriön</w:t>
      </w:r>
      <w:r w:rsidRPr="00C6102F">
        <w:t xml:space="preserve"> </w:t>
      </w:r>
      <w:r w:rsidR="00CE5C79">
        <w:t>(Y</w:t>
      </w:r>
      <w:r w:rsidR="00F719D6">
        <w:t xml:space="preserve">M) </w:t>
      </w:r>
      <w:r w:rsidR="00570537">
        <w:t>esitykseen ja esi</w:t>
      </w:r>
      <w:r w:rsidR="00570537">
        <w:t>t</w:t>
      </w:r>
      <w:r w:rsidR="00570537">
        <w:t xml:space="preserve">tää lausuntonaan </w:t>
      </w:r>
      <w:r w:rsidRPr="00C6102F">
        <w:t>seuraavaa:</w:t>
      </w:r>
    </w:p>
    <w:p w:rsidR="00393A83" w:rsidRDefault="00393A83" w:rsidP="007F3A77">
      <w:pPr>
        <w:pStyle w:val="Sis2"/>
        <w:jc w:val="both"/>
      </w:pPr>
    </w:p>
    <w:p w:rsidR="00393A83" w:rsidRPr="006E0DE4" w:rsidRDefault="00393A83" w:rsidP="007F3A77">
      <w:pPr>
        <w:pStyle w:val="Sis2"/>
        <w:jc w:val="both"/>
      </w:pPr>
      <w:r w:rsidRPr="006E0DE4">
        <w:t>Liikennevirasto pitää työryhmän tavoitteita menettelyjen joustavoittamise</w:t>
      </w:r>
      <w:r w:rsidRPr="006E0DE4">
        <w:t>s</w:t>
      </w:r>
      <w:r w:rsidRPr="006E0DE4">
        <w:t>ta ja sujuvoittamisesta erittäin kannatettavina. Suurimmissa väylähan</w:t>
      </w:r>
      <w:r w:rsidRPr="006E0DE4">
        <w:t>k</w:t>
      </w:r>
      <w:r w:rsidRPr="006E0DE4">
        <w:t>keissa, jotka ku</w:t>
      </w:r>
      <w:r w:rsidR="00BD7238" w:rsidRPr="006E0DE4">
        <w:t>u</w:t>
      </w:r>
      <w:r w:rsidRPr="006E0DE4">
        <w:t>luvat YVA-menettelyn piiriin, laaditaan aina myös maa</w:t>
      </w:r>
      <w:r w:rsidRPr="006E0DE4">
        <w:t>n</w:t>
      </w:r>
      <w:r w:rsidRPr="006E0DE4">
        <w:t>tielain</w:t>
      </w:r>
      <w:r w:rsidR="006E0DE4">
        <w:t xml:space="preserve"> (503/2005)</w:t>
      </w:r>
      <w:r w:rsidRPr="006E0DE4">
        <w:t xml:space="preserve"> ja ratalain</w:t>
      </w:r>
      <w:r w:rsidR="006E0DE4">
        <w:t xml:space="preserve"> (110/2007)</w:t>
      </w:r>
      <w:r w:rsidRPr="006E0DE4">
        <w:t xml:space="preserve"> mukaiset suunnitelmat ja lisäksi suunnittelutilanteesta riippuen myös useita </w:t>
      </w:r>
      <w:r w:rsidR="00BD7238" w:rsidRPr="006E0DE4">
        <w:t xml:space="preserve">maankäyttö- ja rakennuslain </w:t>
      </w:r>
      <w:r w:rsidR="006E0DE4">
        <w:t xml:space="preserve">(132/1999) </w:t>
      </w:r>
      <w:r w:rsidR="00BD7238" w:rsidRPr="006E0DE4">
        <w:t xml:space="preserve">mukaisia </w:t>
      </w:r>
      <w:r w:rsidRPr="006E0DE4">
        <w:t>kaavoja tai kaava</w:t>
      </w:r>
      <w:r w:rsidR="00BD7238" w:rsidRPr="006E0DE4">
        <w:t xml:space="preserve">n </w:t>
      </w:r>
      <w:r w:rsidRPr="006E0DE4">
        <w:t>muutoksia.</w:t>
      </w:r>
      <w:r w:rsidR="006E0DE4" w:rsidRPr="006E0DE4">
        <w:t xml:space="preserve"> Vesiväylien osalta haetaan aina vesilain </w:t>
      </w:r>
      <w:r w:rsidR="000F086E">
        <w:t xml:space="preserve">(587/2011) </w:t>
      </w:r>
      <w:r w:rsidR="006E0DE4" w:rsidRPr="006E0DE4">
        <w:t>mukaista ja usein myös ympäristösuoj</w:t>
      </w:r>
      <w:r w:rsidR="006E0DE4" w:rsidRPr="006E0DE4">
        <w:t>e</w:t>
      </w:r>
      <w:r w:rsidR="006E0DE4" w:rsidRPr="006E0DE4">
        <w:t xml:space="preserve">lulain </w:t>
      </w:r>
      <w:r w:rsidR="000F086E">
        <w:t xml:space="preserve">(527/2014) </w:t>
      </w:r>
      <w:r w:rsidR="006E0DE4" w:rsidRPr="006E0DE4">
        <w:t>mukaista lupaa.</w:t>
      </w:r>
    </w:p>
    <w:p w:rsidR="00916DF7" w:rsidRDefault="00916DF7" w:rsidP="007F3A77">
      <w:pPr>
        <w:pStyle w:val="Sis2"/>
        <w:jc w:val="both"/>
      </w:pPr>
    </w:p>
    <w:p w:rsidR="00916DF7" w:rsidRDefault="00916DF7" w:rsidP="007F3A77">
      <w:pPr>
        <w:pStyle w:val="Sis2"/>
        <w:jc w:val="both"/>
      </w:pPr>
      <w:r>
        <w:t>Hankkeiden vaikutusten arvioinnin kohdistaminen todennäköisiin merkitt</w:t>
      </w:r>
      <w:r>
        <w:t>ä</w:t>
      </w:r>
      <w:r>
        <w:t xml:space="preserve">viin vaikutuksiin on </w:t>
      </w:r>
      <w:r w:rsidR="00BD7238">
        <w:t xml:space="preserve">Liikenneviraston näkökulmasta </w:t>
      </w:r>
      <w:r w:rsidR="00CE7473">
        <w:t xml:space="preserve">myös </w:t>
      </w:r>
      <w:r>
        <w:t>kannatettavaa. Käytännön soveltamistoiminnassa nähtäväksi jää, millä tavoin muutos va</w:t>
      </w:r>
      <w:r>
        <w:t>i</w:t>
      </w:r>
      <w:r>
        <w:t xml:space="preserve">kuttaa arviointien kohdistumiseen ja </w:t>
      </w:r>
      <w:r w:rsidR="002B05CB">
        <w:t>laajuuteen</w:t>
      </w:r>
      <w:r>
        <w:t>.</w:t>
      </w:r>
    </w:p>
    <w:p w:rsidR="00A63FBA" w:rsidRDefault="00A63FBA" w:rsidP="007F3A77">
      <w:pPr>
        <w:pStyle w:val="Sis2"/>
        <w:jc w:val="both"/>
      </w:pPr>
    </w:p>
    <w:p w:rsidR="00071847" w:rsidRPr="00393A83" w:rsidRDefault="0058640B" w:rsidP="007F3A77">
      <w:pPr>
        <w:pStyle w:val="Sis2"/>
        <w:jc w:val="both"/>
        <w:rPr>
          <w:i/>
        </w:rPr>
      </w:pPr>
      <w:r w:rsidRPr="00393A83">
        <w:rPr>
          <w:i/>
        </w:rPr>
        <w:t xml:space="preserve">Maantielain </w:t>
      </w:r>
      <w:r w:rsidR="00A63FBA" w:rsidRPr="00393A83">
        <w:rPr>
          <w:i/>
        </w:rPr>
        <w:t>ja ratalain muutosehdotukset</w:t>
      </w:r>
    </w:p>
    <w:p w:rsidR="00E64D67" w:rsidRDefault="00E64D67" w:rsidP="007F3A77">
      <w:pPr>
        <w:pStyle w:val="Sis2"/>
        <w:jc w:val="both"/>
      </w:pPr>
    </w:p>
    <w:p w:rsidR="00A63FBA" w:rsidRDefault="00F97DEB" w:rsidP="007F3A77">
      <w:pPr>
        <w:pStyle w:val="Sis2"/>
        <w:jc w:val="both"/>
      </w:pPr>
      <w:r>
        <w:t>Esityksessä ehdotetaan</w:t>
      </w:r>
      <w:r w:rsidR="008003BF">
        <w:t xml:space="preserve"> maantielakia ja ratalakia muutettavaksi siten, että YVA:n huomioimista suunnitelmien hyväksymismenettelyssä koskevat </w:t>
      </w:r>
      <w:r w:rsidR="008003BF">
        <w:lastRenderedPageBreak/>
        <w:t xml:space="preserve">säännökset muutettaisiin luonteeltaan viittaussäännöksiksi ja </w:t>
      </w:r>
      <w:r w:rsidR="00393A83">
        <w:t xml:space="preserve">varsinaiset </w:t>
      </w:r>
      <w:r w:rsidR="008003BF">
        <w:t>arviointia ja sen huomioimista lupamenettelyssä koskevat säännökset s</w:t>
      </w:r>
      <w:r w:rsidR="008003BF">
        <w:t>i</w:t>
      </w:r>
      <w:r w:rsidR="008003BF">
        <w:t>sällytettäisiin YVA-lakiin. Liikennevirasto pitää ehdotettua ratkaisua säänt</w:t>
      </w:r>
      <w:r w:rsidR="008003BF">
        <w:t>e</w:t>
      </w:r>
      <w:r w:rsidR="008E5333">
        <w:t>lyllisesti selkeänä</w:t>
      </w:r>
      <w:r w:rsidR="008003BF">
        <w:t>.</w:t>
      </w:r>
    </w:p>
    <w:p w:rsidR="00A62211" w:rsidRDefault="00A62211" w:rsidP="007F3A77">
      <w:pPr>
        <w:pStyle w:val="Sis2"/>
        <w:jc w:val="both"/>
      </w:pPr>
    </w:p>
    <w:p w:rsidR="00A62211" w:rsidRDefault="00A62211" w:rsidP="007F3A77">
      <w:pPr>
        <w:pStyle w:val="Sis2"/>
        <w:jc w:val="both"/>
      </w:pPr>
      <w:r>
        <w:t>Liikennevirasto on tehnyt oman esityksensä menettelyjen sujuvoittamiseksi</w:t>
      </w:r>
      <w:r w:rsidR="00421349">
        <w:t xml:space="preserve"> YVA-men</w:t>
      </w:r>
      <w:r w:rsidR="006E0DE4">
        <w:t>ettelyn piiriin kuuluvissa maantie- ja rata</w:t>
      </w:r>
      <w:r w:rsidR="00421349">
        <w:t xml:space="preserve">hankkeissa. Voimassa oleva maantielaki </w:t>
      </w:r>
      <w:r w:rsidR="00D04715">
        <w:t>(</w:t>
      </w:r>
      <w:r w:rsidR="00421349">
        <w:t>ja</w:t>
      </w:r>
      <w:r w:rsidR="00D04715">
        <w:t xml:space="preserve"> vastaavasti</w:t>
      </w:r>
      <w:r w:rsidR="00421349">
        <w:t xml:space="preserve"> ratalaki</w:t>
      </w:r>
      <w:r w:rsidR="00D04715">
        <w:t>)</w:t>
      </w:r>
      <w:r w:rsidR="00421349">
        <w:t xml:space="preserve"> edellyttää näiden lakien mukai</w:t>
      </w:r>
      <w:r w:rsidR="00421349">
        <w:t>s</w:t>
      </w:r>
      <w:r w:rsidR="00421349">
        <w:t>ten</w:t>
      </w:r>
      <w:r w:rsidR="00D04715">
        <w:t xml:space="preserve"> yleissuunnitelmien laatimista aina, kun hankkeeseen on sovellettu YVA-menettelyä. Tämä vaatimus on käytännössä osoittautunut tarpeett</w:t>
      </w:r>
      <w:r w:rsidR="00D04715">
        <w:t>o</w:t>
      </w:r>
      <w:r w:rsidR="00D04715">
        <w:t xml:space="preserve">man </w:t>
      </w:r>
      <w:r w:rsidR="0027687C">
        <w:t>tiukaksi ja Liikenneviraston ehdotus on, että ehdottomasta yleissuu</w:t>
      </w:r>
      <w:r w:rsidR="0027687C">
        <w:t>n</w:t>
      </w:r>
      <w:r w:rsidR="0027687C">
        <w:t xml:space="preserve">nitelman vaatimuksesta </w:t>
      </w:r>
      <w:r w:rsidR="00B56A6A">
        <w:t>luovuttaisiin</w:t>
      </w:r>
      <w:r w:rsidR="0027687C">
        <w:t xml:space="preserve"> tilanteissa, jossa vaikutusten arviointi </w:t>
      </w:r>
      <w:r w:rsidR="00B56A6A">
        <w:t xml:space="preserve">YVA-menettelyn ohella </w:t>
      </w:r>
      <w:r w:rsidR="0027687C">
        <w:t>muissa suunnittelun prosesseissa voidaan katsoa riittäväksi (lähinnä oikeusvaikutteisen kaavan yhteydessä</w:t>
      </w:r>
      <w:r w:rsidR="00B56A6A">
        <w:t xml:space="preserve"> tehtävä vaikutu</w:t>
      </w:r>
      <w:r w:rsidR="00B56A6A">
        <w:t>s</w:t>
      </w:r>
      <w:r w:rsidR="00B56A6A">
        <w:t>ten arviointi</w:t>
      </w:r>
      <w:r w:rsidR="0027687C">
        <w:t xml:space="preserve">). </w:t>
      </w:r>
      <w:r w:rsidR="00FA449C">
        <w:t>Muutosehdotus koskisi maantielain 11 §:ä ja ratalain 18 §:ä.</w:t>
      </w:r>
    </w:p>
    <w:p w:rsidR="00393A83" w:rsidRDefault="00393A83" w:rsidP="007F3A77">
      <w:pPr>
        <w:pStyle w:val="Sis2"/>
        <w:jc w:val="both"/>
      </w:pPr>
    </w:p>
    <w:p w:rsidR="00F320BB" w:rsidRDefault="00A33DA0" w:rsidP="007F3A77">
      <w:pPr>
        <w:pStyle w:val="Sis2"/>
        <w:jc w:val="both"/>
        <w:rPr>
          <w:i/>
        </w:rPr>
      </w:pPr>
      <w:r>
        <w:rPr>
          <w:i/>
        </w:rPr>
        <w:t>YVA-menettelyn piiriin kuuluvat väylähankkeet</w:t>
      </w:r>
    </w:p>
    <w:p w:rsidR="00F320BB" w:rsidRDefault="00F320BB" w:rsidP="007F3A77">
      <w:pPr>
        <w:pStyle w:val="Sis2"/>
        <w:jc w:val="both"/>
        <w:rPr>
          <w:i/>
        </w:rPr>
      </w:pPr>
    </w:p>
    <w:p w:rsidR="00F320BB" w:rsidRPr="00F73441" w:rsidRDefault="003D083C" w:rsidP="007F3A77">
      <w:pPr>
        <w:pStyle w:val="Sis2"/>
        <w:jc w:val="both"/>
      </w:pPr>
      <w:r>
        <w:t xml:space="preserve">Asetuksesta </w:t>
      </w:r>
      <w:r w:rsidR="008A36E9" w:rsidRPr="00F73441">
        <w:t xml:space="preserve">lain liitteeksi </w:t>
      </w:r>
      <w:r w:rsidR="003133DA">
        <w:t xml:space="preserve">1 </w:t>
      </w:r>
      <w:r w:rsidR="008A36E9" w:rsidRPr="00F73441">
        <w:t xml:space="preserve">siirtyvään hankeluetteloon ei </w:t>
      </w:r>
      <w:r w:rsidR="00421349" w:rsidRPr="00F73441">
        <w:t>ole ehdotettu muutoksia tässä yhteydessä. Liikennevirasto toteaa, että väyläh</w:t>
      </w:r>
      <w:r w:rsidR="00BD7238" w:rsidRPr="00F73441">
        <w:t>ankkeiden vaikutusten arviointia voitaisiin</w:t>
      </w:r>
      <w:r w:rsidR="00421349" w:rsidRPr="00F73441">
        <w:t xml:space="preserve"> suj</w:t>
      </w:r>
      <w:r w:rsidR="00BD7238" w:rsidRPr="00F73441">
        <w:t xml:space="preserve">uvoittaa ja keventää erityisesti väylien </w:t>
      </w:r>
      <w:r w:rsidR="00F73441" w:rsidRPr="00F73441">
        <w:t>parantamishankkeiden yhteydessä. Näissä tilanteissa muutokset koskevat olemassa olevaa väylää eikä tällöin</w:t>
      </w:r>
      <w:r w:rsidR="00BD7238" w:rsidRPr="00F73441">
        <w:t xml:space="preserve"> </w:t>
      </w:r>
      <w:r w:rsidR="005C5F1E">
        <w:t xml:space="preserve">käytännössä </w:t>
      </w:r>
      <w:r w:rsidR="00BD7238" w:rsidRPr="00F73441">
        <w:t>ole kuin yksi tarkastelt</w:t>
      </w:r>
      <w:r w:rsidR="00BD7238" w:rsidRPr="00F73441">
        <w:t>a</w:t>
      </w:r>
      <w:r w:rsidR="00BD7238" w:rsidRPr="00F73441">
        <w:t>va vaihtoeh</w:t>
      </w:r>
      <w:r w:rsidR="005C5F1E">
        <w:t>to. K</w:t>
      </w:r>
      <w:r w:rsidR="00BD7238" w:rsidRPr="00F73441">
        <w:t>aavoituksen sekä väyläsuunnittelun yhteydessä</w:t>
      </w:r>
      <w:r w:rsidR="00D04715" w:rsidRPr="00F73441">
        <w:t xml:space="preserve"> arvioidaan hankkeen toteuttamisen vaikutuk</w:t>
      </w:r>
      <w:r w:rsidR="00943590" w:rsidRPr="00F73441">
        <w:t>sia, mukaan lukien ympäristövai</w:t>
      </w:r>
      <w:r w:rsidR="00D04715" w:rsidRPr="00F73441">
        <w:t>kutukset.</w:t>
      </w:r>
      <w:r w:rsidR="00BD7238" w:rsidRPr="00F73441">
        <w:t xml:space="preserve"> </w:t>
      </w:r>
      <w:r w:rsidR="004F0CF3">
        <w:t>Sujuvoittaminen</w:t>
      </w:r>
      <w:r w:rsidR="00BD7238" w:rsidRPr="00F73441">
        <w:t xml:space="preserve"> onnistuisi mah</w:t>
      </w:r>
      <w:r w:rsidR="00421349" w:rsidRPr="00F73441">
        <w:t xml:space="preserve">dollisesti </w:t>
      </w:r>
      <w:r w:rsidR="00BD7238" w:rsidRPr="00F73441">
        <w:t xml:space="preserve">säännösten </w:t>
      </w:r>
      <w:r w:rsidR="00421349" w:rsidRPr="00F73441">
        <w:t>tulkinnan</w:t>
      </w:r>
      <w:r w:rsidR="00BD7238" w:rsidRPr="00F73441">
        <w:t xml:space="preserve"> ja </w:t>
      </w:r>
      <w:r w:rsidR="00D04715" w:rsidRPr="00F73441">
        <w:t>vira</w:t>
      </w:r>
      <w:r w:rsidR="00D04715" w:rsidRPr="00F73441">
        <w:t>n</w:t>
      </w:r>
      <w:r w:rsidR="00D04715" w:rsidRPr="00F73441">
        <w:t>omais</w:t>
      </w:r>
      <w:r w:rsidR="00BD7238" w:rsidRPr="00F73441">
        <w:t>käytäntöjen muutoksilla</w:t>
      </w:r>
      <w:r w:rsidR="00D04715" w:rsidRPr="00F73441">
        <w:t>,</w:t>
      </w:r>
      <w:r w:rsidR="00BD7238" w:rsidRPr="00F73441">
        <w:t xml:space="preserve"> ilman säännösmuutoksia.</w:t>
      </w:r>
    </w:p>
    <w:p w:rsidR="00F320BB" w:rsidRDefault="00F320BB" w:rsidP="007F3A77">
      <w:pPr>
        <w:pStyle w:val="Sis2"/>
        <w:jc w:val="both"/>
        <w:rPr>
          <w:i/>
        </w:rPr>
      </w:pPr>
    </w:p>
    <w:p w:rsidR="00393A83" w:rsidRPr="00393A83" w:rsidRDefault="00393A83" w:rsidP="007F3A77">
      <w:pPr>
        <w:pStyle w:val="Sis2"/>
        <w:jc w:val="both"/>
        <w:rPr>
          <w:i/>
        </w:rPr>
      </w:pPr>
      <w:r w:rsidRPr="00393A83">
        <w:rPr>
          <w:i/>
        </w:rPr>
        <w:t>Hankekaavoituksen ja YVA-menettelyn yhdistäminen</w:t>
      </w:r>
    </w:p>
    <w:p w:rsidR="008003BF" w:rsidRDefault="008003BF" w:rsidP="007F3A77">
      <w:pPr>
        <w:pStyle w:val="Sis2"/>
        <w:jc w:val="both"/>
      </w:pPr>
    </w:p>
    <w:p w:rsidR="00943590" w:rsidRDefault="00393A83" w:rsidP="007F3A77">
      <w:pPr>
        <w:pStyle w:val="Sis2"/>
        <w:jc w:val="both"/>
      </w:pPr>
      <w:r>
        <w:t>Liikennevi</w:t>
      </w:r>
      <w:r w:rsidR="00FE247F">
        <w:t>raston näkökulmasta vaihtoehto B</w:t>
      </w:r>
      <w:r>
        <w:t xml:space="preserve"> eli </w:t>
      </w:r>
      <w:r w:rsidR="00421349">
        <w:t xml:space="preserve">hankekaavoituksen ja YVA-menettelyn yhdistämisen mahdollistaminen </w:t>
      </w:r>
      <w:r>
        <w:t xml:space="preserve">on </w:t>
      </w:r>
      <w:r w:rsidR="00FE247F">
        <w:t>esitetyistä vaihtoe</w:t>
      </w:r>
      <w:r w:rsidR="00FE247F">
        <w:t>h</w:t>
      </w:r>
      <w:r w:rsidR="00FE247F">
        <w:t xml:space="preserve">doista </w:t>
      </w:r>
      <w:r>
        <w:t>kannatetta</w:t>
      </w:r>
      <w:r w:rsidR="00421349">
        <w:t>vin</w:t>
      </w:r>
      <w:r>
        <w:t>.</w:t>
      </w:r>
      <w:r w:rsidR="00FA449C">
        <w:t xml:space="preserve"> </w:t>
      </w:r>
      <w:r w:rsidR="00AA7673">
        <w:t>Väyläh</w:t>
      </w:r>
      <w:r w:rsidR="00943590">
        <w:t>ankkeen ympäristövaikutukset tulevat jo selv</w:t>
      </w:r>
      <w:r w:rsidR="00943590">
        <w:t>i</w:t>
      </w:r>
      <w:r w:rsidR="00943590">
        <w:t>tettäviksi sekä kaavoituksen yhteydessä että väyläsuunnittelun prosessi</w:t>
      </w:r>
      <w:r w:rsidR="00943590">
        <w:t>s</w:t>
      </w:r>
      <w:r w:rsidR="00943590">
        <w:t>sa. Yhdistetyllä menettelyllä voidaan tuoda sujuvuutta ja välttää päälle</w:t>
      </w:r>
      <w:r w:rsidR="00943590">
        <w:t>k</w:t>
      </w:r>
      <w:r w:rsidR="00943590">
        <w:t>käisyyttä selvityksissä ja menettelyssä ylipäätään (esimerkiksi yleisön osa</w:t>
      </w:r>
      <w:r w:rsidR="00943590">
        <w:t>l</w:t>
      </w:r>
      <w:r w:rsidR="00943590">
        <w:t>listaminen).</w:t>
      </w:r>
    </w:p>
    <w:p w:rsidR="00943590" w:rsidRDefault="00943590" w:rsidP="007F3A77">
      <w:pPr>
        <w:pStyle w:val="Sis2"/>
        <w:jc w:val="both"/>
      </w:pPr>
    </w:p>
    <w:p w:rsidR="008003BF" w:rsidRDefault="00FA449C" w:rsidP="007F3A77">
      <w:pPr>
        <w:pStyle w:val="Sis2"/>
        <w:jc w:val="both"/>
      </w:pPr>
      <w:r>
        <w:t>Yhdistetystä m</w:t>
      </w:r>
      <w:r w:rsidR="00421349">
        <w:t xml:space="preserve">enettelystä ei </w:t>
      </w:r>
      <w:r w:rsidR="00943590">
        <w:t>kuitenkaan tulisi</w:t>
      </w:r>
      <w:r w:rsidR="00421349">
        <w:t xml:space="preserve"> tehdä pakollista, vaan han</w:t>
      </w:r>
      <w:r w:rsidR="00421349">
        <w:t>k</w:t>
      </w:r>
      <w:r w:rsidR="00421349">
        <w:t xml:space="preserve">keen ja </w:t>
      </w:r>
      <w:r w:rsidR="00FE247F">
        <w:t>suunnittelu</w:t>
      </w:r>
      <w:r w:rsidR="00421349">
        <w:t>tilanteen mukaan tulisi olla valittavis</w:t>
      </w:r>
      <w:r w:rsidR="00FE247F">
        <w:t>sa myös erillinen YVA-menettely.</w:t>
      </w:r>
      <w:r>
        <w:t xml:space="preserve"> Pitkittäishankkeissa, kuten maantiet ja radat, voi olla ta</w:t>
      </w:r>
      <w:r>
        <w:t>r</w:t>
      </w:r>
      <w:r>
        <w:t>peen laatia</w:t>
      </w:r>
      <w:r w:rsidR="00943590">
        <w:t xml:space="preserve"> kaava</w:t>
      </w:r>
      <w:r>
        <w:t xml:space="preserve"> tai muuttaa kaavaa useiden eri kuntien</w:t>
      </w:r>
      <w:r w:rsidR="00943590">
        <w:t xml:space="preserve"> alueella, mahdo</w:t>
      </w:r>
      <w:r w:rsidR="00943590">
        <w:t>l</w:t>
      </w:r>
      <w:r w:rsidR="00943590">
        <w:t>lisesti myös eri kaavatasoilla. Yhdistetty menettely ei välttämättä toisi tä</w:t>
      </w:r>
      <w:r w:rsidR="00943590">
        <w:t>l</w:t>
      </w:r>
      <w:r w:rsidR="00943590">
        <w:t xml:space="preserve">laisissa tilanteissa sujuvuutta suunnitteluprosessiin kokonaisuutena, vaan erillinen YVA-menettely olisi </w:t>
      </w:r>
      <w:r w:rsidR="007B3284">
        <w:t xml:space="preserve">edelleen </w:t>
      </w:r>
      <w:r w:rsidR="00943590">
        <w:t>perusteltu</w:t>
      </w:r>
      <w:r w:rsidR="007B3284">
        <w:t xml:space="preserve"> ja </w:t>
      </w:r>
      <w:r w:rsidR="004F3F52">
        <w:t xml:space="preserve">hankkeen etenemisen kannalta </w:t>
      </w:r>
      <w:r w:rsidR="007B3284">
        <w:t>sujuvin vaihtoehto</w:t>
      </w:r>
      <w:r w:rsidR="00943590">
        <w:t>.</w:t>
      </w:r>
    </w:p>
    <w:p w:rsidR="00897F78" w:rsidRDefault="00897F78" w:rsidP="007F3A77">
      <w:pPr>
        <w:pStyle w:val="Sis2"/>
        <w:jc w:val="both"/>
      </w:pPr>
    </w:p>
    <w:p w:rsidR="00897F78" w:rsidRPr="00897F78" w:rsidRDefault="00897F78" w:rsidP="007F3A77">
      <w:pPr>
        <w:pStyle w:val="Sis2"/>
        <w:jc w:val="both"/>
        <w:rPr>
          <w:i/>
        </w:rPr>
      </w:pPr>
      <w:r w:rsidRPr="00897F78">
        <w:rPr>
          <w:i/>
        </w:rPr>
        <w:lastRenderedPageBreak/>
        <w:t>YVA:n ja Natura-arvioinnin yhdistäminen</w:t>
      </w:r>
    </w:p>
    <w:p w:rsidR="00897F78" w:rsidRDefault="00897F78" w:rsidP="007F3A77">
      <w:pPr>
        <w:pStyle w:val="Sis2"/>
        <w:jc w:val="both"/>
      </w:pPr>
    </w:p>
    <w:p w:rsidR="00897F78" w:rsidRPr="00C6102F" w:rsidRDefault="00897F78" w:rsidP="007F3A77">
      <w:pPr>
        <w:pStyle w:val="Sis2"/>
        <w:jc w:val="both"/>
      </w:pPr>
      <w:r>
        <w:t xml:space="preserve">Liikennevirasto pitää </w:t>
      </w:r>
      <w:r w:rsidR="0027687C">
        <w:t>ehdotuksen mukaista</w:t>
      </w:r>
      <w:r>
        <w:t xml:space="preserve"> </w:t>
      </w:r>
      <w:r w:rsidR="0027687C">
        <w:t>yhdistämi</w:t>
      </w:r>
      <w:r>
        <w:t xml:space="preserve">stä kannatettavana. </w:t>
      </w:r>
      <w:r w:rsidR="00FF1CE4">
        <w:t>Harkintamahdollisuuden säilyttäminen on joustavuuden näkökulmasta h</w:t>
      </w:r>
      <w:r w:rsidR="00FF1CE4">
        <w:t>y</w:t>
      </w:r>
      <w:r w:rsidR="00FF1CE4">
        <w:t xml:space="preserve">vä asia. </w:t>
      </w:r>
      <w:r w:rsidR="00CF22DE">
        <w:t xml:space="preserve">Jatkovalmistelussa tulisi harkita, voisiko YVA-yhteysviranomaisena ja Natura-arvioinnista </w:t>
      </w:r>
      <w:r w:rsidR="0027687C">
        <w:t>vastaavan</w:t>
      </w:r>
      <w:r w:rsidR="0025699A">
        <w:t>a</w:t>
      </w:r>
      <w:r w:rsidR="0027687C">
        <w:t xml:space="preserve"> viranomai</w:t>
      </w:r>
      <w:r w:rsidR="00F26F94">
        <w:t xml:space="preserve">sena olla </w:t>
      </w:r>
      <w:r w:rsidR="0027687C">
        <w:t>sam</w:t>
      </w:r>
      <w:r w:rsidR="0025699A">
        <w:t>a ELY-keskus, jos hankkeesta vastaavana on myös ELY-keskus (</w:t>
      </w:r>
      <w:r w:rsidR="000325F2">
        <w:t>Li</w:t>
      </w:r>
      <w:r w:rsidR="000325F2">
        <w:t>i</w:t>
      </w:r>
      <w:r w:rsidR="000325F2">
        <w:t xml:space="preserve">kenne ja infrastruktuuri -vastuualue, </w:t>
      </w:r>
      <w:r w:rsidR="0025699A">
        <w:t>maantiehankkeet).</w:t>
      </w:r>
    </w:p>
    <w:p w:rsidR="00DF211A" w:rsidRDefault="00DF211A" w:rsidP="00284AF9">
      <w:pPr>
        <w:pStyle w:val="Sis2"/>
        <w:jc w:val="both"/>
        <w:rPr>
          <w:rFonts w:cs="Arial"/>
        </w:rPr>
      </w:pPr>
    </w:p>
    <w:p w:rsidR="00393A83" w:rsidRPr="00393A83" w:rsidRDefault="00393A83" w:rsidP="00284AF9">
      <w:pPr>
        <w:pStyle w:val="Sis2"/>
        <w:jc w:val="both"/>
        <w:rPr>
          <w:rFonts w:cs="Arial"/>
          <w:i/>
        </w:rPr>
      </w:pPr>
      <w:r w:rsidRPr="00393A83">
        <w:rPr>
          <w:rFonts w:cs="Arial"/>
          <w:i/>
        </w:rPr>
        <w:t>Ennakkoneuvottelumenettely</w:t>
      </w:r>
    </w:p>
    <w:p w:rsidR="00393A83" w:rsidRDefault="00393A83" w:rsidP="00284AF9">
      <w:pPr>
        <w:pStyle w:val="Sis2"/>
        <w:jc w:val="both"/>
        <w:rPr>
          <w:rFonts w:cs="Arial"/>
        </w:rPr>
      </w:pPr>
    </w:p>
    <w:p w:rsidR="00393A83" w:rsidRDefault="00393A83" w:rsidP="00284AF9">
      <w:pPr>
        <w:pStyle w:val="Sis2"/>
        <w:jc w:val="both"/>
        <w:rPr>
          <w:rFonts w:cs="Arial"/>
        </w:rPr>
      </w:pPr>
      <w:r>
        <w:rPr>
          <w:rFonts w:cs="Arial"/>
        </w:rPr>
        <w:t xml:space="preserve">Liikennevirasto pitää </w:t>
      </w:r>
      <w:r w:rsidR="00F959BF">
        <w:rPr>
          <w:rFonts w:cs="Arial"/>
        </w:rPr>
        <w:t xml:space="preserve">ehdotettua säännöstä </w:t>
      </w:r>
      <w:r>
        <w:rPr>
          <w:rFonts w:cs="Arial"/>
        </w:rPr>
        <w:t>ennakkoneuv</w:t>
      </w:r>
      <w:r w:rsidR="00063FDB">
        <w:rPr>
          <w:rFonts w:cs="Arial"/>
        </w:rPr>
        <w:t>ottelumenettely</w:t>
      </w:r>
      <w:r w:rsidR="00F959BF">
        <w:rPr>
          <w:rFonts w:cs="Arial"/>
        </w:rPr>
        <w:t>s</w:t>
      </w:r>
      <w:r w:rsidR="00F959BF">
        <w:rPr>
          <w:rFonts w:cs="Arial"/>
        </w:rPr>
        <w:t>t</w:t>
      </w:r>
      <w:r w:rsidR="00063FDB">
        <w:rPr>
          <w:rFonts w:cs="Arial"/>
        </w:rPr>
        <w:t xml:space="preserve">ä kannatettavana. Vastaavan kaltaista menettelyä </w:t>
      </w:r>
      <w:r w:rsidR="00F959BF">
        <w:rPr>
          <w:rFonts w:cs="Arial"/>
        </w:rPr>
        <w:t>ja yhteistyötä vira</w:t>
      </w:r>
      <w:r w:rsidR="00F959BF">
        <w:rPr>
          <w:rFonts w:cs="Arial"/>
        </w:rPr>
        <w:t>n</w:t>
      </w:r>
      <w:r w:rsidR="00F959BF">
        <w:rPr>
          <w:rFonts w:cs="Arial"/>
        </w:rPr>
        <w:t xml:space="preserve">omaisten välillä </w:t>
      </w:r>
      <w:r w:rsidR="00063FDB">
        <w:rPr>
          <w:rFonts w:cs="Arial"/>
        </w:rPr>
        <w:t xml:space="preserve">on noudatettu </w:t>
      </w:r>
      <w:r w:rsidR="00F959BF">
        <w:rPr>
          <w:rFonts w:cs="Arial"/>
        </w:rPr>
        <w:t>väylä</w:t>
      </w:r>
      <w:r w:rsidR="00063FDB">
        <w:rPr>
          <w:rFonts w:cs="Arial"/>
        </w:rPr>
        <w:t>hankkeissa jo tähänkin asti aina ma</w:t>
      </w:r>
      <w:r w:rsidR="00063FDB">
        <w:rPr>
          <w:rFonts w:cs="Arial"/>
        </w:rPr>
        <w:t>h</w:t>
      </w:r>
      <w:r w:rsidR="00063FDB">
        <w:rPr>
          <w:rFonts w:cs="Arial"/>
        </w:rPr>
        <w:t>dollisuuksien salliessa.</w:t>
      </w:r>
      <w:r>
        <w:rPr>
          <w:rFonts w:cs="Arial"/>
        </w:rPr>
        <w:t xml:space="preserve"> Sääntelyn muuttuessa ja mahdollisesti erilaisten vaihtoehtoisten menettelytapojen </w:t>
      </w:r>
      <w:r w:rsidR="00063FDB">
        <w:rPr>
          <w:rFonts w:cs="Arial"/>
        </w:rPr>
        <w:t xml:space="preserve">käyttöönoton </w:t>
      </w:r>
      <w:r>
        <w:rPr>
          <w:rFonts w:cs="Arial"/>
        </w:rPr>
        <w:t>myötä tämän kaltainen</w:t>
      </w:r>
      <w:r w:rsidR="00676FFE">
        <w:rPr>
          <w:rFonts w:cs="Arial"/>
        </w:rPr>
        <w:t xml:space="preserve"> m</w:t>
      </w:r>
      <w:r w:rsidR="00676FFE">
        <w:rPr>
          <w:rFonts w:cs="Arial"/>
        </w:rPr>
        <w:t>e</w:t>
      </w:r>
      <w:r w:rsidR="00676FFE">
        <w:rPr>
          <w:rFonts w:cs="Arial"/>
        </w:rPr>
        <w:t xml:space="preserve">nettely voi sujuvoittaa prosessia ja auttaa </w:t>
      </w:r>
      <w:r w:rsidR="00063FDB">
        <w:rPr>
          <w:rFonts w:cs="Arial"/>
        </w:rPr>
        <w:t xml:space="preserve">myös </w:t>
      </w:r>
      <w:r w:rsidR="00676FFE">
        <w:rPr>
          <w:rFonts w:cs="Arial"/>
        </w:rPr>
        <w:t>uuden sääntelyn omaks</w:t>
      </w:r>
      <w:r w:rsidR="00676FFE">
        <w:rPr>
          <w:rFonts w:cs="Arial"/>
        </w:rPr>
        <w:t>u</w:t>
      </w:r>
      <w:r w:rsidR="00676FFE">
        <w:rPr>
          <w:rFonts w:cs="Arial"/>
        </w:rPr>
        <w:t>misessa.</w:t>
      </w:r>
    </w:p>
    <w:p w:rsidR="00676FFE" w:rsidRDefault="00676FFE" w:rsidP="00284AF9">
      <w:pPr>
        <w:pStyle w:val="Sis2"/>
        <w:jc w:val="both"/>
        <w:rPr>
          <w:rFonts w:cs="Arial"/>
        </w:rPr>
      </w:pPr>
    </w:p>
    <w:p w:rsidR="00676FFE" w:rsidRDefault="003453F9" w:rsidP="00284AF9">
      <w:pPr>
        <w:pStyle w:val="Sis2"/>
        <w:jc w:val="both"/>
        <w:rPr>
          <w:rFonts w:cs="Arial"/>
        </w:rPr>
      </w:pPr>
      <w:r>
        <w:rPr>
          <w:rFonts w:cs="Arial"/>
        </w:rPr>
        <w:t>Liikenneviranomaisten</w:t>
      </w:r>
      <w:r w:rsidR="00676FFE">
        <w:rPr>
          <w:rFonts w:cs="Arial"/>
        </w:rPr>
        <w:t xml:space="preserve"> resurssien näkökulmasta neuvotteluihin osallist</w:t>
      </w:r>
      <w:r w:rsidR="00676FFE">
        <w:rPr>
          <w:rFonts w:cs="Arial"/>
        </w:rPr>
        <w:t>u</w:t>
      </w:r>
      <w:r w:rsidR="00676FFE">
        <w:rPr>
          <w:rFonts w:cs="Arial"/>
        </w:rPr>
        <w:t xml:space="preserve">minen muiden </w:t>
      </w:r>
      <w:r w:rsidR="00BF21F1">
        <w:rPr>
          <w:rFonts w:cs="Arial"/>
        </w:rPr>
        <w:t>tahojen</w:t>
      </w:r>
      <w:r w:rsidR="00676FFE">
        <w:rPr>
          <w:rFonts w:cs="Arial"/>
        </w:rPr>
        <w:t xml:space="preserve"> suunnittelemissa hankkeissa voi olla haastavaa. </w:t>
      </w:r>
      <w:r w:rsidR="00063FDB">
        <w:rPr>
          <w:rFonts w:cs="Arial"/>
        </w:rPr>
        <w:t>Li</w:t>
      </w:r>
      <w:r w:rsidR="00063FDB">
        <w:rPr>
          <w:rFonts w:cs="Arial"/>
        </w:rPr>
        <w:t>i</w:t>
      </w:r>
      <w:r w:rsidR="00063FDB">
        <w:rPr>
          <w:rFonts w:cs="Arial"/>
        </w:rPr>
        <w:t>kenteellisten vaikutusten tunnistamiseksi ja liikenteen järjestämisen vaat</w:t>
      </w:r>
      <w:r w:rsidR="00063FDB">
        <w:rPr>
          <w:rFonts w:cs="Arial"/>
        </w:rPr>
        <w:t>i</w:t>
      </w:r>
      <w:r w:rsidR="00063FDB">
        <w:rPr>
          <w:rFonts w:cs="Arial"/>
        </w:rPr>
        <w:t>musten selvittämiseksi erityyppisissä hankkeissa olisi tarpeen luoda tarki</w:t>
      </w:r>
      <w:r w:rsidR="00063FDB">
        <w:rPr>
          <w:rFonts w:cs="Arial"/>
        </w:rPr>
        <w:t>s</w:t>
      </w:r>
      <w:r w:rsidR="00063FDB">
        <w:rPr>
          <w:rFonts w:cs="Arial"/>
        </w:rPr>
        <w:t xml:space="preserve">tuslistoja ja ohjeistusta, jotta nämä vaikutukset voitaisiin huomioida jo hankkeen alkuvaiheessa suunnittelun lähtötietona. Lausuntomenettely olisi toki jatkossakin käytössä, mutta havaintona on ollut, että </w:t>
      </w:r>
      <w:r w:rsidR="00063FDB" w:rsidRPr="00F73441">
        <w:rPr>
          <w:rFonts w:cs="Arial"/>
        </w:rPr>
        <w:t>liikenteellisiä va</w:t>
      </w:r>
      <w:r w:rsidR="00063FDB" w:rsidRPr="00F73441">
        <w:rPr>
          <w:rFonts w:cs="Arial"/>
        </w:rPr>
        <w:t>i</w:t>
      </w:r>
      <w:r w:rsidR="00063FDB" w:rsidRPr="00F73441">
        <w:rPr>
          <w:rFonts w:cs="Arial"/>
        </w:rPr>
        <w:t>kutuksia ei aina osa</w:t>
      </w:r>
      <w:r w:rsidR="00F73441" w:rsidRPr="00F73441">
        <w:rPr>
          <w:rFonts w:cs="Arial"/>
        </w:rPr>
        <w:t>ta tunnistaa riittävän aikaisin (esim</w:t>
      </w:r>
      <w:r w:rsidR="00730DDE">
        <w:rPr>
          <w:rFonts w:cs="Arial"/>
        </w:rPr>
        <w:t>erkiksi</w:t>
      </w:r>
      <w:r w:rsidR="00F73441" w:rsidRPr="00F73441">
        <w:rPr>
          <w:rFonts w:cs="Arial"/>
        </w:rPr>
        <w:t xml:space="preserve"> tuulivoim</w:t>
      </w:r>
      <w:r w:rsidR="00F73441" w:rsidRPr="00F73441">
        <w:rPr>
          <w:rFonts w:cs="Arial"/>
        </w:rPr>
        <w:t>a</w:t>
      </w:r>
      <w:r w:rsidR="00F73441" w:rsidRPr="00F73441">
        <w:rPr>
          <w:rFonts w:cs="Arial"/>
        </w:rPr>
        <w:t>hankkeissa, mutta myös muutoin).</w:t>
      </w:r>
    </w:p>
    <w:p w:rsidR="00393A83" w:rsidRDefault="00393A83" w:rsidP="00284AF9">
      <w:pPr>
        <w:pStyle w:val="Sis2"/>
        <w:jc w:val="both"/>
        <w:rPr>
          <w:rFonts w:cs="Arial"/>
        </w:rPr>
      </w:pPr>
    </w:p>
    <w:p w:rsidR="00393A83" w:rsidRDefault="00393A83" w:rsidP="00284AF9">
      <w:pPr>
        <w:pStyle w:val="Sis2"/>
        <w:jc w:val="both"/>
        <w:rPr>
          <w:rFonts w:cs="Arial"/>
          <w:i/>
        </w:rPr>
      </w:pPr>
      <w:r w:rsidRPr="00393A83">
        <w:rPr>
          <w:rFonts w:cs="Arial"/>
          <w:i/>
        </w:rPr>
        <w:t>Perusteltu päätelmä</w:t>
      </w:r>
    </w:p>
    <w:p w:rsidR="00C90A02" w:rsidRDefault="00C90A02" w:rsidP="00284AF9">
      <w:pPr>
        <w:pStyle w:val="Sis2"/>
        <w:jc w:val="both"/>
        <w:rPr>
          <w:rFonts w:cs="Arial"/>
          <w:i/>
        </w:rPr>
      </w:pPr>
    </w:p>
    <w:p w:rsidR="00E6263E" w:rsidRDefault="00C90A02" w:rsidP="00284AF9">
      <w:pPr>
        <w:pStyle w:val="Sis2"/>
        <w:jc w:val="both"/>
        <w:rPr>
          <w:rFonts w:cs="Arial"/>
        </w:rPr>
      </w:pPr>
      <w:r>
        <w:rPr>
          <w:rFonts w:cs="Arial"/>
        </w:rPr>
        <w:t xml:space="preserve">Liikennevirasto pitää perustellun päätelmän </w:t>
      </w:r>
      <w:r w:rsidR="00F36BF6">
        <w:rPr>
          <w:rFonts w:cs="Arial"/>
        </w:rPr>
        <w:t>tuomista YVA-lakiin ja osaksi YVA-menettelyä</w:t>
      </w:r>
      <w:r w:rsidR="00CF22DE">
        <w:rPr>
          <w:rFonts w:cs="Arial"/>
        </w:rPr>
        <w:t xml:space="preserve"> hyvänä kehityksenä</w:t>
      </w:r>
      <w:r w:rsidR="00F36BF6">
        <w:rPr>
          <w:rFonts w:cs="Arial"/>
        </w:rPr>
        <w:t>. Perustellun päätelmän ajantasa</w:t>
      </w:r>
      <w:r w:rsidR="00F36BF6">
        <w:rPr>
          <w:rFonts w:cs="Arial"/>
        </w:rPr>
        <w:t>i</w:t>
      </w:r>
      <w:r w:rsidR="00F36BF6">
        <w:rPr>
          <w:rFonts w:cs="Arial"/>
        </w:rPr>
        <w:t xml:space="preserve">suuden varmistamiseen </w:t>
      </w:r>
      <w:r w:rsidR="00E20F80">
        <w:rPr>
          <w:rFonts w:cs="Arial"/>
        </w:rPr>
        <w:t xml:space="preserve">(YVAL 24 §) </w:t>
      </w:r>
      <w:r w:rsidR="00F36BF6">
        <w:rPr>
          <w:rFonts w:cs="Arial"/>
        </w:rPr>
        <w:t>liittyy vielä epävarmuustekijöitä. S</w:t>
      </w:r>
      <w:r w:rsidR="00F36BF6">
        <w:rPr>
          <w:rFonts w:cs="Arial"/>
        </w:rPr>
        <w:t>o</w:t>
      </w:r>
      <w:r w:rsidR="00F36BF6">
        <w:rPr>
          <w:rFonts w:cs="Arial"/>
        </w:rPr>
        <w:t>veltamiskäytännön ei tulisi muodostua liian byrokraattiseksi</w:t>
      </w:r>
      <w:r w:rsidR="00CF22DE">
        <w:rPr>
          <w:rFonts w:cs="Arial"/>
        </w:rPr>
        <w:t>. Väylälakien mukaisten suunnitelmien hyväksymismenettelyssä ajantasaisuuden tarki</w:t>
      </w:r>
      <w:r w:rsidR="00CF22DE">
        <w:rPr>
          <w:rFonts w:cs="Arial"/>
        </w:rPr>
        <w:t>s</w:t>
      </w:r>
      <w:r w:rsidR="00CF22DE">
        <w:rPr>
          <w:rFonts w:cs="Arial"/>
        </w:rPr>
        <w:t xml:space="preserve">taminen voisi </w:t>
      </w:r>
      <w:r w:rsidR="00F73441">
        <w:rPr>
          <w:rFonts w:cs="Arial"/>
        </w:rPr>
        <w:t>myös</w:t>
      </w:r>
      <w:r w:rsidR="00CF22DE">
        <w:rPr>
          <w:rFonts w:cs="Arial"/>
        </w:rPr>
        <w:t xml:space="preserve"> tapahtua suunnitelmista pyydettävien lausuntojen y</w:t>
      </w:r>
      <w:r w:rsidR="00CF22DE">
        <w:rPr>
          <w:rFonts w:cs="Arial"/>
        </w:rPr>
        <w:t>h</w:t>
      </w:r>
      <w:r w:rsidR="00CF22DE">
        <w:rPr>
          <w:rFonts w:cs="Arial"/>
        </w:rPr>
        <w:t xml:space="preserve">teydessä, jolloin ajantasaisuuden varmistaminen </w:t>
      </w:r>
      <w:r w:rsidR="003F7661">
        <w:rPr>
          <w:rFonts w:cs="Arial"/>
        </w:rPr>
        <w:t>yhdistettäisiin</w:t>
      </w:r>
      <w:r w:rsidR="00CF22DE">
        <w:rPr>
          <w:rFonts w:cs="Arial"/>
        </w:rPr>
        <w:t xml:space="preserve"> osa</w:t>
      </w:r>
      <w:r w:rsidR="003F7661">
        <w:rPr>
          <w:rFonts w:cs="Arial"/>
        </w:rPr>
        <w:t>ksi</w:t>
      </w:r>
      <w:r w:rsidR="00CF22DE">
        <w:rPr>
          <w:rFonts w:cs="Arial"/>
        </w:rPr>
        <w:t xml:space="preserve"> jo ny</w:t>
      </w:r>
      <w:r w:rsidR="00F73441">
        <w:rPr>
          <w:rFonts w:cs="Arial"/>
        </w:rPr>
        <w:t>kyisin</w:t>
      </w:r>
      <w:r w:rsidR="00CF22DE">
        <w:rPr>
          <w:rFonts w:cs="Arial"/>
        </w:rPr>
        <w:t xml:space="preserve"> noudatettavaa menettelyä.</w:t>
      </w:r>
      <w:r w:rsidR="00E20F80">
        <w:rPr>
          <w:rFonts w:cs="Arial"/>
        </w:rPr>
        <w:t xml:space="preserve"> </w:t>
      </w:r>
    </w:p>
    <w:p w:rsidR="00E6263E" w:rsidRDefault="00E6263E" w:rsidP="00284AF9">
      <w:pPr>
        <w:pStyle w:val="Sis2"/>
        <w:jc w:val="both"/>
        <w:rPr>
          <w:rFonts w:cs="Arial"/>
        </w:rPr>
      </w:pPr>
    </w:p>
    <w:p w:rsidR="00C90A02" w:rsidRPr="00C90A02" w:rsidRDefault="00E20F80" w:rsidP="00284AF9">
      <w:pPr>
        <w:pStyle w:val="Sis2"/>
        <w:jc w:val="both"/>
        <w:rPr>
          <w:rFonts w:cs="Arial"/>
        </w:rPr>
      </w:pPr>
      <w:r>
        <w:rPr>
          <w:rFonts w:cs="Arial"/>
        </w:rPr>
        <w:t>Myös arviointisel</w:t>
      </w:r>
      <w:r w:rsidR="00A47E40">
        <w:rPr>
          <w:rFonts w:cs="Arial"/>
        </w:rPr>
        <w:t>ostuksen täydentämiseen (YVAL 22</w:t>
      </w:r>
      <w:r>
        <w:rPr>
          <w:rFonts w:cs="Arial"/>
        </w:rPr>
        <w:t xml:space="preserve"> §) liittyy vastaavia epävarmuustekijöitä hankkeesta vastaavan kannalta. Täydentämisen kr</w:t>
      </w:r>
      <w:r>
        <w:rPr>
          <w:rFonts w:cs="Arial"/>
        </w:rPr>
        <w:t>i</w:t>
      </w:r>
      <w:r>
        <w:rPr>
          <w:rFonts w:cs="Arial"/>
        </w:rPr>
        <w:t>teerit muotoutunevat aikanaan soveltamiskäytännössä, mutta sujuvoittam</w:t>
      </w:r>
      <w:r>
        <w:rPr>
          <w:rFonts w:cs="Arial"/>
        </w:rPr>
        <w:t>i</w:t>
      </w:r>
      <w:r>
        <w:rPr>
          <w:rFonts w:cs="Arial"/>
        </w:rPr>
        <w:t>sen ja merkittäviin ympäristövaikutuksiin keskittymisen tavoitteiden huom</w:t>
      </w:r>
      <w:r>
        <w:rPr>
          <w:rFonts w:cs="Arial"/>
        </w:rPr>
        <w:t>i</w:t>
      </w:r>
      <w:r>
        <w:rPr>
          <w:rFonts w:cs="Arial"/>
        </w:rPr>
        <w:t>oon ottaminen olisi tässäkin keskeistä.</w:t>
      </w:r>
      <w:r w:rsidR="00656B6B">
        <w:rPr>
          <w:rFonts w:cs="Arial"/>
        </w:rPr>
        <w:t xml:space="preserve"> Kriteerit täydentämisvaatimukselle tulisi siis asettaa kohtuullisen korkealle.</w:t>
      </w:r>
    </w:p>
    <w:p w:rsidR="00393A83" w:rsidRDefault="00393A83" w:rsidP="00284AF9">
      <w:pPr>
        <w:pStyle w:val="Sis2"/>
        <w:jc w:val="both"/>
        <w:rPr>
          <w:rFonts w:cs="Arial"/>
        </w:rPr>
      </w:pPr>
    </w:p>
    <w:p w:rsidR="00393A83" w:rsidRPr="00C90A02" w:rsidRDefault="00C90A02" w:rsidP="00284AF9">
      <w:pPr>
        <w:pStyle w:val="Sis2"/>
        <w:jc w:val="both"/>
        <w:rPr>
          <w:rFonts w:cs="Arial"/>
          <w:i/>
        </w:rPr>
      </w:pPr>
      <w:r w:rsidRPr="00C90A02">
        <w:rPr>
          <w:rFonts w:cs="Arial"/>
          <w:i/>
        </w:rPr>
        <w:lastRenderedPageBreak/>
        <w:t>Yksittäisiä huomioita</w:t>
      </w:r>
    </w:p>
    <w:p w:rsidR="00C90A02" w:rsidRDefault="00C90A02" w:rsidP="00284AF9">
      <w:pPr>
        <w:pStyle w:val="Sis2"/>
        <w:jc w:val="both"/>
        <w:rPr>
          <w:rFonts w:cs="Arial"/>
        </w:rPr>
      </w:pPr>
    </w:p>
    <w:p w:rsidR="00CF22DE" w:rsidRDefault="00CF22DE" w:rsidP="00284AF9">
      <w:pPr>
        <w:pStyle w:val="Sis2"/>
        <w:jc w:val="both"/>
        <w:rPr>
          <w:rFonts w:cs="Arial"/>
        </w:rPr>
      </w:pPr>
      <w:r>
        <w:rPr>
          <w:rFonts w:cs="Arial"/>
        </w:rPr>
        <w:t>Yleisperusteluissa maantiel</w:t>
      </w:r>
      <w:r w:rsidR="009419F0">
        <w:rPr>
          <w:rFonts w:cs="Arial"/>
        </w:rPr>
        <w:t>ain osalta viitataan lain 10 §:ssä oleviin tienp</w:t>
      </w:r>
      <w:r w:rsidR="009419F0">
        <w:rPr>
          <w:rFonts w:cs="Arial"/>
        </w:rPr>
        <w:t>i</w:t>
      </w:r>
      <w:r w:rsidR="009419F0">
        <w:rPr>
          <w:rFonts w:cs="Arial"/>
        </w:rPr>
        <w:t>täjän ja tienpitoviranomaisen käsitteisiin. Ko. s</w:t>
      </w:r>
      <w:r w:rsidR="00366834">
        <w:rPr>
          <w:rFonts w:cs="Arial"/>
        </w:rPr>
        <w:t>äännöksen muuttamine</w:t>
      </w:r>
      <w:r w:rsidR="00D14A61">
        <w:rPr>
          <w:rFonts w:cs="Arial"/>
        </w:rPr>
        <w:t>n on vireillä (HE 49/2016 vp) ja muutos vaikuttaa myös edellä mainittuihin käsi</w:t>
      </w:r>
      <w:r w:rsidR="00D14A61">
        <w:rPr>
          <w:rFonts w:cs="Arial"/>
        </w:rPr>
        <w:t>t</w:t>
      </w:r>
      <w:r w:rsidR="00D14A61">
        <w:rPr>
          <w:rFonts w:cs="Arial"/>
        </w:rPr>
        <w:t>teisiin. M</w:t>
      </w:r>
      <w:r w:rsidR="00366834">
        <w:rPr>
          <w:rFonts w:cs="Arial"/>
        </w:rPr>
        <w:t>uutoksen todennäköinen voimaantuloajankohta on 1.7.2016.</w:t>
      </w:r>
    </w:p>
    <w:p w:rsidR="0012511C" w:rsidRDefault="0012511C" w:rsidP="00284AF9">
      <w:pPr>
        <w:pStyle w:val="Sis2"/>
        <w:jc w:val="both"/>
        <w:rPr>
          <w:rFonts w:cs="Arial"/>
        </w:rPr>
      </w:pPr>
    </w:p>
    <w:p w:rsidR="0012511C" w:rsidRDefault="0012511C" w:rsidP="00284AF9">
      <w:pPr>
        <w:pStyle w:val="Sis2"/>
        <w:jc w:val="both"/>
        <w:rPr>
          <w:rFonts w:cs="Arial"/>
        </w:rPr>
      </w:pPr>
      <w:r>
        <w:rPr>
          <w:rFonts w:cs="Arial"/>
        </w:rPr>
        <w:t xml:space="preserve">YVA-lakiehdotuksen 7 §:n 2 momentin sanamuotoa voisi selkeyttää siltä osin, kuin siinä viitataan "viranomaisiin", esimerkiksi sanalla "näiden". </w:t>
      </w:r>
    </w:p>
    <w:p w:rsidR="00D14A61" w:rsidRDefault="00D14A61" w:rsidP="00284AF9">
      <w:pPr>
        <w:pStyle w:val="Sis2"/>
        <w:jc w:val="both"/>
        <w:rPr>
          <w:rFonts w:cs="Arial"/>
        </w:rPr>
      </w:pPr>
    </w:p>
    <w:p w:rsidR="00D14A61" w:rsidRDefault="00D14A61" w:rsidP="00284AF9">
      <w:pPr>
        <w:pStyle w:val="Sis2"/>
        <w:jc w:val="both"/>
        <w:rPr>
          <w:rFonts w:cs="Arial"/>
        </w:rPr>
      </w:pPr>
    </w:p>
    <w:p w:rsidR="00D14A61" w:rsidRDefault="00D14A61" w:rsidP="00284AF9">
      <w:pPr>
        <w:pStyle w:val="Sis2"/>
        <w:jc w:val="both"/>
        <w:rPr>
          <w:rFonts w:cs="Arial"/>
        </w:rPr>
      </w:pPr>
    </w:p>
    <w:p w:rsidR="00C90A02" w:rsidRDefault="00C90A02" w:rsidP="00284AF9">
      <w:pPr>
        <w:pStyle w:val="Sis2"/>
        <w:jc w:val="both"/>
        <w:rPr>
          <w:rFonts w:cs="Arial"/>
        </w:rPr>
      </w:pPr>
    </w:p>
    <w:p w:rsidR="00DF211A" w:rsidRDefault="00DF211A" w:rsidP="00284AF9">
      <w:pPr>
        <w:pStyle w:val="Sis2"/>
        <w:jc w:val="both"/>
        <w:rPr>
          <w:rFonts w:cs="Arial"/>
        </w:rPr>
      </w:pPr>
    </w:p>
    <w:p w:rsidR="00DF211A" w:rsidRDefault="00DF211A" w:rsidP="00284AF9">
      <w:pPr>
        <w:pStyle w:val="Sis2"/>
        <w:jc w:val="both"/>
        <w:rPr>
          <w:rFonts w:cs="Arial"/>
        </w:rPr>
      </w:pPr>
    </w:p>
    <w:p w:rsidR="00DF211A" w:rsidRPr="00D31E56" w:rsidRDefault="00DF211A" w:rsidP="00284AF9">
      <w:pPr>
        <w:pStyle w:val="Sis2"/>
        <w:jc w:val="both"/>
        <w:rPr>
          <w:rFonts w:cs="Arial"/>
        </w:rPr>
      </w:pPr>
    </w:p>
    <w:tbl>
      <w:tblPr>
        <w:tblW w:w="0" w:type="auto"/>
        <w:tblInd w:w="2608" w:type="dxa"/>
        <w:tblLayout w:type="fixed"/>
        <w:tblLook w:val="00A0" w:firstRow="1" w:lastRow="0" w:firstColumn="1" w:lastColumn="0" w:noHBand="0" w:noVBand="0"/>
      </w:tblPr>
      <w:tblGrid>
        <w:gridCol w:w="4021"/>
        <w:gridCol w:w="3338"/>
      </w:tblGrid>
      <w:tr w:rsidR="005C7715" w:rsidRPr="00C6102F" w:rsidTr="00E604F0">
        <w:tc>
          <w:tcPr>
            <w:tcW w:w="4021" w:type="dxa"/>
            <w:hideMark/>
          </w:tcPr>
          <w:p w:rsidR="005C7715" w:rsidRPr="00C6102F" w:rsidRDefault="00F347F1">
            <w:pPr>
              <w:keepNext/>
              <w:rPr>
                <w:sz w:val="24"/>
              </w:rPr>
            </w:pPr>
            <w:bookmarkStart w:id="3" w:name="zanimike"/>
            <w:bookmarkStart w:id="4" w:name="zSignature"/>
            <w:bookmarkEnd w:id="3"/>
            <w:r>
              <w:rPr>
                <w:sz w:val="24"/>
              </w:rPr>
              <w:t>Johtaja</w:t>
            </w:r>
          </w:p>
        </w:tc>
        <w:tc>
          <w:tcPr>
            <w:tcW w:w="3338" w:type="dxa"/>
            <w:hideMark/>
          </w:tcPr>
          <w:p w:rsidR="005C7715" w:rsidRPr="00C6102F" w:rsidRDefault="00D31E56">
            <w:pPr>
              <w:keepNext/>
              <w:rPr>
                <w:sz w:val="24"/>
              </w:rPr>
            </w:pPr>
            <w:bookmarkStart w:id="5" w:name="zanimi"/>
            <w:bookmarkEnd w:id="5"/>
            <w:r>
              <w:rPr>
                <w:sz w:val="24"/>
              </w:rPr>
              <w:t>Laura Kuistio</w:t>
            </w:r>
          </w:p>
        </w:tc>
      </w:tr>
      <w:tr w:rsidR="005C7715" w:rsidRPr="00C6102F" w:rsidTr="00E604F0">
        <w:tc>
          <w:tcPr>
            <w:tcW w:w="4021" w:type="dxa"/>
          </w:tcPr>
          <w:p w:rsidR="005C7715" w:rsidRPr="00C6102F" w:rsidRDefault="005C7715">
            <w:pPr>
              <w:keepNext/>
              <w:rPr>
                <w:sz w:val="24"/>
              </w:rPr>
            </w:pPr>
          </w:p>
        </w:tc>
        <w:tc>
          <w:tcPr>
            <w:tcW w:w="3338" w:type="dxa"/>
          </w:tcPr>
          <w:p w:rsidR="005C7715" w:rsidRPr="00C6102F" w:rsidRDefault="005C7715">
            <w:pPr>
              <w:keepNext/>
              <w:rPr>
                <w:sz w:val="24"/>
              </w:rPr>
            </w:pPr>
          </w:p>
        </w:tc>
      </w:tr>
      <w:tr w:rsidR="005C7715" w:rsidRPr="00C6102F" w:rsidTr="00E604F0">
        <w:tc>
          <w:tcPr>
            <w:tcW w:w="4021" w:type="dxa"/>
          </w:tcPr>
          <w:p w:rsidR="005C7715" w:rsidRDefault="005C7715">
            <w:pPr>
              <w:keepNext/>
              <w:rPr>
                <w:sz w:val="24"/>
              </w:rPr>
            </w:pPr>
          </w:p>
          <w:p w:rsidR="00694402" w:rsidRPr="00C6102F" w:rsidRDefault="00694402">
            <w:pPr>
              <w:keepNext/>
              <w:rPr>
                <w:sz w:val="24"/>
              </w:rPr>
            </w:pPr>
          </w:p>
        </w:tc>
        <w:tc>
          <w:tcPr>
            <w:tcW w:w="3338" w:type="dxa"/>
          </w:tcPr>
          <w:p w:rsidR="005C7715" w:rsidRPr="00C6102F" w:rsidRDefault="005C7715">
            <w:pPr>
              <w:keepNext/>
              <w:rPr>
                <w:sz w:val="24"/>
              </w:rPr>
            </w:pPr>
          </w:p>
        </w:tc>
      </w:tr>
      <w:tr w:rsidR="005C7715" w:rsidRPr="00C6102F" w:rsidTr="00E604F0">
        <w:tc>
          <w:tcPr>
            <w:tcW w:w="4021" w:type="dxa"/>
          </w:tcPr>
          <w:p w:rsidR="005C7715" w:rsidRPr="00C6102F" w:rsidRDefault="005C7715">
            <w:pPr>
              <w:keepNext/>
              <w:rPr>
                <w:sz w:val="24"/>
              </w:rPr>
            </w:pPr>
          </w:p>
        </w:tc>
        <w:tc>
          <w:tcPr>
            <w:tcW w:w="3338" w:type="dxa"/>
          </w:tcPr>
          <w:p w:rsidR="005C7715" w:rsidRPr="00C6102F" w:rsidRDefault="005C7715">
            <w:pPr>
              <w:keepNext/>
              <w:rPr>
                <w:sz w:val="24"/>
              </w:rPr>
            </w:pPr>
          </w:p>
        </w:tc>
      </w:tr>
      <w:tr w:rsidR="005C7715" w:rsidRPr="00C6102F" w:rsidTr="00E604F0">
        <w:tc>
          <w:tcPr>
            <w:tcW w:w="4021" w:type="dxa"/>
            <w:hideMark/>
          </w:tcPr>
          <w:p w:rsidR="005C7715" w:rsidRPr="00C6102F" w:rsidRDefault="00D76CDB">
            <w:pPr>
              <w:keepNext/>
              <w:rPr>
                <w:sz w:val="24"/>
              </w:rPr>
            </w:pPr>
            <w:bookmarkStart w:id="6" w:name="zaenimike"/>
            <w:bookmarkEnd w:id="6"/>
            <w:r w:rsidRPr="00C6102F">
              <w:rPr>
                <w:sz w:val="24"/>
              </w:rPr>
              <w:t>Lakimies</w:t>
            </w:r>
          </w:p>
        </w:tc>
        <w:tc>
          <w:tcPr>
            <w:tcW w:w="3338" w:type="dxa"/>
            <w:hideMark/>
          </w:tcPr>
          <w:p w:rsidR="005C7715" w:rsidRPr="00C6102F" w:rsidRDefault="00D76CDB">
            <w:pPr>
              <w:keepNext/>
              <w:rPr>
                <w:sz w:val="24"/>
              </w:rPr>
            </w:pPr>
            <w:bookmarkStart w:id="7" w:name="zaenimi"/>
            <w:bookmarkEnd w:id="7"/>
            <w:r w:rsidRPr="00C6102F">
              <w:rPr>
                <w:sz w:val="24"/>
              </w:rPr>
              <w:t>Katri Nuuja</w:t>
            </w:r>
          </w:p>
        </w:tc>
      </w:tr>
      <w:bookmarkEnd w:id="4"/>
    </w:tbl>
    <w:p w:rsidR="005C7715" w:rsidRPr="00C6102F" w:rsidRDefault="005C7715" w:rsidP="00E604F0">
      <w:pPr>
        <w:pStyle w:val="Sis2"/>
      </w:pPr>
    </w:p>
    <w:p w:rsidR="005C7715" w:rsidRPr="00C6102F" w:rsidRDefault="005C7715" w:rsidP="00E604F0">
      <w:pPr>
        <w:pStyle w:val="Sis2"/>
      </w:pPr>
    </w:p>
    <w:p w:rsidR="005C7715" w:rsidRPr="00C6102F" w:rsidRDefault="005C7715" w:rsidP="00E604F0">
      <w:pPr>
        <w:pStyle w:val="Sis2"/>
      </w:pPr>
    </w:p>
    <w:p w:rsidR="00AB6103" w:rsidRPr="00C6102F" w:rsidRDefault="00AB6103" w:rsidP="00123754">
      <w:pPr>
        <w:pStyle w:val="Sivuotsikko2"/>
      </w:pPr>
    </w:p>
    <w:sectPr w:rsidR="00AB6103" w:rsidRPr="00C6102F" w:rsidSect="00923FA3">
      <w:headerReference w:type="default" r:id="rId10"/>
      <w:headerReference w:type="first" r:id="rId11"/>
      <w:footerReference w:type="first" r:id="rId12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Default="00E604F0" w:rsidP="00A87A76">
      <w:r>
        <w:separator/>
      </w:r>
    </w:p>
  </w:endnote>
  <w:endnote w:type="continuationSeparator" w:id="0">
    <w:p w:rsidR="00E604F0" w:rsidRDefault="00E604F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  <w:gridCol w:w="1673"/>
    </w:tblGrid>
    <w:tr w:rsidR="003D083C" w:rsidRPr="00EA7F77" w:rsidTr="00C84559">
      <w:trPr>
        <w:cantSplit/>
      </w:trPr>
      <w:tc>
        <w:tcPr>
          <w:tcW w:w="2835" w:type="dxa"/>
        </w:tcPr>
        <w:p w:rsidR="003D083C" w:rsidRPr="009D2C67" w:rsidRDefault="003D083C" w:rsidP="009D2C67">
          <w:pPr>
            <w:spacing w:after="40"/>
            <w:rPr>
              <w:b/>
              <w:noProof/>
              <w:color w:val="0088CE"/>
              <w:sz w:val="14"/>
              <w:szCs w:val="14"/>
            </w:rPr>
          </w:pPr>
          <w:r>
            <w:rPr>
              <w:b/>
              <w:noProof/>
              <w:color w:val="0088CE"/>
              <w:sz w:val="14"/>
              <w:szCs w:val="14"/>
            </w:rPr>
            <w:t>Liikennevirasto</w:t>
          </w:r>
        </w:p>
      </w:tc>
      <w:tc>
        <w:tcPr>
          <w:tcW w:w="2070" w:type="dxa"/>
        </w:tcPr>
        <w:p w:rsidR="003D083C" w:rsidRPr="009D2C67" w:rsidRDefault="003D083C" w:rsidP="009D2C67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3D083C" w:rsidRPr="009D2C67" w:rsidRDefault="003D083C" w:rsidP="009D2C67">
          <w:pPr>
            <w:rPr>
              <w:noProof/>
              <w:sz w:val="14"/>
              <w:szCs w:val="14"/>
            </w:rPr>
          </w:pPr>
        </w:p>
      </w:tc>
      <w:tc>
        <w:tcPr>
          <w:tcW w:w="1673" w:type="dxa"/>
        </w:tcPr>
        <w:p w:rsidR="003D083C" w:rsidRPr="009D2C67" w:rsidRDefault="003D083C" w:rsidP="009D2C67">
          <w:pPr>
            <w:rPr>
              <w:noProof/>
              <w:sz w:val="14"/>
              <w:szCs w:val="14"/>
            </w:rPr>
          </w:pPr>
        </w:p>
      </w:tc>
    </w:tr>
    <w:tr w:rsidR="003D083C" w:rsidRPr="009D2C67" w:rsidTr="00C84559">
      <w:trPr>
        <w:cantSplit/>
      </w:trPr>
      <w:tc>
        <w:tcPr>
          <w:tcW w:w="2835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33, 00521 Helsinki</w:t>
          </w:r>
        </w:p>
      </w:tc>
      <w:tc>
        <w:tcPr>
          <w:tcW w:w="2070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 0295 34 3000</w:t>
          </w:r>
        </w:p>
      </w:tc>
      <w:tc>
        <w:tcPr>
          <w:tcW w:w="2466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etunimi.sukunimi@liikennevirasto.fi</w:t>
          </w:r>
        </w:p>
      </w:tc>
      <w:tc>
        <w:tcPr>
          <w:tcW w:w="1673" w:type="dxa"/>
        </w:tcPr>
        <w:p w:rsidR="003D083C" w:rsidRPr="009D2C67" w:rsidRDefault="003D083C" w:rsidP="009D2C67">
          <w:pPr>
            <w:spacing w:after="40"/>
            <w:rPr>
              <w:noProof/>
              <w:color w:val="0088CE"/>
              <w:sz w:val="14"/>
              <w:szCs w:val="14"/>
            </w:rPr>
          </w:pPr>
          <w:r>
            <w:rPr>
              <w:noProof/>
              <w:color w:val="0088CE"/>
              <w:sz w:val="14"/>
              <w:szCs w:val="14"/>
            </w:rPr>
            <w:t>www.liikennevirasto.fi</w:t>
          </w:r>
        </w:p>
      </w:tc>
    </w:tr>
    <w:tr w:rsidR="003D083C" w:rsidRPr="009D2C67" w:rsidTr="00C84559">
      <w:trPr>
        <w:cantSplit/>
      </w:trPr>
      <w:tc>
        <w:tcPr>
          <w:tcW w:w="2835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A, 00520 Helsinki</w:t>
          </w:r>
        </w:p>
      </w:tc>
      <w:tc>
        <w:tcPr>
          <w:tcW w:w="2070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 0295 34 3700</w:t>
          </w:r>
        </w:p>
      </w:tc>
      <w:tc>
        <w:tcPr>
          <w:tcW w:w="2466" w:type="dxa"/>
        </w:tcPr>
        <w:p w:rsidR="003D083C" w:rsidRPr="009D2C67" w:rsidRDefault="003D083C" w:rsidP="009D2C67">
          <w:pPr>
            <w:spacing w:after="40"/>
            <w:rPr>
              <w:sz w:val="14"/>
              <w:szCs w:val="14"/>
            </w:rPr>
          </w:pPr>
          <w:r>
            <w:rPr>
              <w:sz w:val="14"/>
              <w:szCs w:val="14"/>
            </w:rPr>
            <w:t>kirjaamo@liikennevirasto.fi</w:t>
          </w:r>
        </w:p>
      </w:tc>
      <w:tc>
        <w:tcPr>
          <w:tcW w:w="1673" w:type="dxa"/>
        </w:tcPr>
        <w:p w:rsidR="003D083C" w:rsidRPr="009D2C67" w:rsidRDefault="003D083C" w:rsidP="009D2C67">
          <w:pPr>
            <w:spacing w:after="40"/>
            <w:rPr>
              <w:noProof/>
              <w:sz w:val="14"/>
              <w:szCs w:val="14"/>
            </w:rPr>
          </w:pPr>
        </w:p>
      </w:tc>
    </w:tr>
  </w:tbl>
  <w:p w:rsidR="00E604F0" w:rsidRPr="003D083C" w:rsidRDefault="00E604F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Default="00E604F0" w:rsidP="00A87A76">
      <w:r>
        <w:separator/>
      </w:r>
    </w:p>
  </w:footnote>
  <w:footnote w:type="continuationSeparator" w:id="0">
    <w:p w:rsidR="00E604F0" w:rsidRDefault="00E604F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303"/>
      <w:gridCol w:w="1303"/>
    </w:tblGrid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b/>
              <w:noProof/>
              <w:lang w:eastAsia="fi-FI"/>
            </w:rPr>
          </w:pPr>
          <w:r>
            <w:rPr>
              <w:b/>
              <w:noProof/>
              <w:lang w:eastAsia="fi-FI"/>
            </w:rPr>
            <w:t>Lausunto</w:t>
          </w:r>
        </w:p>
      </w:tc>
      <w:tc>
        <w:tcPr>
          <w:tcW w:w="1304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1304" w:type="dxa"/>
        </w:tcPr>
        <w:p w:rsidR="003D083C" w:rsidRDefault="003D083C" w:rsidP="00504B08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PAGE  \* MERGEFORMAT </w:instrText>
          </w:r>
          <w:r>
            <w:rPr>
              <w:noProof/>
              <w:lang w:eastAsia="fi-FI"/>
            </w:rPr>
            <w:fldChar w:fldCharType="separate"/>
          </w:r>
          <w:r w:rsidR="00183A4F">
            <w:rPr>
              <w:noProof/>
              <w:lang w:eastAsia="fi-FI"/>
            </w:rPr>
            <w:t>2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 xml:space="preserve"> (</w:t>
          </w: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NUMPAGES  \* MERGEFORMAT </w:instrText>
          </w:r>
          <w:r>
            <w:rPr>
              <w:noProof/>
              <w:lang w:eastAsia="fi-FI"/>
            </w:rPr>
            <w:fldChar w:fldCharType="separate"/>
          </w:r>
          <w:r w:rsidR="00183A4F">
            <w:rPr>
              <w:noProof/>
              <w:lang w:eastAsia="fi-FI"/>
            </w:rPr>
            <w:t>4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>)</w:t>
          </w:r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LIVI/2701/00.03.03/2016</w:t>
          </w:r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2.6.2016</w:t>
          </w: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</w:tr>
    <w:tr w:rsidR="003D083C" w:rsidTr="00CA14E9">
      <w:trPr>
        <w:cantSplit/>
        <w:trHeight w:val="280"/>
      </w:trPr>
      <w:tc>
        <w:tcPr>
          <w:tcW w:w="5216" w:type="dxa"/>
          <w:vMerge w:val="restart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  <w:vMerge w:val="restart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</w:tr>
    <w:tr w:rsidR="003D083C" w:rsidTr="00CA14E9">
      <w:trPr>
        <w:cantSplit/>
        <w:trHeight w:val="280"/>
      </w:trPr>
      <w:tc>
        <w:tcPr>
          <w:tcW w:w="5216" w:type="dxa"/>
          <w:vMerge/>
          <w:vAlign w:val="center"/>
          <w:hideMark/>
        </w:tcPr>
        <w:p w:rsidR="003D083C" w:rsidRDefault="003D083C" w:rsidP="00B965AF">
          <w:pPr>
            <w:rPr>
              <w:noProof/>
              <w:szCs w:val="24"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3912" w:type="dxa"/>
          <w:gridSpan w:val="2"/>
          <w:vMerge/>
          <w:vAlign w:val="center"/>
          <w:hideMark/>
        </w:tcPr>
        <w:p w:rsidR="003D083C" w:rsidRDefault="003D083C" w:rsidP="00B965AF">
          <w:pPr>
            <w:rPr>
              <w:noProof/>
              <w:szCs w:val="24"/>
              <w:lang w:eastAsia="fi-FI"/>
            </w:rPr>
          </w:pPr>
        </w:p>
      </w:tc>
    </w:tr>
  </w:tbl>
  <w:p w:rsidR="003D083C" w:rsidRPr="00765367" w:rsidRDefault="003D083C" w:rsidP="00B965AF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303"/>
      <w:gridCol w:w="1303"/>
    </w:tblGrid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b/>
              <w:noProof/>
              <w:lang w:eastAsia="fi-FI"/>
            </w:rPr>
          </w:pPr>
          <w:bookmarkStart w:id="8" w:name="dname"/>
          <w:r>
            <w:rPr>
              <w:b/>
              <w:noProof/>
              <w:lang w:eastAsia="fi-FI"/>
            </w:rPr>
            <w:t>Lausunto</w:t>
          </w:r>
          <w:bookmarkEnd w:id="8"/>
        </w:p>
      </w:tc>
      <w:tc>
        <w:tcPr>
          <w:tcW w:w="1304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bookmarkStart w:id="9" w:name="dfieldpages"/>
      <w:tc>
        <w:tcPr>
          <w:tcW w:w="1304" w:type="dxa"/>
        </w:tcPr>
        <w:p w:rsidR="003D083C" w:rsidRDefault="003D083C" w:rsidP="00504B08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PAGE  \* MERGEFORMAT </w:instrText>
          </w:r>
          <w:r>
            <w:rPr>
              <w:noProof/>
              <w:lang w:eastAsia="fi-FI"/>
            </w:rPr>
            <w:fldChar w:fldCharType="separate"/>
          </w:r>
          <w:r w:rsidR="00183A4F">
            <w:rPr>
              <w:noProof/>
              <w:lang w:eastAsia="fi-FI"/>
            </w:rPr>
            <w:t>1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 xml:space="preserve"> (</w:t>
          </w: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NUMPAGES  \* MERGEFORMAT </w:instrText>
          </w:r>
          <w:r>
            <w:rPr>
              <w:noProof/>
              <w:lang w:eastAsia="fi-FI"/>
            </w:rPr>
            <w:fldChar w:fldCharType="separate"/>
          </w:r>
          <w:r w:rsidR="00183A4F">
            <w:rPr>
              <w:noProof/>
              <w:lang w:eastAsia="fi-FI"/>
            </w:rPr>
            <w:t>3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>)</w:t>
          </w:r>
          <w:bookmarkEnd w:id="9"/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0" w:name="dclass"/>
          <w:bookmarkEnd w:id="10"/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1" w:name="dencl"/>
          <w:bookmarkEnd w:id="11"/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2" w:name="dcode"/>
          <w:r>
            <w:rPr>
              <w:noProof/>
              <w:lang w:eastAsia="fi-FI"/>
            </w:rPr>
            <w:t>LIVI/2701/00.03.03/2016</w:t>
          </w:r>
          <w:bookmarkEnd w:id="12"/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3" w:name="ddate"/>
          <w:r>
            <w:rPr>
              <w:noProof/>
              <w:lang w:eastAsia="fi-FI"/>
            </w:rPr>
            <w:t>2.6.2016</w:t>
          </w:r>
          <w:bookmarkEnd w:id="13"/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4" w:name="dconfidentiality"/>
          <w:bookmarkEnd w:id="14"/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5" w:name="dlevelofprotection"/>
          <w:bookmarkEnd w:id="15"/>
        </w:p>
      </w:tc>
    </w:tr>
    <w:tr w:rsidR="003D083C" w:rsidTr="00CA14E9">
      <w:trPr>
        <w:cantSplit/>
        <w:trHeight w:val="280"/>
      </w:trPr>
      <w:tc>
        <w:tcPr>
          <w:tcW w:w="5216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6" w:name="ddecree"/>
          <w:bookmarkEnd w:id="16"/>
        </w:p>
      </w:tc>
    </w:tr>
    <w:tr w:rsidR="003D083C" w:rsidTr="00CA14E9">
      <w:trPr>
        <w:cantSplit/>
        <w:trHeight w:val="280"/>
      </w:trPr>
      <w:tc>
        <w:tcPr>
          <w:tcW w:w="5216" w:type="dxa"/>
          <w:vMerge w:val="restart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7" w:name="duser"/>
          <w:bookmarkEnd w:id="17"/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2608" w:type="dxa"/>
          <w:gridSpan w:val="2"/>
          <w:vMerge w:val="restart"/>
        </w:tcPr>
        <w:p w:rsidR="003D083C" w:rsidRDefault="003D083C" w:rsidP="00B965AF">
          <w:pPr>
            <w:rPr>
              <w:noProof/>
              <w:lang w:eastAsia="fi-FI"/>
            </w:rPr>
          </w:pPr>
          <w:bookmarkStart w:id="18" w:name="dsecrecy"/>
          <w:bookmarkEnd w:id="18"/>
        </w:p>
      </w:tc>
    </w:tr>
    <w:tr w:rsidR="003D083C" w:rsidTr="00CA14E9">
      <w:trPr>
        <w:cantSplit/>
        <w:trHeight w:val="280"/>
      </w:trPr>
      <w:tc>
        <w:tcPr>
          <w:tcW w:w="5216" w:type="dxa"/>
          <w:vMerge/>
          <w:vAlign w:val="center"/>
          <w:hideMark/>
        </w:tcPr>
        <w:p w:rsidR="003D083C" w:rsidRDefault="003D083C" w:rsidP="00B965AF">
          <w:pPr>
            <w:rPr>
              <w:noProof/>
              <w:szCs w:val="24"/>
              <w:lang w:eastAsia="fi-FI"/>
            </w:rPr>
          </w:pPr>
        </w:p>
      </w:tc>
      <w:tc>
        <w:tcPr>
          <w:tcW w:w="2608" w:type="dxa"/>
        </w:tcPr>
        <w:p w:rsidR="003D083C" w:rsidRDefault="003D083C" w:rsidP="00B965AF">
          <w:pPr>
            <w:rPr>
              <w:noProof/>
              <w:lang w:eastAsia="fi-FI"/>
            </w:rPr>
          </w:pPr>
        </w:p>
      </w:tc>
      <w:tc>
        <w:tcPr>
          <w:tcW w:w="3912" w:type="dxa"/>
          <w:gridSpan w:val="2"/>
          <w:vMerge/>
          <w:vAlign w:val="center"/>
          <w:hideMark/>
        </w:tcPr>
        <w:p w:rsidR="003D083C" w:rsidRDefault="003D083C" w:rsidP="00B965AF">
          <w:pPr>
            <w:rPr>
              <w:noProof/>
              <w:szCs w:val="24"/>
              <w:lang w:eastAsia="fi-FI"/>
            </w:rPr>
          </w:pPr>
        </w:p>
      </w:tc>
    </w:tr>
  </w:tbl>
  <w:p w:rsidR="003D083C" w:rsidRPr="00765367" w:rsidRDefault="003D083C" w:rsidP="00B965AF">
    <w:pPr>
      <w:rPr>
        <w:noProof/>
      </w:rPr>
    </w:pPr>
    <w:r w:rsidRPr="003D083C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3E2FB79E" wp14:editId="47A3FF9D">
          <wp:simplePos x="0" y="0"/>
          <wp:positionH relativeFrom="page">
            <wp:posOffset>723265</wp:posOffset>
          </wp:positionH>
          <wp:positionV relativeFrom="page">
            <wp:posOffset>323850</wp:posOffset>
          </wp:positionV>
          <wp:extent cx="809625" cy="923925"/>
          <wp:effectExtent l="0" t="0" r="9525" b="9525"/>
          <wp:wrapNone/>
          <wp:docPr id="13" name="Logo" descr="liikennevirasto_logo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ikennevirasto_logo_F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7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2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8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17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16"/>
  </w:num>
  <w:num w:numId="29">
    <w:abstractNumId w:val="21"/>
  </w:num>
  <w:num w:numId="30">
    <w:abstractNumId w:val="27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ToDocument" w:val="1"/>
    <w:docVar w:name="dvAutotext" w:val="DefaultLetter"/>
    <w:docVar w:name="dvAutotextTemplate" w:val="kct_default.dotx"/>
    <w:docVar w:name="dvBookmarksAround" w:val="True"/>
    <w:docVar w:name="dvChangeDate" w:val="2.3.2012"/>
    <w:docVar w:name="dvCompany" w:val="LIVI"/>
    <w:docVar w:name="dvContentFile" w:val="dd_default.xml"/>
    <w:docVar w:name="dvCopyHeader" w:val="1"/>
    <w:docVar w:name="dvcurrentaddresslayout" w:val="default_address"/>
    <w:docVar w:name="dvcurrentaddresslayouttemplate" w:val="kat_address.dotx"/>
    <w:docVar w:name="dvcurrentlogo" w:val="zlofiLKVI"/>
    <w:docVar w:name="dvcurrentlogopath" w:val="klo_logo.dotx"/>
    <w:docVar w:name="dvDefaultDname" w:val="0"/>
    <w:docVar w:name="dvDefaultOneSignature" w:val="0"/>
    <w:docVar w:name="dvDefinition" w:val="55 (dd_default.xml)"/>
    <w:docVar w:name="dvDefinitionID" w:val="55"/>
    <w:docVar w:name="dvDefinitionVersion" w:val="01.002 / 2.3.2012"/>
    <w:docVar w:name="dvDisplayname" w:val="Yleinen asiakirja"/>
    <w:docVar w:name="dvDocumentType" w:val="GENERAL"/>
    <w:docVar w:name="dvdubusinessarea" w:val="Toiminnanohjaus"/>
    <w:docVar w:name="dvDUBusinessAreaCode" w:val="bas15"/>
    <w:docVar w:name="dvdudepartment" w:val="Oikeus ja hankinta"/>
    <w:docVar w:name="dvDUDepartmentCode" w:val="de22"/>
    <w:docVar w:name="dvdufname" w:val="Katri"/>
    <w:docVar w:name="dvdulname" w:val="Nuuja"/>
    <w:docVar w:name="dvduname" w:val="Katri Nuuja"/>
    <w:docVar w:name="dvDynamicFieldsControlName" w:val="mControls"/>
    <w:docVar w:name="dvEnableDName" w:val="0"/>
    <w:docVar w:name="dvEnableEULogo" w:val="1"/>
    <w:docVar w:name="dvEnableLogo" w:val="1"/>
    <w:docVar w:name="dvFirstHeadZero" w:val="0"/>
    <w:docVar w:name="dvGlobalVerID" w:val="473.99.01.041"/>
    <w:docVar w:name="dvLanguage" w:val="1035"/>
    <w:docVar w:name="dvMarkVersion" w:val="0"/>
    <w:docVar w:name="dvMultiPageControlName" w:val="pDocument"/>
    <w:docVar w:name="dvNumbering" w:val="0"/>
    <w:docVar w:name="dvPagesPrimary" w:val="0"/>
    <w:docVar w:name="dvPagesPrimary_now" w:val="0"/>
    <w:docVar w:name="dvSharedContent" w:val="0"/>
    <w:docVar w:name="dvSignature" w:val="2"/>
    <w:docVar w:name="dvSite" w:val="Helsinki"/>
    <w:docVar w:name="dvTemplate" w:val="klt_general.dotx"/>
    <w:docVar w:name="dvTestUse" w:val="0"/>
    <w:docVar w:name="dvTieturiVerID" w:val="473.11.01.006"/>
    <w:docVar w:name="dvunitid" w:val="72"/>
    <w:docVar w:name="dvUsed" w:val="1"/>
    <w:docVar w:name="dvuser" w:val="0"/>
  </w:docVars>
  <w:rsids>
    <w:rsidRoot w:val="005C7715"/>
    <w:rsid w:val="0000294E"/>
    <w:rsid w:val="00012E5D"/>
    <w:rsid w:val="00013766"/>
    <w:rsid w:val="00013BB1"/>
    <w:rsid w:val="0001482E"/>
    <w:rsid w:val="00024FEF"/>
    <w:rsid w:val="00026672"/>
    <w:rsid w:val="000325F2"/>
    <w:rsid w:val="00042441"/>
    <w:rsid w:val="0005163C"/>
    <w:rsid w:val="00052E94"/>
    <w:rsid w:val="00063FDB"/>
    <w:rsid w:val="00064DBE"/>
    <w:rsid w:val="00071847"/>
    <w:rsid w:val="00081A2E"/>
    <w:rsid w:val="000A20F0"/>
    <w:rsid w:val="000A4C53"/>
    <w:rsid w:val="000B50BF"/>
    <w:rsid w:val="000C4CE6"/>
    <w:rsid w:val="000C5BC5"/>
    <w:rsid w:val="000D242A"/>
    <w:rsid w:val="000D2B66"/>
    <w:rsid w:val="000E5871"/>
    <w:rsid w:val="000F086E"/>
    <w:rsid w:val="000F5DD2"/>
    <w:rsid w:val="00104B1C"/>
    <w:rsid w:val="001149E8"/>
    <w:rsid w:val="0011730C"/>
    <w:rsid w:val="00123754"/>
    <w:rsid w:val="0012511C"/>
    <w:rsid w:val="00130178"/>
    <w:rsid w:val="00137D9D"/>
    <w:rsid w:val="00155A6F"/>
    <w:rsid w:val="00155B2E"/>
    <w:rsid w:val="001617C4"/>
    <w:rsid w:val="0017327F"/>
    <w:rsid w:val="00183A4F"/>
    <w:rsid w:val="00183BEB"/>
    <w:rsid w:val="001862C8"/>
    <w:rsid w:val="001A277A"/>
    <w:rsid w:val="001A297B"/>
    <w:rsid w:val="001B6A92"/>
    <w:rsid w:val="001C226E"/>
    <w:rsid w:val="001C68E4"/>
    <w:rsid w:val="001D3008"/>
    <w:rsid w:val="001E42F1"/>
    <w:rsid w:val="00244CA4"/>
    <w:rsid w:val="0025699A"/>
    <w:rsid w:val="00266624"/>
    <w:rsid w:val="0027687C"/>
    <w:rsid w:val="002825F0"/>
    <w:rsid w:val="00284AF9"/>
    <w:rsid w:val="00284D7C"/>
    <w:rsid w:val="00287939"/>
    <w:rsid w:val="002A4233"/>
    <w:rsid w:val="002B05CB"/>
    <w:rsid w:val="002D29DC"/>
    <w:rsid w:val="002D612B"/>
    <w:rsid w:val="002D72E2"/>
    <w:rsid w:val="002E61A0"/>
    <w:rsid w:val="002F775C"/>
    <w:rsid w:val="003133DA"/>
    <w:rsid w:val="003453F9"/>
    <w:rsid w:val="00366834"/>
    <w:rsid w:val="00371754"/>
    <w:rsid w:val="003756C1"/>
    <w:rsid w:val="00393A83"/>
    <w:rsid w:val="003B52C4"/>
    <w:rsid w:val="003D083C"/>
    <w:rsid w:val="003D7069"/>
    <w:rsid w:val="003F1606"/>
    <w:rsid w:val="003F7661"/>
    <w:rsid w:val="00410982"/>
    <w:rsid w:val="00416F55"/>
    <w:rsid w:val="00421349"/>
    <w:rsid w:val="00425048"/>
    <w:rsid w:val="0043310C"/>
    <w:rsid w:val="00434376"/>
    <w:rsid w:val="00436634"/>
    <w:rsid w:val="00447D48"/>
    <w:rsid w:val="0045264B"/>
    <w:rsid w:val="00477DAD"/>
    <w:rsid w:val="0048568F"/>
    <w:rsid w:val="00494399"/>
    <w:rsid w:val="004948B8"/>
    <w:rsid w:val="004A3719"/>
    <w:rsid w:val="004B05E9"/>
    <w:rsid w:val="004D235C"/>
    <w:rsid w:val="004D6715"/>
    <w:rsid w:val="004E093E"/>
    <w:rsid w:val="004E1DA9"/>
    <w:rsid w:val="004F0CF3"/>
    <w:rsid w:val="004F3F52"/>
    <w:rsid w:val="004F571F"/>
    <w:rsid w:val="00500646"/>
    <w:rsid w:val="00504B08"/>
    <w:rsid w:val="0051217C"/>
    <w:rsid w:val="005207DA"/>
    <w:rsid w:val="00535DBD"/>
    <w:rsid w:val="0054140C"/>
    <w:rsid w:val="00555FAD"/>
    <w:rsid w:val="00570537"/>
    <w:rsid w:val="0058250F"/>
    <w:rsid w:val="0058640B"/>
    <w:rsid w:val="005A354C"/>
    <w:rsid w:val="005C2B9D"/>
    <w:rsid w:val="005C5F1E"/>
    <w:rsid w:val="005C6BB3"/>
    <w:rsid w:val="005C7715"/>
    <w:rsid w:val="005F00B2"/>
    <w:rsid w:val="005F4355"/>
    <w:rsid w:val="00603E8B"/>
    <w:rsid w:val="00615D57"/>
    <w:rsid w:val="00621D4C"/>
    <w:rsid w:val="00632294"/>
    <w:rsid w:val="006501CC"/>
    <w:rsid w:val="00656B6B"/>
    <w:rsid w:val="00671C46"/>
    <w:rsid w:val="00674605"/>
    <w:rsid w:val="00676514"/>
    <w:rsid w:val="00676FFE"/>
    <w:rsid w:val="00687ECB"/>
    <w:rsid w:val="006904DB"/>
    <w:rsid w:val="0069094F"/>
    <w:rsid w:val="00694402"/>
    <w:rsid w:val="006961C7"/>
    <w:rsid w:val="006A035F"/>
    <w:rsid w:val="006A4CF0"/>
    <w:rsid w:val="006C1988"/>
    <w:rsid w:val="006D4C39"/>
    <w:rsid w:val="006D54DF"/>
    <w:rsid w:val="006D63C1"/>
    <w:rsid w:val="006E0DE4"/>
    <w:rsid w:val="006E2718"/>
    <w:rsid w:val="006F0A60"/>
    <w:rsid w:val="0071137E"/>
    <w:rsid w:val="007209C4"/>
    <w:rsid w:val="00730DDE"/>
    <w:rsid w:val="00741218"/>
    <w:rsid w:val="007526E3"/>
    <w:rsid w:val="00755784"/>
    <w:rsid w:val="007650A4"/>
    <w:rsid w:val="00765367"/>
    <w:rsid w:val="00780345"/>
    <w:rsid w:val="007849DE"/>
    <w:rsid w:val="0078586C"/>
    <w:rsid w:val="00787504"/>
    <w:rsid w:val="007900DB"/>
    <w:rsid w:val="007B3284"/>
    <w:rsid w:val="007C4DE4"/>
    <w:rsid w:val="007D05C8"/>
    <w:rsid w:val="007D3718"/>
    <w:rsid w:val="007D7FA6"/>
    <w:rsid w:val="007E54AD"/>
    <w:rsid w:val="007E7645"/>
    <w:rsid w:val="007F3A77"/>
    <w:rsid w:val="008003BF"/>
    <w:rsid w:val="008114C5"/>
    <w:rsid w:val="00857F6C"/>
    <w:rsid w:val="0087173A"/>
    <w:rsid w:val="008727AA"/>
    <w:rsid w:val="00897F78"/>
    <w:rsid w:val="008A36E9"/>
    <w:rsid w:val="008B5917"/>
    <w:rsid w:val="008C47FA"/>
    <w:rsid w:val="008D60F3"/>
    <w:rsid w:val="008E281C"/>
    <w:rsid w:val="008E2B91"/>
    <w:rsid w:val="008E5333"/>
    <w:rsid w:val="008E755A"/>
    <w:rsid w:val="008F1043"/>
    <w:rsid w:val="00906330"/>
    <w:rsid w:val="00916DF7"/>
    <w:rsid w:val="00920EE0"/>
    <w:rsid w:val="00923FA3"/>
    <w:rsid w:val="0092549F"/>
    <w:rsid w:val="009419F0"/>
    <w:rsid w:val="00941D59"/>
    <w:rsid w:val="00943590"/>
    <w:rsid w:val="00957FAB"/>
    <w:rsid w:val="009714C7"/>
    <w:rsid w:val="00971F35"/>
    <w:rsid w:val="009847F0"/>
    <w:rsid w:val="009A2C08"/>
    <w:rsid w:val="009B12FD"/>
    <w:rsid w:val="009B64EE"/>
    <w:rsid w:val="009B6D64"/>
    <w:rsid w:val="009B7577"/>
    <w:rsid w:val="009C77C8"/>
    <w:rsid w:val="009E5FF3"/>
    <w:rsid w:val="00A026BB"/>
    <w:rsid w:val="00A04FC3"/>
    <w:rsid w:val="00A21A15"/>
    <w:rsid w:val="00A27938"/>
    <w:rsid w:val="00A33DA0"/>
    <w:rsid w:val="00A3744A"/>
    <w:rsid w:val="00A425FE"/>
    <w:rsid w:val="00A45EC3"/>
    <w:rsid w:val="00A47E40"/>
    <w:rsid w:val="00A53406"/>
    <w:rsid w:val="00A62211"/>
    <w:rsid w:val="00A63FBA"/>
    <w:rsid w:val="00A67228"/>
    <w:rsid w:val="00A70B01"/>
    <w:rsid w:val="00A87A76"/>
    <w:rsid w:val="00AA7673"/>
    <w:rsid w:val="00AB6103"/>
    <w:rsid w:val="00AD0DA4"/>
    <w:rsid w:val="00AD1F41"/>
    <w:rsid w:val="00AD7C81"/>
    <w:rsid w:val="00AE1915"/>
    <w:rsid w:val="00B01F6F"/>
    <w:rsid w:val="00B0465C"/>
    <w:rsid w:val="00B22720"/>
    <w:rsid w:val="00B44787"/>
    <w:rsid w:val="00B558F4"/>
    <w:rsid w:val="00B56A6A"/>
    <w:rsid w:val="00B67523"/>
    <w:rsid w:val="00B75753"/>
    <w:rsid w:val="00B8139F"/>
    <w:rsid w:val="00B821B5"/>
    <w:rsid w:val="00B86519"/>
    <w:rsid w:val="00B9589B"/>
    <w:rsid w:val="00B958E6"/>
    <w:rsid w:val="00B965AF"/>
    <w:rsid w:val="00BA190D"/>
    <w:rsid w:val="00BB76D8"/>
    <w:rsid w:val="00BC0CE9"/>
    <w:rsid w:val="00BD3498"/>
    <w:rsid w:val="00BD7238"/>
    <w:rsid w:val="00BE50EA"/>
    <w:rsid w:val="00BF21F1"/>
    <w:rsid w:val="00C135CF"/>
    <w:rsid w:val="00C2043F"/>
    <w:rsid w:val="00C40CCC"/>
    <w:rsid w:val="00C53940"/>
    <w:rsid w:val="00C6102F"/>
    <w:rsid w:val="00C853B5"/>
    <w:rsid w:val="00C90A02"/>
    <w:rsid w:val="00CA14E9"/>
    <w:rsid w:val="00CC4BB3"/>
    <w:rsid w:val="00CD1120"/>
    <w:rsid w:val="00CD125E"/>
    <w:rsid w:val="00CE3F5F"/>
    <w:rsid w:val="00CE5C79"/>
    <w:rsid w:val="00CE7473"/>
    <w:rsid w:val="00CF22DE"/>
    <w:rsid w:val="00D04715"/>
    <w:rsid w:val="00D058CA"/>
    <w:rsid w:val="00D10E33"/>
    <w:rsid w:val="00D13BEA"/>
    <w:rsid w:val="00D14A61"/>
    <w:rsid w:val="00D171F7"/>
    <w:rsid w:val="00D27502"/>
    <w:rsid w:val="00D27E87"/>
    <w:rsid w:val="00D31E56"/>
    <w:rsid w:val="00D41751"/>
    <w:rsid w:val="00D55CD6"/>
    <w:rsid w:val="00D70AF4"/>
    <w:rsid w:val="00D74CD9"/>
    <w:rsid w:val="00D75801"/>
    <w:rsid w:val="00D76CDB"/>
    <w:rsid w:val="00D823DE"/>
    <w:rsid w:val="00D835F0"/>
    <w:rsid w:val="00D9758B"/>
    <w:rsid w:val="00DA04C0"/>
    <w:rsid w:val="00DA4982"/>
    <w:rsid w:val="00DD540D"/>
    <w:rsid w:val="00DE2C0A"/>
    <w:rsid w:val="00DF211A"/>
    <w:rsid w:val="00E15647"/>
    <w:rsid w:val="00E15C03"/>
    <w:rsid w:val="00E200FD"/>
    <w:rsid w:val="00E20F80"/>
    <w:rsid w:val="00E22F99"/>
    <w:rsid w:val="00E24049"/>
    <w:rsid w:val="00E27C3E"/>
    <w:rsid w:val="00E50189"/>
    <w:rsid w:val="00E50EB0"/>
    <w:rsid w:val="00E5113E"/>
    <w:rsid w:val="00E604F0"/>
    <w:rsid w:val="00E6263E"/>
    <w:rsid w:val="00E64D67"/>
    <w:rsid w:val="00E74BE4"/>
    <w:rsid w:val="00E84234"/>
    <w:rsid w:val="00EB0243"/>
    <w:rsid w:val="00EE173C"/>
    <w:rsid w:val="00EE2596"/>
    <w:rsid w:val="00EE7349"/>
    <w:rsid w:val="00EF3BC1"/>
    <w:rsid w:val="00F11D93"/>
    <w:rsid w:val="00F131B7"/>
    <w:rsid w:val="00F26F94"/>
    <w:rsid w:val="00F320BB"/>
    <w:rsid w:val="00F33760"/>
    <w:rsid w:val="00F347F1"/>
    <w:rsid w:val="00F36BF6"/>
    <w:rsid w:val="00F36F75"/>
    <w:rsid w:val="00F45944"/>
    <w:rsid w:val="00F47558"/>
    <w:rsid w:val="00F47679"/>
    <w:rsid w:val="00F54DDA"/>
    <w:rsid w:val="00F60D64"/>
    <w:rsid w:val="00F641B2"/>
    <w:rsid w:val="00F719D6"/>
    <w:rsid w:val="00F73441"/>
    <w:rsid w:val="00F91F2A"/>
    <w:rsid w:val="00F92C89"/>
    <w:rsid w:val="00F94814"/>
    <w:rsid w:val="00F959BF"/>
    <w:rsid w:val="00F97DEB"/>
    <w:rsid w:val="00FA449C"/>
    <w:rsid w:val="00FB02C2"/>
    <w:rsid w:val="00FD429E"/>
    <w:rsid w:val="00FE247F"/>
    <w:rsid w:val="00FE3CB6"/>
    <w:rsid w:val="00FF1CE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5C7715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5C7715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5C7715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5C7715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5C7715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5C7715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5C7715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5C7715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5C7715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5C7715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5C7715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5C7715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5C7715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5C7715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5C7715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5C7715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5C7715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5C7715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1AE2-F804-43CF-9DCA-061329A6621C}">
  <ds:schemaRefs/>
</ds:datastoreItem>
</file>

<file path=customXml/itemProps2.xml><?xml version="1.0" encoding="utf-8"?>
<ds:datastoreItem xmlns:ds="http://schemas.openxmlformats.org/officeDocument/2006/customXml" ds:itemID="{E8FB1C5C-2AF7-4EDF-B6FF-40659D2E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6764</Characters>
  <Application>Microsoft Office Word</Application>
  <DocSecurity>4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Liikenneviraston lausunto luonnoksesta hallituksen esitykse</vt:lpstr>
      <vt:lpstr/>
    </vt:vector>
  </TitlesOfParts>
  <Company>Ympäristöhallinto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Liikenneviraston lausunto luonnoksesta hallituksen esitykse</dc:title>
  <dc:creator>Katri Nuuja</dc:creator>
  <cp:lastModifiedBy>Hakkarainen Satu</cp:lastModifiedBy>
  <cp:revision>2</cp:revision>
  <cp:lastPrinted>2016-06-02T12:18:00Z</cp:lastPrinted>
  <dcterms:created xsi:type="dcterms:W3CDTF">2016-06-03T11:13:00Z</dcterms:created>
  <dcterms:modified xsi:type="dcterms:W3CDTF">2016-06-03T11:13:00Z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ittelijä">
    <vt:lpwstr/>
  </property>
  <property fmtid="{D5CDD505-2E9C-101B-9397-08002B2CF9AE}" pid="3" name="Hyväksyjä">
    <vt:lpwstr/>
  </property>
</Properties>
</file>