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6B" w:rsidRPr="001E07CA" w:rsidRDefault="007A11BD" w:rsidP="00B95C3F">
      <w:pPr>
        <w:rPr>
          <w:b/>
          <w:lang w:val="sv-SE"/>
        </w:rPr>
      </w:pPr>
      <w:r w:rsidRPr="001E07CA">
        <w:rPr>
          <w:b/>
          <w:lang w:val="sv-SE"/>
        </w:rPr>
        <w:t>UTKAST</w:t>
      </w:r>
      <w:r w:rsidR="00B91B67" w:rsidRPr="001E07CA">
        <w:rPr>
          <w:b/>
          <w:lang w:val="sv-SE"/>
        </w:rPr>
        <w:t xml:space="preserve"> ANM</w:t>
      </w:r>
      <w:r w:rsidR="00903C6B" w:rsidRPr="001E07CA">
        <w:rPr>
          <w:b/>
          <w:lang w:val="sv-SE"/>
        </w:rPr>
        <w:t>/TMO</w:t>
      </w:r>
      <w:r w:rsidR="00121C64" w:rsidRPr="001E07CA">
        <w:rPr>
          <w:b/>
          <w:lang w:val="sv-SE"/>
        </w:rPr>
        <w:tab/>
        <w:t xml:space="preserve">  </w:t>
      </w:r>
      <w:r w:rsidR="00903C6B" w:rsidRPr="001E07CA">
        <w:rPr>
          <w:b/>
          <w:lang w:val="sv-SE"/>
        </w:rPr>
        <w:tab/>
      </w:r>
      <w:r w:rsidR="00B708BD" w:rsidRPr="001E07CA">
        <w:rPr>
          <w:b/>
          <w:lang w:val="sv-SE"/>
        </w:rPr>
        <w:t>20</w:t>
      </w:r>
      <w:r w:rsidR="00903C6B" w:rsidRPr="001E07CA">
        <w:rPr>
          <w:b/>
          <w:lang w:val="sv-SE"/>
        </w:rPr>
        <w:t>.</w:t>
      </w:r>
      <w:r w:rsidR="003F48C3" w:rsidRPr="001E07CA">
        <w:rPr>
          <w:b/>
          <w:lang w:val="sv-SE"/>
        </w:rPr>
        <w:t>1</w:t>
      </w:r>
      <w:r w:rsidR="00121C64" w:rsidRPr="001E07CA">
        <w:rPr>
          <w:b/>
          <w:lang w:val="sv-SE"/>
        </w:rPr>
        <w:t>2</w:t>
      </w:r>
      <w:r w:rsidR="00903C6B" w:rsidRPr="001E07CA">
        <w:rPr>
          <w:b/>
          <w:lang w:val="sv-SE"/>
        </w:rPr>
        <w:t>.2017</w:t>
      </w:r>
      <w:r w:rsidR="00D36EC0" w:rsidRPr="001E07CA">
        <w:rPr>
          <w:b/>
          <w:lang w:val="sv-SE"/>
        </w:rPr>
        <w:t xml:space="preserve"> </w:t>
      </w:r>
    </w:p>
    <w:p w:rsidR="00903C6B" w:rsidRPr="001E07CA" w:rsidRDefault="00903C6B" w:rsidP="00B95C3F">
      <w:pPr>
        <w:rPr>
          <w:b/>
          <w:lang w:val="sv-SE"/>
        </w:rPr>
      </w:pPr>
    </w:p>
    <w:p w:rsidR="000777A3" w:rsidRDefault="000777A3" w:rsidP="00B95C3F">
      <w:pPr>
        <w:rPr>
          <w:b/>
          <w:lang w:val="sv-SE"/>
        </w:rPr>
      </w:pPr>
    </w:p>
    <w:p w:rsidR="00B95C3F" w:rsidRPr="001E07CA" w:rsidRDefault="007A3489" w:rsidP="00B95C3F">
      <w:pPr>
        <w:rPr>
          <w:b/>
          <w:lang w:val="sv-SE"/>
        </w:rPr>
      </w:pPr>
      <w:r w:rsidRPr="001E07CA">
        <w:rPr>
          <w:b/>
          <w:lang w:val="sv-SE"/>
        </w:rPr>
        <w:t xml:space="preserve">Regeringens proposition till riksdagen med förslag till </w:t>
      </w:r>
      <w:r w:rsidR="00BE07FD">
        <w:rPr>
          <w:b/>
          <w:lang w:val="sv-SE"/>
        </w:rPr>
        <w:t>gasanordnings</w:t>
      </w:r>
      <w:r w:rsidRPr="001E07CA">
        <w:rPr>
          <w:b/>
          <w:lang w:val="sv-SE"/>
        </w:rPr>
        <w:t>lag och till vissa lagar som har samband med den</w:t>
      </w:r>
      <w:r w:rsidR="00B95C3F" w:rsidRPr="001E07CA">
        <w:rPr>
          <w:b/>
          <w:lang w:val="sv-SE"/>
        </w:rPr>
        <w:t xml:space="preserve"> </w:t>
      </w:r>
    </w:p>
    <w:p w:rsidR="00B95C3F" w:rsidRPr="001E07CA" w:rsidRDefault="00B95C3F" w:rsidP="00B95C3F">
      <w:pPr>
        <w:rPr>
          <w:b/>
          <w:lang w:val="sv-SE"/>
        </w:rPr>
      </w:pPr>
    </w:p>
    <w:p w:rsidR="000C38A6" w:rsidRPr="001E07CA" w:rsidRDefault="000C38A6" w:rsidP="00B95C3F">
      <w:pPr>
        <w:rPr>
          <w:b/>
          <w:lang w:val="sv-SE"/>
        </w:rPr>
      </w:pPr>
    </w:p>
    <w:p w:rsidR="00B95C3F" w:rsidRPr="001E07CA" w:rsidRDefault="007A3489" w:rsidP="00B95C3F">
      <w:pPr>
        <w:rPr>
          <w:b/>
          <w:lang w:val="sv-SE"/>
        </w:rPr>
      </w:pPr>
      <w:r w:rsidRPr="001E07CA">
        <w:rPr>
          <w:b/>
          <w:lang w:val="sv-SE"/>
        </w:rPr>
        <w:t>PROPOSITIONENS HUVUDSAKLIGA INNEHÅLL</w:t>
      </w:r>
    </w:p>
    <w:p w:rsidR="00B95C3F" w:rsidRPr="001E07CA" w:rsidRDefault="00B95C3F" w:rsidP="00B95C3F">
      <w:pPr>
        <w:rPr>
          <w:b/>
          <w:lang w:val="sv-SE"/>
        </w:rPr>
      </w:pPr>
    </w:p>
    <w:p w:rsidR="000C38A6" w:rsidRPr="001E07CA" w:rsidRDefault="000C38A6" w:rsidP="00B95C3F">
      <w:pPr>
        <w:rPr>
          <w:lang w:val="sv-SE"/>
        </w:rPr>
      </w:pPr>
    </w:p>
    <w:p w:rsidR="002667EB" w:rsidRPr="001E07CA" w:rsidRDefault="007A3489" w:rsidP="00B95C3F">
      <w:pPr>
        <w:rPr>
          <w:lang w:val="sv-SE"/>
        </w:rPr>
      </w:pPr>
      <w:r w:rsidRPr="001E07CA">
        <w:rPr>
          <w:lang w:val="sv-SE"/>
        </w:rPr>
        <w:t xml:space="preserve">I denna proposition föreslås det att det stiftas en ny </w:t>
      </w:r>
      <w:r w:rsidR="0030600B" w:rsidRPr="001E07CA">
        <w:rPr>
          <w:lang w:val="sv-SE"/>
        </w:rPr>
        <w:t>gasanordningslag</w:t>
      </w:r>
      <w:r w:rsidRPr="001E07CA">
        <w:rPr>
          <w:lang w:val="sv-SE"/>
        </w:rPr>
        <w:t>.</w:t>
      </w:r>
      <w:r w:rsidR="000C38A6" w:rsidRPr="001E07CA">
        <w:rPr>
          <w:lang w:val="sv-SE"/>
        </w:rPr>
        <w:t xml:space="preserve"> </w:t>
      </w:r>
      <w:r w:rsidR="00361ED3" w:rsidRPr="001E07CA">
        <w:rPr>
          <w:lang w:val="sv-SE"/>
        </w:rPr>
        <w:t>Genom den nya lagen utfärdas kompletteran</w:t>
      </w:r>
      <w:r w:rsidR="007A7A97" w:rsidRPr="001E07CA">
        <w:rPr>
          <w:lang w:val="sv-SE"/>
        </w:rPr>
        <w:t xml:space="preserve">de nationell lagstiftning om sådana detaljer </w:t>
      </w:r>
      <w:r w:rsidR="00361ED3" w:rsidRPr="001E07CA">
        <w:rPr>
          <w:lang w:val="sv-SE"/>
        </w:rPr>
        <w:t>som följer av Europeiska unionens förordning om gasanordningar.</w:t>
      </w:r>
      <w:r w:rsidR="000C38A6" w:rsidRPr="001E07CA">
        <w:rPr>
          <w:lang w:val="sv-SE"/>
        </w:rPr>
        <w:t xml:space="preserve"> </w:t>
      </w:r>
      <w:r w:rsidR="00511033" w:rsidRPr="001E07CA">
        <w:rPr>
          <w:lang w:val="sv-SE"/>
        </w:rPr>
        <w:t>Europaparlamentets och rådets nya förordning om anordningar för förbränning av gasformiga bränslen ersätter de</w:t>
      </w:r>
      <w:r w:rsidR="00BD47B6" w:rsidRPr="001E07CA">
        <w:rPr>
          <w:lang w:val="sv-SE"/>
        </w:rPr>
        <w:t>t gällande</w:t>
      </w:r>
      <w:r w:rsidR="00511033" w:rsidRPr="001E07CA">
        <w:rPr>
          <w:lang w:val="sv-SE"/>
        </w:rPr>
        <w:t xml:space="preserve"> direktivet</w:t>
      </w:r>
      <w:r w:rsidR="00BD47B6" w:rsidRPr="001E07CA">
        <w:rPr>
          <w:lang w:val="sv-SE"/>
        </w:rPr>
        <w:t xml:space="preserve"> om anordningar för förbränning av gasformiga bränslen</w:t>
      </w:r>
      <w:r w:rsidR="00511033" w:rsidRPr="001E07CA">
        <w:rPr>
          <w:lang w:val="sv-SE"/>
        </w:rPr>
        <w:t>.</w:t>
      </w:r>
    </w:p>
    <w:p w:rsidR="005F53E8" w:rsidRPr="001E07CA" w:rsidRDefault="005F53E8" w:rsidP="00B95C3F">
      <w:pPr>
        <w:rPr>
          <w:lang w:val="sv-SE"/>
        </w:rPr>
      </w:pPr>
    </w:p>
    <w:p w:rsidR="005F53E8" w:rsidRPr="001E07CA" w:rsidRDefault="00B10D93" w:rsidP="00B95C3F">
      <w:pPr>
        <w:rPr>
          <w:lang w:val="sv-SE"/>
        </w:rPr>
      </w:pPr>
      <w:r w:rsidRPr="001E07CA">
        <w:rPr>
          <w:lang w:val="sv-SE"/>
        </w:rPr>
        <w:t>I anslutning till</w:t>
      </w:r>
      <w:r w:rsidR="00FD59DC" w:rsidRPr="001E07CA">
        <w:rPr>
          <w:lang w:val="sv-SE"/>
        </w:rPr>
        <w:t xml:space="preserve"> </w:t>
      </w:r>
      <w:r w:rsidRPr="001E07CA">
        <w:rPr>
          <w:lang w:val="sv-SE"/>
        </w:rPr>
        <w:t>gasanordningslagen</w:t>
      </w:r>
      <w:r w:rsidR="00A44282" w:rsidRPr="001E07CA">
        <w:rPr>
          <w:lang w:val="sv-SE"/>
        </w:rPr>
        <w:t xml:space="preserve"> föreslås </w:t>
      </w:r>
      <w:r w:rsidR="00A22D57" w:rsidRPr="001E07CA">
        <w:rPr>
          <w:lang w:val="sv-SE"/>
        </w:rPr>
        <w:t xml:space="preserve">det </w:t>
      </w:r>
      <w:r w:rsidR="00A44282" w:rsidRPr="001E07CA">
        <w:rPr>
          <w:lang w:val="sv-SE"/>
        </w:rPr>
        <w:t xml:space="preserve">dessutom </w:t>
      </w:r>
      <w:r w:rsidR="00616381" w:rsidRPr="001E07CA">
        <w:rPr>
          <w:lang w:val="sv-SE"/>
        </w:rPr>
        <w:t xml:space="preserve">att </w:t>
      </w:r>
      <w:r w:rsidR="00A22D57" w:rsidRPr="001E07CA">
        <w:rPr>
          <w:lang w:val="sv-SE"/>
        </w:rPr>
        <w:t>det stiftas en lag om ändring av</w:t>
      </w:r>
      <w:r w:rsidR="003B4BED" w:rsidRPr="001E07CA">
        <w:rPr>
          <w:lang w:val="sv-SE"/>
        </w:rPr>
        <w:t xml:space="preserve"> </w:t>
      </w:r>
      <w:r w:rsidR="00616381" w:rsidRPr="001E07CA">
        <w:rPr>
          <w:lang w:val="sv-SE"/>
        </w:rPr>
        <w:t>la</w:t>
      </w:r>
      <w:r w:rsidR="00DE70B7" w:rsidRPr="001E07CA">
        <w:rPr>
          <w:lang w:val="sv-SE"/>
        </w:rPr>
        <w:t>gen om marknadskontrollen av</w:t>
      </w:r>
      <w:r w:rsidR="00616381" w:rsidRPr="001E07CA">
        <w:rPr>
          <w:lang w:val="sv-SE"/>
        </w:rPr>
        <w:t xml:space="preserve"> vissa produkter, </w:t>
      </w:r>
      <w:r w:rsidRPr="001E07CA">
        <w:rPr>
          <w:lang w:val="sv-SE"/>
        </w:rPr>
        <w:t xml:space="preserve">en </w:t>
      </w:r>
      <w:r w:rsidR="00A22D57" w:rsidRPr="001E07CA">
        <w:rPr>
          <w:lang w:val="sv-SE"/>
        </w:rPr>
        <w:t xml:space="preserve">lag om ändring av </w:t>
      </w:r>
      <w:r w:rsidR="00616381" w:rsidRPr="001E07CA">
        <w:rPr>
          <w:lang w:val="sv-SE"/>
        </w:rPr>
        <w:t>lag</w:t>
      </w:r>
      <w:r w:rsidR="00A44282" w:rsidRPr="001E07CA">
        <w:rPr>
          <w:lang w:val="sv-SE"/>
        </w:rPr>
        <w:t>en</w:t>
      </w:r>
      <w:r w:rsidR="00616381" w:rsidRPr="001E07CA">
        <w:rPr>
          <w:lang w:val="sv-SE"/>
        </w:rPr>
        <w:t xml:space="preserve"> om anmälda organ för vissa produktgrupper samt </w:t>
      </w:r>
      <w:r w:rsidRPr="001E07CA">
        <w:rPr>
          <w:lang w:val="sv-SE"/>
        </w:rPr>
        <w:t xml:space="preserve">en </w:t>
      </w:r>
      <w:r w:rsidR="00A22D57" w:rsidRPr="001E07CA">
        <w:rPr>
          <w:lang w:val="sv-SE"/>
        </w:rPr>
        <w:t xml:space="preserve">lag om ändring av </w:t>
      </w:r>
      <w:r w:rsidR="00616381" w:rsidRPr="001E07CA">
        <w:rPr>
          <w:lang w:val="sv-SE"/>
        </w:rPr>
        <w:t>lagen om säkerhet vid hantering av farliga kem</w:t>
      </w:r>
      <w:r w:rsidR="00A22D57" w:rsidRPr="001E07CA">
        <w:rPr>
          <w:lang w:val="sv-SE"/>
        </w:rPr>
        <w:t>ikalier och explosiva varor</w:t>
      </w:r>
      <w:r w:rsidR="00616381" w:rsidRPr="001E07CA">
        <w:rPr>
          <w:lang w:val="sv-SE"/>
        </w:rPr>
        <w:t>.</w:t>
      </w:r>
      <w:r w:rsidR="006F04DD" w:rsidRPr="001E07CA">
        <w:rPr>
          <w:lang w:val="sv-SE"/>
        </w:rPr>
        <w:t xml:space="preserve"> </w:t>
      </w:r>
      <w:r w:rsidR="002B7200" w:rsidRPr="001E07CA">
        <w:rPr>
          <w:lang w:val="sv-SE"/>
        </w:rPr>
        <w:t>Med tanke på anordningar som är avsedda att användas i explosionsfarliga omgivningar föreslås dessutom att det stiftas en lag om ändring av lagen om säkerhet vid hantering av farliga kemikalier och explosiva varor.</w:t>
      </w:r>
      <w:r w:rsidR="005161D4" w:rsidRPr="001E07CA">
        <w:rPr>
          <w:lang w:val="sv-SE"/>
        </w:rPr>
        <w:t xml:space="preserve"> </w:t>
      </w:r>
      <w:r w:rsidR="002B7200" w:rsidRPr="001E07CA">
        <w:rPr>
          <w:lang w:val="sv-SE"/>
        </w:rPr>
        <w:t>Ändringarna är små och har karaktären av lagtekniska ändringar.</w:t>
      </w:r>
    </w:p>
    <w:p w:rsidR="005F53E8" w:rsidRPr="001E07CA" w:rsidRDefault="005F53E8" w:rsidP="00B95C3F">
      <w:pPr>
        <w:rPr>
          <w:lang w:val="sv-SE"/>
        </w:rPr>
      </w:pPr>
    </w:p>
    <w:p w:rsidR="000777A3" w:rsidRDefault="002B7200" w:rsidP="00B95C3F">
      <w:pPr>
        <w:rPr>
          <w:lang w:val="sv-SE"/>
        </w:rPr>
      </w:pPr>
      <w:r w:rsidRPr="001E07CA">
        <w:rPr>
          <w:lang w:val="sv-SE"/>
        </w:rPr>
        <w:t xml:space="preserve">Förordningen om anordningar för förbränning av gasformiga bränslen ska tillämpas från och med den 21 april 2018 då </w:t>
      </w:r>
      <w:r w:rsidR="002E1F38" w:rsidRPr="001E07CA">
        <w:rPr>
          <w:lang w:val="sv-SE"/>
        </w:rPr>
        <w:t xml:space="preserve">även de föreslagna </w:t>
      </w:r>
      <w:r w:rsidRPr="001E07CA">
        <w:rPr>
          <w:lang w:val="sv-SE"/>
        </w:rPr>
        <w:t>lagarna avses träda i kraft.</w:t>
      </w:r>
    </w:p>
    <w:p w:rsidR="000777A3" w:rsidRDefault="000777A3">
      <w:pPr>
        <w:spacing w:after="200" w:line="276" w:lineRule="auto"/>
        <w:rPr>
          <w:lang w:val="sv-SE"/>
        </w:rPr>
      </w:pPr>
      <w:r>
        <w:rPr>
          <w:lang w:val="sv-SE"/>
        </w:rPr>
        <w:br w:type="page"/>
      </w:r>
    </w:p>
    <w:p w:rsidR="00B95C3F" w:rsidRPr="001E07CA" w:rsidRDefault="00A22D57" w:rsidP="00B95C3F">
      <w:pPr>
        <w:rPr>
          <w:b/>
          <w:lang w:val="sv-SE"/>
        </w:rPr>
      </w:pPr>
      <w:r w:rsidRPr="001E07CA">
        <w:rPr>
          <w:b/>
          <w:lang w:val="sv-SE"/>
        </w:rPr>
        <w:lastRenderedPageBreak/>
        <w:t>ALLMÄN MOTIVERING</w:t>
      </w:r>
    </w:p>
    <w:p w:rsidR="00B95C3F" w:rsidRPr="001E07CA" w:rsidRDefault="00B95C3F" w:rsidP="00B95C3F">
      <w:pPr>
        <w:rPr>
          <w:b/>
          <w:lang w:val="sv-SE"/>
        </w:rPr>
      </w:pPr>
    </w:p>
    <w:p w:rsidR="00B95C3F" w:rsidRPr="001E07CA" w:rsidRDefault="00546D7A" w:rsidP="00B95C3F">
      <w:pPr>
        <w:rPr>
          <w:b/>
          <w:lang w:val="sv-SE"/>
        </w:rPr>
      </w:pPr>
      <w:r w:rsidRPr="001E07CA">
        <w:rPr>
          <w:b/>
          <w:lang w:val="sv-SE"/>
        </w:rPr>
        <w:t>1 Nuläge</w:t>
      </w:r>
    </w:p>
    <w:p w:rsidR="00B95C3F" w:rsidRPr="001E07CA" w:rsidRDefault="00B95C3F" w:rsidP="00B95C3F">
      <w:pPr>
        <w:rPr>
          <w:b/>
          <w:lang w:val="sv-SE"/>
        </w:rPr>
      </w:pPr>
    </w:p>
    <w:p w:rsidR="00B95C3F" w:rsidRPr="001E07CA" w:rsidRDefault="00546D7A" w:rsidP="00B95C3F">
      <w:pPr>
        <w:rPr>
          <w:b/>
          <w:lang w:val="sv-SE"/>
        </w:rPr>
      </w:pPr>
      <w:r w:rsidRPr="001E07CA">
        <w:rPr>
          <w:b/>
          <w:lang w:val="sv-SE"/>
        </w:rPr>
        <w:t>1.1 Lagstiftning och praxis</w:t>
      </w:r>
    </w:p>
    <w:p w:rsidR="00B95C3F" w:rsidRPr="001E07CA" w:rsidRDefault="00B95C3F" w:rsidP="00B95C3F">
      <w:pPr>
        <w:rPr>
          <w:lang w:val="sv-SE"/>
        </w:rPr>
      </w:pPr>
    </w:p>
    <w:p w:rsidR="007A6A25" w:rsidRPr="001E07CA" w:rsidRDefault="00546D7A" w:rsidP="00B95C3F">
      <w:pPr>
        <w:rPr>
          <w:lang w:val="sv-SE"/>
        </w:rPr>
      </w:pPr>
      <w:r w:rsidRPr="001E07CA">
        <w:rPr>
          <w:lang w:val="sv-SE"/>
        </w:rPr>
        <w:t>Europaparlamentets och rådets direktiv 2009/142/EG om anordningar för förbränning av gasformiga bränslen</w:t>
      </w:r>
      <w:r w:rsidRPr="001E07CA">
        <w:rPr>
          <w:i/>
          <w:lang w:val="sv-SE"/>
        </w:rPr>
        <w:t xml:space="preserve">, </w:t>
      </w:r>
      <w:r w:rsidRPr="001E07CA">
        <w:rPr>
          <w:lang w:val="sv-SE"/>
        </w:rPr>
        <w:t>nedan</w:t>
      </w:r>
      <w:r w:rsidRPr="001E07CA">
        <w:rPr>
          <w:i/>
          <w:lang w:val="sv-SE"/>
        </w:rPr>
        <w:t xml:space="preserve"> gasanordningsdirektivet, </w:t>
      </w:r>
      <w:r w:rsidRPr="001E07CA">
        <w:rPr>
          <w:lang w:val="sv-SE"/>
        </w:rPr>
        <w:t xml:space="preserve">har genomförts nationellt genom gasanordningsförordningen (1434/1993), nedan </w:t>
      </w:r>
      <w:r w:rsidRPr="001E07CA">
        <w:rPr>
          <w:i/>
          <w:lang w:val="sv-SE"/>
        </w:rPr>
        <w:t>den nationella gasanordningsförordningen.</w:t>
      </w:r>
      <w:r w:rsidR="007A6A25" w:rsidRPr="001E07CA">
        <w:rPr>
          <w:lang w:val="sv-SE"/>
        </w:rPr>
        <w:t xml:space="preserve"> </w:t>
      </w:r>
      <w:r w:rsidR="001705B0" w:rsidRPr="001E07CA">
        <w:rPr>
          <w:lang w:val="sv-SE"/>
        </w:rPr>
        <w:t>Den har en gång i tiden</w:t>
      </w:r>
      <w:r w:rsidRPr="001E07CA">
        <w:rPr>
          <w:lang w:val="sv-SE"/>
        </w:rPr>
        <w:t xml:space="preserve"> utfärdats med stöd av lagen om explosionsfarliga ämnen (263/1953), men har fått förbli i kraft med stöd av lagen om säkerhet vid hantering av farliga kemikalier och explosiva varor (390/2005), nedan </w:t>
      </w:r>
      <w:r w:rsidRPr="001E07CA">
        <w:rPr>
          <w:i/>
          <w:lang w:val="sv-SE"/>
        </w:rPr>
        <w:t>kemikaliesäkerhetslagen</w:t>
      </w:r>
      <w:r w:rsidRPr="001E07CA">
        <w:rPr>
          <w:lang w:val="sv-SE"/>
        </w:rPr>
        <w:t>.</w:t>
      </w:r>
    </w:p>
    <w:p w:rsidR="00B95C3F" w:rsidRPr="001E07CA" w:rsidRDefault="00B95C3F" w:rsidP="00B95C3F">
      <w:pPr>
        <w:rPr>
          <w:lang w:val="sv-SE"/>
        </w:rPr>
      </w:pPr>
    </w:p>
    <w:p w:rsidR="00DE50AA" w:rsidRPr="001E07CA" w:rsidRDefault="0099287D" w:rsidP="00DE50AA">
      <w:pPr>
        <w:rPr>
          <w:lang w:val="sv-SE"/>
        </w:rPr>
      </w:pPr>
      <w:r w:rsidRPr="001E07CA">
        <w:rPr>
          <w:lang w:val="sv-SE"/>
        </w:rPr>
        <w:t>Bestämmelser om produkter som är förknippade med farliga kemikalier</w:t>
      </w:r>
      <w:r w:rsidR="00E9626B" w:rsidRPr="001E07CA">
        <w:rPr>
          <w:lang w:val="sv-SE"/>
        </w:rPr>
        <w:t>, vilka bl.a. inbegriper gasanordningar,</w:t>
      </w:r>
      <w:r w:rsidRPr="001E07CA">
        <w:rPr>
          <w:lang w:val="sv-SE"/>
        </w:rPr>
        <w:t xml:space="preserve"> finns i 5 kap. i kemikaliesäkerhetslagen.</w:t>
      </w:r>
      <w:r w:rsidR="00DE50AA" w:rsidRPr="001E07CA">
        <w:rPr>
          <w:lang w:val="sv-SE"/>
        </w:rPr>
        <w:t xml:space="preserve"> </w:t>
      </w:r>
      <w:r w:rsidRPr="001E07CA">
        <w:rPr>
          <w:lang w:val="sv-SE"/>
        </w:rPr>
        <w:t>I den lagen fastställs centrala krav på planeringen av, materialet hos och tillverkningen av gasanordningar samt på informationen i samband med produkterna för att de ska kunna användas</w:t>
      </w:r>
      <w:r w:rsidR="005C23AB" w:rsidRPr="001E07CA">
        <w:rPr>
          <w:lang w:val="sv-SE"/>
        </w:rPr>
        <w:t xml:space="preserve"> tryggt</w:t>
      </w:r>
      <w:r w:rsidRPr="001E07CA">
        <w:rPr>
          <w:lang w:val="sv-SE"/>
        </w:rPr>
        <w:t xml:space="preserve"> under deras hela </w:t>
      </w:r>
      <w:r w:rsidR="007B54EA" w:rsidRPr="001E07CA">
        <w:rPr>
          <w:lang w:val="sv-SE"/>
        </w:rPr>
        <w:t xml:space="preserve">förväntade livslängd </w:t>
      </w:r>
      <w:r w:rsidRPr="001E07CA">
        <w:rPr>
          <w:lang w:val="sv-SE"/>
        </w:rPr>
        <w:t>(47 och 48 § i kemikaliesäkerhetslagen).</w:t>
      </w:r>
    </w:p>
    <w:p w:rsidR="00DE50AA" w:rsidRPr="001E07CA" w:rsidRDefault="00DE50AA" w:rsidP="00B95C3F">
      <w:pPr>
        <w:rPr>
          <w:lang w:val="sv-SE"/>
        </w:rPr>
      </w:pPr>
    </w:p>
    <w:p w:rsidR="00FA03A3" w:rsidRPr="001E07CA" w:rsidRDefault="00A41F8F" w:rsidP="00B95C3F">
      <w:pPr>
        <w:rPr>
          <w:lang w:val="sv-SE"/>
        </w:rPr>
      </w:pPr>
      <w:r w:rsidRPr="001E07CA">
        <w:rPr>
          <w:lang w:val="sv-SE"/>
        </w:rPr>
        <w:t>M</w:t>
      </w:r>
      <w:r w:rsidR="00BD27FF" w:rsidRPr="001E07CA">
        <w:rPr>
          <w:lang w:val="sv-SE"/>
        </w:rPr>
        <w:t>ed gasanordning</w:t>
      </w:r>
      <w:r w:rsidR="000D202D" w:rsidRPr="001E07CA">
        <w:rPr>
          <w:lang w:val="sv-SE"/>
        </w:rPr>
        <w:t>ar</w:t>
      </w:r>
      <w:r w:rsidR="00BD27FF" w:rsidRPr="001E07CA">
        <w:rPr>
          <w:lang w:val="sv-SE"/>
        </w:rPr>
        <w:t xml:space="preserve"> </w:t>
      </w:r>
      <w:r w:rsidRPr="001E07CA">
        <w:rPr>
          <w:lang w:val="sv-SE"/>
        </w:rPr>
        <w:t xml:space="preserve">avses i ovan nämnda författningar </w:t>
      </w:r>
      <w:r w:rsidR="00BD27FF" w:rsidRPr="001E07CA">
        <w:rPr>
          <w:lang w:val="sv-SE"/>
        </w:rPr>
        <w:t xml:space="preserve">anordningar som förbränner gasformiga bränslen och som används för </w:t>
      </w:r>
      <w:r w:rsidR="008628E0" w:rsidRPr="001E07CA">
        <w:rPr>
          <w:lang w:val="sv-SE"/>
        </w:rPr>
        <w:t>matlagning, kylning, ventilation, uppvärmning av lokaler, varmvattenberedning, belysning eller tvätt</w:t>
      </w:r>
      <w:r w:rsidR="00BD27FF" w:rsidRPr="001E07CA">
        <w:rPr>
          <w:lang w:val="sv-SE"/>
        </w:rPr>
        <w:t>.</w:t>
      </w:r>
      <w:r w:rsidR="00DE50AA" w:rsidRPr="001E07CA">
        <w:rPr>
          <w:lang w:val="sv-SE"/>
        </w:rPr>
        <w:t xml:space="preserve"> </w:t>
      </w:r>
      <w:r w:rsidR="00BD27FF" w:rsidRPr="001E07CA">
        <w:rPr>
          <w:lang w:val="sv-SE"/>
        </w:rPr>
        <w:t>Med gasanordningar avses dessutom fläktgasbrännare</w:t>
      </w:r>
      <w:r w:rsidR="008628E0" w:rsidRPr="001E07CA">
        <w:rPr>
          <w:lang w:val="sv-SE"/>
        </w:rPr>
        <w:t xml:space="preserve"> och uppvärmningsanordningar som förses med sådana brännare.</w:t>
      </w:r>
      <w:r w:rsidR="005769A5" w:rsidRPr="001E07CA">
        <w:rPr>
          <w:lang w:val="sv-SE"/>
        </w:rPr>
        <w:t xml:space="preserve"> </w:t>
      </w:r>
      <w:r w:rsidR="00B07D15" w:rsidRPr="001E07CA">
        <w:rPr>
          <w:lang w:val="sv-SE"/>
        </w:rPr>
        <w:t>Tillämpningsområdet omfattar inte gasanordningar som är avsedda att användas inom industriella processer.</w:t>
      </w:r>
      <w:r w:rsidR="005769A5" w:rsidRPr="001E07CA">
        <w:rPr>
          <w:lang w:val="sv-SE"/>
        </w:rPr>
        <w:t xml:space="preserve"> </w:t>
      </w:r>
      <w:r w:rsidR="00B07D15" w:rsidRPr="001E07CA">
        <w:rPr>
          <w:lang w:val="sv-SE"/>
        </w:rPr>
        <w:t xml:space="preserve">I Finland </w:t>
      </w:r>
      <w:r w:rsidR="00053DE6" w:rsidRPr="001E07CA">
        <w:rPr>
          <w:lang w:val="sv-SE"/>
        </w:rPr>
        <w:t>används gasanordningar oftast i samband med</w:t>
      </w:r>
      <w:r w:rsidR="00B07D15" w:rsidRPr="001E07CA">
        <w:rPr>
          <w:lang w:val="sv-SE"/>
        </w:rPr>
        <w:t xml:space="preserve"> fritidsakt</w:t>
      </w:r>
      <w:r w:rsidR="00053DE6" w:rsidRPr="001E07CA">
        <w:rPr>
          <w:lang w:val="sv-SE"/>
        </w:rPr>
        <w:t>iviteter i</w:t>
      </w:r>
      <w:r w:rsidR="00B07D15" w:rsidRPr="001E07CA">
        <w:rPr>
          <w:lang w:val="sv-SE"/>
        </w:rPr>
        <w:t xml:space="preserve"> hushåll, husvagnar och båtar.</w:t>
      </w:r>
      <w:r w:rsidR="005769A5" w:rsidRPr="001E07CA">
        <w:rPr>
          <w:lang w:val="sv-SE"/>
        </w:rPr>
        <w:t xml:space="preserve"> </w:t>
      </w:r>
      <w:r w:rsidR="00B07D15" w:rsidRPr="001E07CA">
        <w:rPr>
          <w:lang w:val="sv-SE"/>
        </w:rPr>
        <w:t>Exempel på typiska gasanordningar är ga</w:t>
      </w:r>
      <w:r w:rsidR="00053DE6" w:rsidRPr="001E07CA">
        <w:rPr>
          <w:lang w:val="sv-SE"/>
        </w:rPr>
        <w:t>sdrivna grillar, spisar, värmeaggregat</w:t>
      </w:r>
      <w:r w:rsidR="00B07D15" w:rsidRPr="001E07CA">
        <w:rPr>
          <w:lang w:val="sv-SE"/>
        </w:rPr>
        <w:t xml:space="preserve"> för uppvärmning av rum och terrasser samt kylskåp.</w:t>
      </w:r>
    </w:p>
    <w:p w:rsidR="00FA03A3" w:rsidRPr="001E07CA" w:rsidRDefault="00FA03A3" w:rsidP="00B95C3F">
      <w:pPr>
        <w:rPr>
          <w:lang w:val="sv-SE"/>
        </w:rPr>
      </w:pPr>
    </w:p>
    <w:p w:rsidR="008948C0" w:rsidRPr="001E07CA" w:rsidRDefault="00376788" w:rsidP="00B95C3F">
      <w:pPr>
        <w:rPr>
          <w:lang w:val="sv-SE"/>
        </w:rPr>
      </w:pPr>
      <w:r w:rsidRPr="001E07CA">
        <w:rPr>
          <w:lang w:val="sv-SE"/>
        </w:rPr>
        <w:t>B</w:t>
      </w:r>
      <w:r w:rsidR="00B07D15" w:rsidRPr="001E07CA">
        <w:rPr>
          <w:lang w:val="sv-SE"/>
        </w:rPr>
        <w:t xml:space="preserve">estämmelser om </w:t>
      </w:r>
      <w:r w:rsidR="000332E9" w:rsidRPr="001E07CA">
        <w:rPr>
          <w:lang w:val="sv-SE"/>
        </w:rPr>
        <w:t>besiktningsorgan</w:t>
      </w:r>
      <w:r w:rsidRPr="001E07CA">
        <w:rPr>
          <w:lang w:val="sv-SE"/>
        </w:rPr>
        <w:t xml:space="preserve"> finns i </w:t>
      </w:r>
      <w:r w:rsidR="00E0333A" w:rsidRPr="001E07CA">
        <w:rPr>
          <w:lang w:val="sv-SE"/>
        </w:rPr>
        <w:t>12 kap. i kemikaliesäkerhetslagen.</w:t>
      </w:r>
      <w:r w:rsidR="008948C0" w:rsidRPr="001E07CA">
        <w:rPr>
          <w:lang w:val="sv-SE"/>
        </w:rPr>
        <w:t xml:space="preserve"> </w:t>
      </w:r>
      <w:r w:rsidR="000332E9" w:rsidRPr="001E07CA">
        <w:rPr>
          <w:lang w:val="sv-SE"/>
        </w:rPr>
        <w:t>Kapitlet innehåller bestämmelser om godkännande av ett besiktningsorgan, förutsättningarna för godkännande av ett besiktningsorgan, bes</w:t>
      </w:r>
      <w:r w:rsidR="00437B13" w:rsidRPr="001E07CA">
        <w:rPr>
          <w:lang w:val="sv-SE"/>
        </w:rPr>
        <w:t>iktningsorganets uppgifter och u</w:t>
      </w:r>
      <w:r w:rsidR="000332E9" w:rsidRPr="001E07CA">
        <w:rPr>
          <w:lang w:val="sv-SE"/>
        </w:rPr>
        <w:t>tförande av besiktningsorgansuppgifter samt om bemyndigande att utfärda förordning om godkännande av besiktningsorgan.</w:t>
      </w:r>
      <w:r w:rsidR="008948C0" w:rsidRPr="001E07CA">
        <w:rPr>
          <w:lang w:val="sv-SE"/>
        </w:rPr>
        <w:t xml:space="preserve"> </w:t>
      </w:r>
      <w:r w:rsidR="000332E9" w:rsidRPr="001E07CA">
        <w:rPr>
          <w:lang w:val="sv-SE"/>
        </w:rPr>
        <w:t xml:space="preserve">Anmälda organ </w:t>
      </w:r>
      <w:r w:rsidR="00437B13" w:rsidRPr="001E07CA">
        <w:rPr>
          <w:lang w:val="sv-SE"/>
        </w:rPr>
        <w:t xml:space="preserve">för </w:t>
      </w:r>
      <w:r w:rsidR="000332E9" w:rsidRPr="001E07CA">
        <w:rPr>
          <w:lang w:val="sv-SE"/>
        </w:rPr>
        <w:t>gasanordningar godkänns och anmäls till Europeiska kommissionen med iakttagande av förfaranden enligt 12 kap.</w:t>
      </w:r>
      <w:r w:rsidR="00604C3D" w:rsidRPr="001E07CA">
        <w:rPr>
          <w:lang w:val="sv-SE"/>
        </w:rPr>
        <w:t xml:space="preserve"> </w:t>
      </w:r>
      <w:r w:rsidR="000332E9" w:rsidRPr="001E07CA">
        <w:rPr>
          <w:lang w:val="sv-SE"/>
        </w:rPr>
        <w:t>Bestämmelser om återkallande av godkännande</w:t>
      </w:r>
      <w:r w:rsidR="00022FA4" w:rsidRPr="001E07CA">
        <w:rPr>
          <w:lang w:val="sv-SE"/>
        </w:rPr>
        <w:t>t</w:t>
      </w:r>
      <w:r w:rsidR="000332E9" w:rsidRPr="001E07CA">
        <w:rPr>
          <w:lang w:val="sv-SE"/>
        </w:rPr>
        <w:t xml:space="preserve"> av ett besiktningsorgan finns i 13 kap. i kemikaliesäkerhetslagen.</w:t>
      </w:r>
    </w:p>
    <w:p w:rsidR="00604C3D" w:rsidRPr="001E07CA" w:rsidRDefault="00604C3D" w:rsidP="00B95C3F">
      <w:pPr>
        <w:rPr>
          <w:lang w:val="sv-SE"/>
        </w:rPr>
      </w:pPr>
    </w:p>
    <w:p w:rsidR="00604C3D" w:rsidRPr="001E07CA" w:rsidRDefault="00547FB4" w:rsidP="00B95C3F">
      <w:pPr>
        <w:rPr>
          <w:lang w:val="sv-SE"/>
        </w:rPr>
      </w:pPr>
      <w:r w:rsidRPr="001E07CA">
        <w:rPr>
          <w:lang w:val="sv-SE"/>
        </w:rPr>
        <w:t>Bestämmelser om förbud och begränsningar finns</w:t>
      </w:r>
      <w:r w:rsidR="00491FB2" w:rsidRPr="001E07CA">
        <w:rPr>
          <w:lang w:val="sv-SE"/>
        </w:rPr>
        <w:t xml:space="preserve"> i </w:t>
      </w:r>
      <w:r w:rsidR="005F51D2" w:rsidRPr="001E07CA">
        <w:rPr>
          <w:lang w:val="sv-SE"/>
        </w:rPr>
        <w:t xml:space="preserve">13 kap. i </w:t>
      </w:r>
      <w:r w:rsidR="00491FB2" w:rsidRPr="001E07CA">
        <w:rPr>
          <w:lang w:val="sv-SE"/>
        </w:rPr>
        <w:t>kemikaliesäkerhetslagen</w:t>
      </w:r>
      <w:r w:rsidRPr="001E07CA">
        <w:rPr>
          <w:lang w:val="sv-SE"/>
        </w:rPr>
        <w:t>.</w:t>
      </w:r>
      <w:r w:rsidR="005D04A7" w:rsidRPr="001E07CA">
        <w:rPr>
          <w:lang w:val="sv-SE"/>
        </w:rPr>
        <w:t xml:space="preserve"> </w:t>
      </w:r>
      <w:r w:rsidR="00CB2C9C" w:rsidRPr="001E07CA">
        <w:rPr>
          <w:lang w:val="sv-SE"/>
        </w:rPr>
        <w:t xml:space="preserve">Kapitlet omfattar både produkter och anläggningar </w:t>
      </w:r>
      <w:r w:rsidR="00EB02F2" w:rsidRPr="001E07CA">
        <w:rPr>
          <w:lang w:val="sv-SE"/>
        </w:rPr>
        <w:t xml:space="preserve">som förknippas </w:t>
      </w:r>
      <w:r w:rsidR="00CB2C9C" w:rsidRPr="001E07CA">
        <w:rPr>
          <w:lang w:val="sv-SE"/>
        </w:rPr>
        <w:t>med farliga kemikalier.</w:t>
      </w:r>
      <w:r w:rsidR="00646D44" w:rsidRPr="001E07CA">
        <w:rPr>
          <w:lang w:val="sv-SE"/>
        </w:rPr>
        <w:t xml:space="preserve"> </w:t>
      </w:r>
      <w:r w:rsidR="00CB2C9C" w:rsidRPr="001E07CA">
        <w:rPr>
          <w:lang w:val="sv-SE"/>
        </w:rPr>
        <w:t xml:space="preserve">När det gäller produkter </w:t>
      </w:r>
      <w:r w:rsidR="00F31374" w:rsidRPr="001E07CA">
        <w:rPr>
          <w:lang w:val="sv-SE"/>
        </w:rPr>
        <w:t>finns bestämmelser</w:t>
      </w:r>
      <w:r w:rsidR="00CB2C9C" w:rsidRPr="001E07CA">
        <w:rPr>
          <w:lang w:val="sv-SE"/>
        </w:rPr>
        <w:t xml:space="preserve"> om verksamhetsutövarens skyldighet att vidta åtgärder, </w:t>
      </w:r>
      <w:r w:rsidR="005E3D58" w:rsidRPr="001E07CA">
        <w:rPr>
          <w:lang w:val="sv-SE"/>
        </w:rPr>
        <w:t xml:space="preserve">om </w:t>
      </w:r>
      <w:r w:rsidR="00CB2C9C" w:rsidRPr="001E07CA">
        <w:rPr>
          <w:lang w:val="sv-SE"/>
        </w:rPr>
        <w:t xml:space="preserve">förbjudande av en produkt eller explosiv vara, </w:t>
      </w:r>
      <w:r w:rsidR="006830B3" w:rsidRPr="001E07CA">
        <w:rPr>
          <w:lang w:val="sv-SE"/>
        </w:rPr>
        <w:t xml:space="preserve">om </w:t>
      </w:r>
      <w:r w:rsidR="00CB2C9C" w:rsidRPr="001E07CA">
        <w:rPr>
          <w:lang w:val="sv-SE"/>
        </w:rPr>
        <w:t>kompletterande åtgärder för att avvärja en skaderisk samt om verksamhetsutövarens skyldighet att informera om Säkerhets- och kemikalieverkets förbud och ålägganden.</w:t>
      </w:r>
      <w:r w:rsidR="00646D44" w:rsidRPr="001E07CA">
        <w:rPr>
          <w:lang w:val="sv-SE"/>
        </w:rPr>
        <w:t xml:space="preserve"> </w:t>
      </w:r>
    </w:p>
    <w:p w:rsidR="000E1240" w:rsidRPr="001E07CA" w:rsidRDefault="000E1240" w:rsidP="00B95C3F">
      <w:pPr>
        <w:rPr>
          <w:lang w:val="sv-SE"/>
        </w:rPr>
      </w:pPr>
    </w:p>
    <w:p w:rsidR="000E1240" w:rsidRPr="001E07CA" w:rsidRDefault="006830B3" w:rsidP="00B95C3F">
      <w:pPr>
        <w:rPr>
          <w:lang w:val="sv-SE"/>
        </w:rPr>
      </w:pPr>
      <w:r w:rsidRPr="001E07CA">
        <w:rPr>
          <w:lang w:val="sv-SE"/>
        </w:rPr>
        <w:t>B</w:t>
      </w:r>
      <w:r w:rsidR="00CB2C9C" w:rsidRPr="001E07CA">
        <w:rPr>
          <w:lang w:val="sv-SE"/>
        </w:rPr>
        <w:t>estämmelser om tillsyn</w:t>
      </w:r>
      <w:r w:rsidRPr="001E07CA">
        <w:rPr>
          <w:lang w:val="sv-SE"/>
        </w:rPr>
        <w:t xml:space="preserve"> finns i </w:t>
      </w:r>
      <w:r w:rsidR="00154D41" w:rsidRPr="001E07CA">
        <w:rPr>
          <w:lang w:val="sv-SE"/>
        </w:rPr>
        <w:t>14 kap. i kemikaliesäkerhetslagen</w:t>
      </w:r>
      <w:r w:rsidR="00CB2C9C" w:rsidRPr="001E07CA">
        <w:rPr>
          <w:lang w:val="sv-SE"/>
        </w:rPr>
        <w:t>.</w:t>
      </w:r>
      <w:r w:rsidR="000E1240" w:rsidRPr="001E07CA">
        <w:rPr>
          <w:lang w:val="sv-SE"/>
        </w:rPr>
        <w:t xml:space="preserve"> </w:t>
      </w:r>
      <w:r w:rsidR="00F31374" w:rsidRPr="001E07CA">
        <w:rPr>
          <w:lang w:val="sv-SE"/>
        </w:rPr>
        <w:t xml:space="preserve">När det gäller produkter finns </w:t>
      </w:r>
      <w:r w:rsidR="003F0023" w:rsidRPr="001E07CA">
        <w:rPr>
          <w:lang w:val="sv-SE"/>
        </w:rPr>
        <w:t xml:space="preserve">det </w:t>
      </w:r>
      <w:r w:rsidR="00F31374" w:rsidRPr="001E07CA">
        <w:rPr>
          <w:lang w:val="sv-SE"/>
        </w:rPr>
        <w:t xml:space="preserve">bestämmelser om </w:t>
      </w:r>
      <w:r w:rsidR="004508F5" w:rsidRPr="001E07CA">
        <w:rPr>
          <w:lang w:val="sv-SE"/>
        </w:rPr>
        <w:t>tillsynsmyndighet, tillsynsmyndighetens rätt att få information, tillsynsmyndighetens granskningsrätt, tillsynsmyndighetens rätt att få prover, tillsynsmyndighetens rätt att få uppgifter från en annan myndighet, besiktningsorganens skyldighet att ge uppgifter och om handräckning.</w:t>
      </w:r>
    </w:p>
    <w:p w:rsidR="000C780A" w:rsidRPr="001E07CA" w:rsidRDefault="000C780A" w:rsidP="00B95C3F">
      <w:pPr>
        <w:rPr>
          <w:lang w:val="sv-SE"/>
        </w:rPr>
      </w:pPr>
    </w:p>
    <w:p w:rsidR="000C780A" w:rsidRPr="001E07CA" w:rsidRDefault="00FB69B7" w:rsidP="00B95C3F">
      <w:pPr>
        <w:rPr>
          <w:lang w:val="sv-SE"/>
        </w:rPr>
      </w:pPr>
      <w:r w:rsidRPr="001E07CA">
        <w:rPr>
          <w:lang w:val="sv-SE"/>
        </w:rPr>
        <w:lastRenderedPageBreak/>
        <w:t xml:space="preserve">Bestämmelser om tvångsmedel och påföljder, såsom administrativa tvångsmedel och brott mot bestämmelserna om explosiva varor, finns i </w:t>
      </w:r>
      <w:r w:rsidR="004C5B57" w:rsidRPr="001E07CA">
        <w:rPr>
          <w:lang w:val="sv-SE"/>
        </w:rPr>
        <w:t>15 kap. i kemikaliesäkerhetslagen.</w:t>
      </w:r>
      <w:r w:rsidR="0069209D" w:rsidRPr="001E07CA">
        <w:rPr>
          <w:lang w:val="sv-SE"/>
        </w:rPr>
        <w:t xml:space="preserve"> </w:t>
      </w:r>
      <w:r w:rsidR="00076CA1" w:rsidRPr="001E07CA">
        <w:rPr>
          <w:lang w:val="sv-SE"/>
        </w:rPr>
        <w:t>Säkerhets- och kemikalieverket har ytterst sällan använt sig av förbud e</w:t>
      </w:r>
      <w:r w:rsidR="009C37FB" w:rsidRPr="001E07CA">
        <w:rPr>
          <w:lang w:val="sv-SE"/>
        </w:rPr>
        <w:t>nligt</w:t>
      </w:r>
      <w:r w:rsidR="007B2A01" w:rsidRPr="001E07CA">
        <w:rPr>
          <w:lang w:val="sv-SE"/>
        </w:rPr>
        <w:t xml:space="preserve"> 13 kap. för att effektiv</w:t>
      </w:r>
      <w:r w:rsidR="009C37FB" w:rsidRPr="001E07CA">
        <w:rPr>
          <w:lang w:val="sv-SE"/>
        </w:rPr>
        <w:t>era</w:t>
      </w:r>
      <w:r w:rsidR="009D4D61" w:rsidRPr="001E07CA">
        <w:rPr>
          <w:lang w:val="sv-SE"/>
        </w:rPr>
        <w:t xml:space="preserve"> </w:t>
      </w:r>
      <w:r w:rsidR="006D6B38" w:rsidRPr="001E07CA">
        <w:rPr>
          <w:lang w:val="sv-SE"/>
        </w:rPr>
        <w:t xml:space="preserve">de </w:t>
      </w:r>
      <w:r w:rsidR="00302985" w:rsidRPr="001E07CA">
        <w:rPr>
          <w:lang w:val="sv-SE"/>
        </w:rPr>
        <w:t>administrativa tvångsmed</w:t>
      </w:r>
      <w:r w:rsidR="006D6B38" w:rsidRPr="001E07CA">
        <w:rPr>
          <w:lang w:val="sv-SE"/>
        </w:rPr>
        <w:t>len</w:t>
      </w:r>
      <w:r w:rsidR="00076CA1" w:rsidRPr="001E07CA">
        <w:rPr>
          <w:lang w:val="sv-SE"/>
        </w:rPr>
        <w:t>.</w:t>
      </w:r>
      <w:r w:rsidR="0069209D" w:rsidRPr="001E07CA">
        <w:rPr>
          <w:lang w:val="sv-SE"/>
        </w:rPr>
        <w:t xml:space="preserve"> </w:t>
      </w:r>
      <w:r w:rsidR="004434E5" w:rsidRPr="001E07CA">
        <w:rPr>
          <w:lang w:val="sv-SE"/>
        </w:rPr>
        <w:t xml:space="preserve">För försummelse av </w:t>
      </w:r>
      <w:r w:rsidR="007638BF" w:rsidRPr="001E07CA">
        <w:rPr>
          <w:lang w:val="sv-SE"/>
        </w:rPr>
        <w:t xml:space="preserve">sådana </w:t>
      </w:r>
      <w:r w:rsidR="00076CA1" w:rsidRPr="001E07CA">
        <w:rPr>
          <w:lang w:val="sv-SE"/>
        </w:rPr>
        <w:t xml:space="preserve">i 5 kap. föreskrivna skyldigheter som gäller tillverkning, import eller släppande ut på marknaden kan dömas till böter för brott mot </w:t>
      </w:r>
      <w:r w:rsidR="005A7B53" w:rsidRPr="001E07CA">
        <w:rPr>
          <w:lang w:val="sv-SE"/>
        </w:rPr>
        <w:t xml:space="preserve">bestämmelserna om </w:t>
      </w:r>
      <w:r w:rsidR="00076CA1" w:rsidRPr="001E07CA">
        <w:rPr>
          <w:lang w:val="sv-SE"/>
        </w:rPr>
        <w:t>explosiva varor med stöd av 125 § i kemikaliesäkerhetslagen.</w:t>
      </w:r>
    </w:p>
    <w:p w:rsidR="0050679A" w:rsidRPr="001E07CA" w:rsidRDefault="0050679A" w:rsidP="00B95C3F">
      <w:pPr>
        <w:rPr>
          <w:lang w:val="sv-SE"/>
        </w:rPr>
      </w:pPr>
    </w:p>
    <w:p w:rsidR="00313097" w:rsidRPr="001E07CA" w:rsidRDefault="00EF31F1" w:rsidP="00B95C3F">
      <w:pPr>
        <w:rPr>
          <w:lang w:val="sv-SE"/>
        </w:rPr>
      </w:pPr>
      <w:r w:rsidRPr="001E07CA">
        <w:rPr>
          <w:lang w:val="sv-SE"/>
        </w:rPr>
        <w:t>I strafflagen (39/1889) finns också en bestämmelse som äger tillämpning på gasanordningar.</w:t>
      </w:r>
      <w:r w:rsidR="00313097" w:rsidRPr="001E07CA">
        <w:rPr>
          <w:lang w:val="sv-SE"/>
        </w:rPr>
        <w:t xml:space="preserve"> </w:t>
      </w:r>
      <w:r w:rsidR="00D15B1B" w:rsidRPr="001E07CA">
        <w:rPr>
          <w:lang w:val="sv-SE"/>
        </w:rPr>
        <w:t>I 44 kap. 12 § i strafflagen finns bestämmelser om ovarsam hantering av brand- och explo</w:t>
      </w:r>
      <w:r w:rsidR="00580E27" w:rsidRPr="001E07CA">
        <w:rPr>
          <w:lang w:val="sv-SE"/>
        </w:rPr>
        <w:t>sionsfarliga kemikalier eller</w:t>
      </w:r>
      <w:r w:rsidR="00D15B1B" w:rsidRPr="001E07CA">
        <w:rPr>
          <w:lang w:val="sv-SE"/>
        </w:rPr>
        <w:t xml:space="preserve"> andra produkter som avses i 5 kap. i kemikaliesäkerhetslagen</w:t>
      </w:r>
      <w:r w:rsidR="00580E27" w:rsidRPr="001E07CA">
        <w:rPr>
          <w:lang w:val="sv-SE"/>
        </w:rPr>
        <w:t xml:space="preserve">. För sådan ovarsam hantering kan </w:t>
      </w:r>
      <w:r w:rsidR="00D15B1B" w:rsidRPr="001E07CA">
        <w:rPr>
          <w:lang w:val="sv-SE"/>
        </w:rPr>
        <w:t>dömas till böter elle</w:t>
      </w:r>
      <w:r w:rsidR="00C97C12" w:rsidRPr="001E07CA">
        <w:rPr>
          <w:lang w:val="sv-SE"/>
        </w:rPr>
        <w:t>r fängelse i högst sex månader.</w:t>
      </w:r>
      <w:r w:rsidR="00313097" w:rsidRPr="001E07CA">
        <w:rPr>
          <w:lang w:val="sv-SE"/>
        </w:rPr>
        <w:t xml:space="preserve"> </w:t>
      </w:r>
      <w:r w:rsidR="00D15B1B" w:rsidRPr="001E07CA">
        <w:rPr>
          <w:lang w:val="sv-SE"/>
        </w:rPr>
        <w:t>Det är inte känt om denna bestämmelse i strafflagen eller påföljdsförfaranden enligt 15 kap. i kemikaliesäkerhetslagen någonsin har tillämpats.</w:t>
      </w:r>
    </w:p>
    <w:p w:rsidR="00313097" w:rsidRPr="001E07CA" w:rsidRDefault="00313097" w:rsidP="00B95C3F">
      <w:pPr>
        <w:rPr>
          <w:lang w:val="sv-SE"/>
        </w:rPr>
      </w:pPr>
    </w:p>
    <w:p w:rsidR="00794D3C" w:rsidRPr="001E07CA" w:rsidRDefault="00D15B1B" w:rsidP="00794D3C">
      <w:pPr>
        <w:rPr>
          <w:lang w:val="sv-SE"/>
        </w:rPr>
      </w:pPr>
      <w:r w:rsidRPr="001E07CA">
        <w:rPr>
          <w:lang w:val="sv-SE"/>
        </w:rPr>
        <w:t xml:space="preserve">Enligt den nationella gasanordningsförordningen kan en gasanordning släppas ut på marknaden eller tas i bruk när den </w:t>
      </w:r>
      <w:r w:rsidR="005C6E41" w:rsidRPr="001E07CA">
        <w:rPr>
          <w:lang w:val="sv-SE"/>
        </w:rPr>
        <w:t xml:space="preserve">överensstämmer med bestämmelserna </w:t>
      </w:r>
      <w:r w:rsidRPr="001E07CA">
        <w:rPr>
          <w:lang w:val="sv-SE"/>
        </w:rPr>
        <w:t>i förordningen och har försetts med CE-märkning.</w:t>
      </w:r>
      <w:r w:rsidR="00794D3C" w:rsidRPr="001E07CA">
        <w:rPr>
          <w:lang w:val="sv-SE"/>
        </w:rPr>
        <w:t xml:space="preserve"> </w:t>
      </w:r>
      <w:r w:rsidR="002B18CE" w:rsidRPr="001E07CA">
        <w:rPr>
          <w:lang w:val="sv-SE"/>
        </w:rPr>
        <w:t>Gasanordningar</w:t>
      </w:r>
      <w:r w:rsidRPr="001E07CA">
        <w:rPr>
          <w:lang w:val="sv-SE"/>
        </w:rPr>
        <w:t xml:space="preserve"> ska uppfylla de grundläggande </w:t>
      </w:r>
      <w:r w:rsidR="00B00700" w:rsidRPr="001E07CA">
        <w:rPr>
          <w:lang w:val="sv-SE"/>
        </w:rPr>
        <w:t xml:space="preserve">kraven på teknisk säkerhet </w:t>
      </w:r>
      <w:r w:rsidRPr="001E07CA">
        <w:rPr>
          <w:lang w:val="sv-SE"/>
        </w:rPr>
        <w:t>som fastställ</w:t>
      </w:r>
      <w:r w:rsidR="00B00700" w:rsidRPr="001E07CA">
        <w:rPr>
          <w:lang w:val="sv-SE"/>
        </w:rPr>
        <w:t>t</w:t>
      </w:r>
      <w:r w:rsidRPr="001E07CA">
        <w:rPr>
          <w:lang w:val="sv-SE"/>
        </w:rPr>
        <w:t>s för de</w:t>
      </w:r>
      <w:r w:rsidR="002B18CE" w:rsidRPr="001E07CA">
        <w:rPr>
          <w:lang w:val="sv-SE"/>
        </w:rPr>
        <w:t>m</w:t>
      </w:r>
      <w:r w:rsidRPr="001E07CA">
        <w:rPr>
          <w:lang w:val="sv-SE"/>
        </w:rPr>
        <w:t>.</w:t>
      </w:r>
      <w:r w:rsidR="00794D3C" w:rsidRPr="001E07CA">
        <w:rPr>
          <w:lang w:val="sv-SE"/>
        </w:rPr>
        <w:t xml:space="preserve"> </w:t>
      </w:r>
      <w:r w:rsidR="00E4021C" w:rsidRPr="001E07CA">
        <w:rPr>
          <w:lang w:val="sv-SE"/>
        </w:rPr>
        <w:t>Gasanordningarna</w:t>
      </w:r>
      <w:r w:rsidR="00B00700" w:rsidRPr="001E07CA">
        <w:rPr>
          <w:lang w:val="sv-SE"/>
        </w:rPr>
        <w:t xml:space="preserve"> uppfy</w:t>
      </w:r>
      <w:r w:rsidR="00416487" w:rsidRPr="001E07CA">
        <w:rPr>
          <w:lang w:val="sv-SE"/>
        </w:rPr>
        <w:t>ller kraven om de har konstruerats</w:t>
      </w:r>
      <w:r w:rsidR="00B00700" w:rsidRPr="001E07CA">
        <w:rPr>
          <w:lang w:val="sv-SE"/>
        </w:rPr>
        <w:t>, tillverkats och utrustats i överensstämmelse med de harmonise</w:t>
      </w:r>
      <w:r w:rsidR="00AE0CF4" w:rsidRPr="001E07CA">
        <w:rPr>
          <w:lang w:val="sv-SE"/>
        </w:rPr>
        <w:t>rade standarderna för d</w:t>
      </w:r>
      <w:r w:rsidR="00E4021C" w:rsidRPr="001E07CA">
        <w:rPr>
          <w:lang w:val="sv-SE"/>
        </w:rPr>
        <w:t>em</w:t>
      </w:r>
      <w:r w:rsidR="00B00700" w:rsidRPr="001E07CA">
        <w:rPr>
          <w:lang w:val="sv-SE"/>
        </w:rPr>
        <w:t>.</w:t>
      </w:r>
      <w:r w:rsidR="00794D3C" w:rsidRPr="001E07CA">
        <w:rPr>
          <w:lang w:val="sv-SE"/>
        </w:rPr>
        <w:t xml:space="preserve"> </w:t>
      </w:r>
      <w:r w:rsidR="002B5B03" w:rsidRPr="001E07CA">
        <w:rPr>
          <w:lang w:val="sv-SE"/>
        </w:rPr>
        <w:t xml:space="preserve">I den nationella gasanordningsförordningen föreskrivs om de förfaranden </w:t>
      </w:r>
      <w:r w:rsidR="005E23D1" w:rsidRPr="001E07CA">
        <w:rPr>
          <w:lang w:val="sv-SE"/>
        </w:rPr>
        <w:t>genom</w:t>
      </w:r>
      <w:r w:rsidR="002B5B03" w:rsidRPr="001E07CA">
        <w:rPr>
          <w:lang w:val="sv-SE"/>
        </w:rPr>
        <w:t xml:space="preserve"> vilka tillverkaren kan visa att en gasanordning uppfyller de föreskrivna kraven.</w:t>
      </w:r>
      <w:r w:rsidR="00794D3C" w:rsidRPr="001E07CA">
        <w:rPr>
          <w:lang w:val="sv-SE"/>
        </w:rPr>
        <w:t xml:space="preserve"> </w:t>
      </w:r>
      <w:r w:rsidR="002B5B03" w:rsidRPr="001E07CA">
        <w:rPr>
          <w:lang w:val="sv-SE"/>
        </w:rPr>
        <w:t xml:space="preserve">Till förfarandena hör EG-typkontroll och utöver den </w:t>
      </w:r>
      <w:r w:rsidR="007F1648" w:rsidRPr="001E07CA">
        <w:rPr>
          <w:lang w:val="sv-SE"/>
        </w:rPr>
        <w:t xml:space="preserve">ett förfarande enligt en </w:t>
      </w:r>
      <w:r w:rsidR="00654D5B" w:rsidRPr="001E07CA">
        <w:rPr>
          <w:lang w:val="sv-SE"/>
        </w:rPr>
        <w:t>av tillverkaren vald modul</w:t>
      </w:r>
      <w:r w:rsidR="005961EF" w:rsidRPr="001E07CA">
        <w:rPr>
          <w:lang w:val="sv-SE"/>
        </w:rPr>
        <w:t xml:space="preserve"> som anger</w:t>
      </w:r>
      <w:r w:rsidR="007F1648" w:rsidRPr="001E07CA">
        <w:rPr>
          <w:lang w:val="sv-SE"/>
        </w:rPr>
        <w:t xml:space="preserve"> i hur stor omfattning ansvaret för produktionsövervakningen fördelas mellan tillverkaren och besiktningsorganet.</w:t>
      </w:r>
      <w:r w:rsidR="00794D3C" w:rsidRPr="001E07CA">
        <w:rPr>
          <w:lang w:val="sv-SE"/>
        </w:rPr>
        <w:t xml:space="preserve"> </w:t>
      </w:r>
      <w:r w:rsidR="007F1648" w:rsidRPr="001E07CA">
        <w:rPr>
          <w:lang w:val="sv-SE"/>
        </w:rPr>
        <w:t>Förordningen innehåller också bestämmelser om anbringande av CE-märkning och andra behövli</w:t>
      </w:r>
      <w:r w:rsidR="00CA53EC" w:rsidRPr="001E07CA">
        <w:rPr>
          <w:lang w:val="sv-SE"/>
        </w:rPr>
        <w:t>ga märkningar på gasanordningar</w:t>
      </w:r>
      <w:r w:rsidR="007F1648" w:rsidRPr="001E07CA">
        <w:rPr>
          <w:lang w:val="sv-SE"/>
        </w:rPr>
        <w:t>.</w:t>
      </w:r>
    </w:p>
    <w:p w:rsidR="00B14817" w:rsidRPr="001E07CA" w:rsidRDefault="00B14817" w:rsidP="00794D3C">
      <w:pPr>
        <w:rPr>
          <w:lang w:val="sv-SE"/>
        </w:rPr>
      </w:pPr>
    </w:p>
    <w:p w:rsidR="00794D3C" w:rsidRPr="001E07CA" w:rsidRDefault="007F1648" w:rsidP="00794D3C">
      <w:pPr>
        <w:rPr>
          <w:lang w:val="sv-SE"/>
        </w:rPr>
      </w:pPr>
      <w:r w:rsidRPr="001E07CA">
        <w:rPr>
          <w:lang w:val="sv-SE"/>
        </w:rPr>
        <w:t>Vid förfaranden för bedömning av gasanordningars överensstämmelse med kraven ska tillverkaren använda sig av tjänster av ett utomstående bedömningsorgan som godkänts som anmält organ.</w:t>
      </w:r>
      <w:r w:rsidR="00794D3C" w:rsidRPr="001E07CA">
        <w:rPr>
          <w:lang w:val="sv-SE"/>
        </w:rPr>
        <w:t xml:space="preserve"> </w:t>
      </w:r>
      <w:r w:rsidRPr="001E07CA">
        <w:rPr>
          <w:lang w:val="sv-SE"/>
        </w:rPr>
        <w:t>I Finland finns ett anmält besiktningsorgan för bedömning av gasanordningar.</w:t>
      </w:r>
      <w:r w:rsidR="00794D3C" w:rsidRPr="001E07CA">
        <w:rPr>
          <w:lang w:val="sv-SE"/>
        </w:rPr>
        <w:t xml:space="preserve"> </w:t>
      </w:r>
    </w:p>
    <w:p w:rsidR="00794D3C" w:rsidRPr="001E07CA" w:rsidRDefault="00794D3C" w:rsidP="00794D3C">
      <w:pPr>
        <w:rPr>
          <w:lang w:val="sv-SE"/>
        </w:rPr>
      </w:pPr>
    </w:p>
    <w:p w:rsidR="00794D3C" w:rsidRPr="001E07CA" w:rsidRDefault="007F1648" w:rsidP="00794D3C">
      <w:pPr>
        <w:rPr>
          <w:i/>
          <w:lang w:val="sv-SE"/>
        </w:rPr>
      </w:pPr>
      <w:r w:rsidRPr="001E07CA">
        <w:rPr>
          <w:lang w:val="sv-SE"/>
        </w:rPr>
        <w:t>Säkerhets- och kemikalieverket utövar tillsyn över efterlevnaden av 47 – 48 § i kemikaliesäkerhetslagen och av den nationella gasanordningsförordningen.</w:t>
      </w:r>
      <w:r w:rsidR="00794D3C" w:rsidRPr="001E07CA">
        <w:rPr>
          <w:lang w:val="sv-SE"/>
        </w:rPr>
        <w:t xml:space="preserve"> </w:t>
      </w:r>
    </w:p>
    <w:p w:rsidR="00794D3C" w:rsidRPr="001E07CA" w:rsidRDefault="00794D3C" w:rsidP="00B95C3F">
      <w:pPr>
        <w:rPr>
          <w:lang w:val="sv-SE"/>
        </w:rPr>
      </w:pPr>
    </w:p>
    <w:p w:rsidR="00031929" w:rsidRPr="001E07CA" w:rsidRDefault="007F1648" w:rsidP="00B95C3F">
      <w:pPr>
        <w:rPr>
          <w:lang w:val="sv-SE"/>
        </w:rPr>
      </w:pPr>
      <w:r w:rsidRPr="001E07CA">
        <w:rPr>
          <w:lang w:val="sv-SE"/>
        </w:rPr>
        <w:t>Anordningar som är avsedda att användas i explosi</w:t>
      </w:r>
      <w:r w:rsidR="00C16662" w:rsidRPr="001E07CA">
        <w:rPr>
          <w:lang w:val="sv-SE"/>
        </w:rPr>
        <w:t>onsfarliga omgivningar, korrigering</w:t>
      </w:r>
      <w:r w:rsidRPr="001E07CA">
        <w:rPr>
          <w:lang w:val="sv-SE"/>
        </w:rPr>
        <w:t xml:space="preserve"> av en </w:t>
      </w:r>
      <w:r w:rsidR="000E61CA" w:rsidRPr="001E07CA">
        <w:rPr>
          <w:lang w:val="sv-SE"/>
        </w:rPr>
        <w:t xml:space="preserve">enskild </w:t>
      </w:r>
      <w:r w:rsidRPr="001E07CA">
        <w:rPr>
          <w:lang w:val="sv-SE"/>
        </w:rPr>
        <w:t>bestämmelse</w:t>
      </w:r>
    </w:p>
    <w:p w:rsidR="00031929" w:rsidRPr="001E07CA" w:rsidRDefault="00031929" w:rsidP="00B95C3F">
      <w:pPr>
        <w:rPr>
          <w:lang w:val="sv-SE"/>
        </w:rPr>
      </w:pPr>
    </w:p>
    <w:p w:rsidR="006364BD" w:rsidRPr="001E07CA" w:rsidRDefault="005A7B53" w:rsidP="00B95C3F">
      <w:pPr>
        <w:rPr>
          <w:lang w:val="sv-SE"/>
        </w:rPr>
      </w:pPr>
      <w:r w:rsidRPr="001E07CA">
        <w:rPr>
          <w:lang w:val="sv-SE"/>
        </w:rPr>
        <w:t>Europaparlamentets och rådets direktiv 2014/34/EU om harmonisering av medlemsstaternas lagstiftning om utrustning och säkerhetssystem som är avsedda för användning i explosionsfarliga omgivningar genomfördes genom lagen om överensstämmelse med kraven för utrustning och säkerhetssystem som är avsedda för användning i explosionsfarliga omgivningar (1139/2016).</w:t>
      </w:r>
      <w:r w:rsidR="003A3776" w:rsidRPr="001E07CA">
        <w:rPr>
          <w:lang w:val="sv-SE"/>
        </w:rPr>
        <w:t xml:space="preserve"> </w:t>
      </w:r>
      <w:r w:rsidRPr="001E07CA">
        <w:rPr>
          <w:lang w:val="sv-SE"/>
        </w:rPr>
        <w:t>I det sammanhanget korrigerades inte hänvisningarna till den upphävda 46</w:t>
      </w:r>
      <w:r w:rsidR="00C27BAC">
        <w:rPr>
          <w:lang w:val="sv-SE"/>
        </w:rPr>
        <w:t xml:space="preserve"> </w:t>
      </w:r>
      <w:r w:rsidRPr="001E07CA">
        <w:rPr>
          <w:lang w:val="sv-SE"/>
        </w:rPr>
        <w:t>§ i kemikaliesäkerhetslagens 51 § om anvisningar och märkningar och i 125 § om brott mot bestämmelserna om explosiva varor.</w:t>
      </w:r>
      <w:r w:rsidR="003A3776" w:rsidRPr="001E07CA">
        <w:rPr>
          <w:lang w:val="sv-SE"/>
        </w:rPr>
        <w:t xml:space="preserve"> </w:t>
      </w:r>
      <w:r w:rsidRPr="001E07CA">
        <w:rPr>
          <w:lang w:val="sv-SE"/>
        </w:rPr>
        <w:t>Bestämmelserna om dem finns numera i lag 1139/2016.</w:t>
      </w:r>
    </w:p>
    <w:p w:rsidR="006364BD" w:rsidRPr="001E07CA" w:rsidRDefault="006364BD" w:rsidP="00B95C3F">
      <w:pPr>
        <w:rPr>
          <w:lang w:val="sv-SE"/>
        </w:rPr>
      </w:pPr>
    </w:p>
    <w:p w:rsidR="00B95C3F" w:rsidRPr="001E07CA" w:rsidRDefault="008267FA" w:rsidP="00B95C3F">
      <w:pPr>
        <w:rPr>
          <w:b/>
          <w:lang w:val="sv-SE"/>
        </w:rPr>
      </w:pPr>
      <w:r w:rsidRPr="001E07CA">
        <w:rPr>
          <w:b/>
          <w:lang w:val="sv-SE"/>
        </w:rPr>
        <w:t>1.2 Lagstiftningen i EU</w:t>
      </w:r>
    </w:p>
    <w:p w:rsidR="00B95C3F" w:rsidRPr="001E07CA" w:rsidRDefault="00B95C3F" w:rsidP="00B95C3F">
      <w:pPr>
        <w:rPr>
          <w:b/>
          <w:lang w:val="sv-SE"/>
        </w:rPr>
      </w:pPr>
    </w:p>
    <w:p w:rsidR="00B95C3F" w:rsidRPr="001E07CA" w:rsidRDefault="008267FA" w:rsidP="00B95C3F">
      <w:pPr>
        <w:rPr>
          <w:lang w:val="sv-SE"/>
        </w:rPr>
      </w:pPr>
      <w:r w:rsidRPr="001E07CA">
        <w:rPr>
          <w:lang w:val="sv-SE"/>
        </w:rPr>
        <w:t xml:space="preserve">Lagstiftning som baserar </w:t>
      </w:r>
      <w:r w:rsidR="009535A3" w:rsidRPr="001E07CA">
        <w:rPr>
          <w:lang w:val="sv-SE"/>
        </w:rPr>
        <w:t xml:space="preserve">sig </w:t>
      </w:r>
      <w:r w:rsidRPr="001E07CA">
        <w:rPr>
          <w:lang w:val="sv-SE"/>
        </w:rPr>
        <w:t>på NLF-anpassningen</w:t>
      </w:r>
    </w:p>
    <w:p w:rsidR="00B95C3F" w:rsidRPr="001E07CA" w:rsidRDefault="00B95C3F" w:rsidP="00B95C3F">
      <w:pPr>
        <w:rPr>
          <w:lang w:val="sv-SE"/>
        </w:rPr>
      </w:pPr>
    </w:p>
    <w:p w:rsidR="00B95C3F" w:rsidRPr="001E07CA" w:rsidRDefault="008267FA" w:rsidP="00B95C3F">
      <w:pPr>
        <w:rPr>
          <w:lang w:val="sv-SE"/>
        </w:rPr>
      </w:pPr>
      <w:r w:rsidRPr="001E07CA">
        <w:rPr>
          <w:lang w:val="sv-SE"/>
        </w:rPr>
        <w:t>Syftet med Europeiska unionens lagstiftning om den inre marknaden är bl.a. att trygga den fria rörligheten av varor inom Europeiska unionens gränser.</w:t>
      </w:r>
      <w:r w:rsidR="00B95C3F" w:rsidRPr="001E07CA">
        <w:rPr>
          <w:lang w:val="sv-SE"/>
        </w:rPr>
        <w:t xml:space="preserve"> </w:t>
      </w:r>
      <w:r w:rsidRPr="001E07CA">
        <w:rPr>
          <w:lang w:val="sv-SE"/>
        </w:rPr>
        <w:t xml:space="preserve">Den fria rörligheten av varor främjas </w:t>
      </w:r>
      <w:r w:rsidRPr="001E07CA">
        <w:rPr>
          <w:lang w:val="sv-SE"/>
        </w:rPr>
        <w:lastRenderedPageBreak/>
        <w:t>genom att medlemsstaternas produktlagstiftningar harmoniseras.</w:t>
      </w:r>
      <w:r w:rsidR="00B95C3F" w:rsidRPr="001E07CA">
        <w:rPr>
          <w:lang w:val="sv-SE"/>
        </w:rPr>
        <w:t xml:space="preserve"> </w:t>
      </w:r>
      <w:r w:rsidRPr="001E07CA">
        <w:rPr>
          <w:lang w:val="sv-SE"/>
        </w:rPr>
        <w:t xml:space="preserve">I </w:t>
      </w:r>
      <w:r w:rsidR="00F4625F" w:rsidRPr="001E07CA">
        <w:rPr>
          <w:lang w:val="sv-SE"/>
        </w:rPr>
        <w:t>Europeiska unionen har det antagits</w:t>
      </w:r>
      <w:r w:rsidRPr="001E07CA">
        <w:rPr>
          <w:lang w:val="sv-SE"/>
        </w:rPr>
        <w:t xml:space="preserve"> en s.k. ny lagstiftningsram (New Legislative </w:t>
      </w:r>
      <w:proofErr w:type="spellStart"/>
      <w:r w:rsidRPr="001E07CA">
        <w:rPr>
          <w:lang w:val="sv-SE"/>
        </w:rPr>
        <w:t>F</w:t>
      </w:r>
      <w:r w:rsidR="004558DB">
        <w:rPr>
          <w:lang w:val="sv-SE"/>
        </w:rPr>
        <w:t>ramework</w:t>
      </w:r>
      <w:proofErr w:type="spellEnd"/>
      <w:r w:rsidRPr="001E07CA">
        <w:rPr>
          <w:lang w:val="sv-SE"/>
        </w:rPr>
        <w:t xml:space="preserve">, NLF) som inbegriper </w:t>
      </w:r>
      <w:r w:rsidRPr="004558DB">
        <w:rPr>
          <w:lang w:val="sv-SE"/>
        </w:rPr>
        <w:t>Europaparlamentets och rådets förordning (EG) nr 765/2008 om krav för ackreditering och marknadskontroll i samband med saluföring av produkter och upphävande av förordning (EEG) nr 339/93</w:t>
      </w:r>
      <w:r w:rsidRPr="001E07CA">
        <w:rPr>
          <w:lang w:val="sv-SE"/>
        </w:rPr>
        <w:t xml:space="preserve"> (nedan </w:t>
      </w:r>
      <w:r w:rsidRPr="004558DB">
        <w:rPr>
          <w:i/>
          <w:lang w:val="sv-SE"/>
        </w:rPr>
        <w:t>NLF-förordningen</w:t>
      </w:r>
      <w:r w:rsidRPr="001E07CA">
        <w:rPr>
          <w:lang w:val="sv-SE"/>
        </w:rPr>
        <w:t xml:space="preserve">) och </w:t>
      </w:r>
      <w:r w:rsidRPr="004558DB">
        <w:rPr>
          <w:lang w:val="sv-SE"/>
        </w:rPr>
        <w:t>Europaparlamentets och rådets beslut nr 768/2008/EG om en gemensam ram för saluföring av produkter och upphävande av rådets beslut 93/465/EEG</w:t>
      </w:r>
      <w:r w:rsidRPr="001E07CA">
        <w:rPr>
          <w:lang w:val="sv-SE"/>
        </w:rPr>
        <w:t xml:space="preserve"> (nedan </w:t>
      </w:r>
      <w:r w:rsidRPr="004558DB">
        <w:rPr>
          <w:i/>
          <w:lang w:val="sv-SE"/>
        </w:rPr>
        <w:t>NLF-beslutet</w:t>
      </w:r>
      <w:r w:rsidRPr="001E07CA">
        <w:rPr>
          <w:lang w:val="sv-SE"/>
        </w:rPr>
        <w:t>), vilka antagits den 9 juli 2008.</w:t>
      </w:r>
    </w:p>
    <w:p w:rsidR="00B95C3F" w:rsidRPr="001E07CA" w:rsidRDefault="00B95C3F" w:rsidP="00B95C3F">
      <w:pPr>
        <w:rPr>
          <w:lang w:val="sv-SE"/>
        </w:rPr>
      </w:pPr>
    </w:p>
    <w:p w:rsidR="00B95C3F" w:rsidRPr="001E07CA" w:rsidRDefault="008267FA" w:rsidP="00B95C3F">
      <w:pPr>
        <w:rPr>
          <w:lang w:val="sv-SE"/>
        </w:rPr>
      </w:pPr>
      <w:r w:rsidRPr="001E07CA">
        <w:rPr>
          <w:lang w:val="sv-SE"/>
        </w:rPr>
        <w:t>NLF-förordningen innehåller bestämmelser om ackreditering, marknadskontroll, kontroll av produkter från tredjeländer, dvs. unionens yttre gränskontroll, samt om CE-märkning.</w:t>
      </w:r>
      <w:r w:rsidR="00B95C3F" w:rsidRPr="001E07CA">
        <w:rPr>
          <w:lang w:val="sv-SE"/>
        </w:rPr>
        <w:t xml:space="preserve"> </w:t>
      </w:r>
      <w:r w:rsidRPr="001E07CA">
        <w:rPr>
          <w:lang w:val="sv-SE"/>
        </w:rPr>
        <w:t>NLF-förordningen började tillämpas den 1 januari 2010 och den utgör direkt tillämplig rätt, som förpliktar och skapar rättigheter utan att bestämmelser införlivas med den nationella lagstiftningen.</w:t>
      </w:r>
      <w:r w:rsidR="00B95C3F" w:rsidRPr="001E07CA">
        <w:rPr>
          <w:lang w:val="sv-SE"/>
        </w:rPr>
        <w:t xml:space="preserve"> </w:t>
      </w:r>
      <w:r w:rsidRPr="001E07CA">
        <w:rPr>
          <w:lang w:val="sv-SE"/>
        </w:rPr>
        <w:t>NLF-beslutet är ett rambeslut som bildar den allmänna ramen för lagstiftningen om harmonisering av villkoren för saluföring av produkter.</w:t>
      </w:r>
      <w:r w:rsidR="00B95C3F" w:rsidRPr="001E07CA">
        <w:rPr>
          <w:lang w:val="sv-SE"/>
        </w:rPr>
        <w:t xml:space="preserve"> </w:t>
      </w:r>
      <w:r w:rsidRPr="001E07CA">
        <w:rPr>
          <w:lang w:val="sv-SE"/>
        </w:rPr>
        <w:t>Den har inte någon direkt rättsverkan utan fungerar som anvisning vid utfärdandet och ändringen av produktspecifika harmoniseringsbestämmelser.</w:t>
      </w:r>
      <w:r w:rsidR="00B95C3F" w:rsidRPr="001E07CA">
        <w:rPr>
          <w:lang w:val="sv-SE"/>
        </w:rPr>
        <w:t xml:space="preserve"> </w:t>
      </w:r>
      <w:r w:rsidRPr="001E07CA">
        <w:rPr>
          <w:lang w:val="sv-SE"/>
        </w:rPr>
        <w:t>NLF-beslutet innehåller bestämmelser om bl.a. ekonomiska aktörers skyldigheter, produkters överensstämmelse med kraven, anmälan om organ för bedömning av överensstämmelse och förfaranden för bedömning av överensstäm</w:t>
      </w:r>
      <w:r w:rsidR="00BC637C" w:rsidRPr="001E07CA">
        <w:rPr>
          <w:lang w:val="sv-SE"/>
        </w:rPr>
        <w:t>melse med kraven</w:t>
      </w:r>
      <w:r w:rsidRPr="001E07CA">
        <w:rPr>
          <w:lang w:val="sv-SE"/>
        </w:rPr>
        <w:t>.</w:t>
      </w:r>
      <w:r w:rsidR="00B95C3F" w:rsidRPr="001E07CA">
        <w:rPr>
          <w:lang w:val="sv-SE"/>
        </w:rPr>
        <w:t xml:space="preserve"> </w:t>
      </w:r>
    </w:p>
    <w:p w:rsidR="00B95C3F" w:rsidRPr="001E07CA" w:rsidRDefault="00B95C3F" w:rsidP="00B95C3F">
      <w:pPr>
        <w:rPr>
          <w:lang w:val="sv-SE"/>
        </w:rPr>
      </w:pPr>
    </w:p>
    <w:p w:rsidR="00B95C3F" w:rsidRPr="001E07CA" w:rsidRDefault="00962482" w:rsidP="00B95C3F">
      <w:pPr>
        <w:rPr>
          <w:lang w:val="sv-SE"/>
        </w:rPr>
      </w:pPr>
      <w:r w:rsidRPr="001E07CA">
        <w:rPr>
          <w:lang w:val="sv-SE"/>
        </w:rPr>
        <w:t>EU:s gasanordningsförordning</w:t>
      </w:r>
    </w:p>
    <w:p w:rsidR="00B95C3F" w:rsidRPr="001E07CA" w:rsidRDefault="00B95C3F" w:rsidP="00B95C3F">
      <w:pPr>
        <w:rPr>
          <w:lang w:val="sv-SE"/>
        </w:rPr>
      </w:pPr>
    </w:p>
    <w:p w:rsidR="00B95C3F" w:rsidRPr="001E07CA" w:rsidRDefault="003C7CA4" w:rsidP="00B95C3F">
      <w:pPr>
        <w:rPr>
          <w:lang w:val="sv-SE"/>
        </w:rPr>
      </w:pPr>
      <w:r w:rsidRPr="001E07CA">
        <w:rPr>
          <w:lang w:val="sv-SE"/>
        </w:rPr>
        <w:t xml:space="preserve">Europaparlamentets och rådets nya förordning (EU) 2016/426 om anordningar för förbränning av gasformiga bränslen och om upphävande av direktiv 2009/142/EG, nedan </w:t>
      </w:r>
      <w:r w:rsidRPr="001E07CA">
        <w:rPr>
          <w:i/>
          <w:lang w:val="sv-SE"/>
        </w:rPr>
        <w:t>gasanordningsförordningen</w:t>
      </w:r>
      <w:r w:rsidRPr="001E07CA">
        <w:rPr>
          <w:lang w:val="sv-SE"/>
        </w:rPr>
        <w:t>, antogs den 9 mars 2016, publicerades i Europeiska unionens officiella tidning den 31 mars 2016 och trädde i kraft den 20 april 2016.</w:t>
      </w:r>
      <w:r w:rsidR="00B95C3F" w:rsidRPr="001E07CA">
        <w:rPr>
          <w:lang w:val="sv-SE"/>
        </w:rPr>
        <w:t xml:space="preserve"> </w:t>
      </w:r>
      <w:r w:rsidRPr="001E07CA">
        <w:rPr>
          <w:lang w:val="sv-SE"/>
        </w:rPr>
        <w:t>Gasanordningsförordningen tillämpas i regel från och med den 21 april 2018 då det tidigare gasanordningsdirektivet blir upphävt.</w:t>
      </w:r>
    </w:p>
    <w:p w:rsidR="00B95C3F" w:rsidRPr="001E07CA" w:rsidRDefault="00B95C3F" w:rsidP="00B95C3F">
      <w:pPr>
        <w:rPr>
          <w:lang w:val="sv-SE"/>
        </w:rPr>
      </w:pPr>
    </w:p>
    <w:p w:rsidR="00B95C3F" w:rsidRPr="001E07CA" w:rsidRDefault="003C7CA4" w:rsidP="00B95C3F">
      <w:pPr>
        <w:rPr>
          <w:lang w:val="sv-SE"/>
        </w:rPr>
      </w:pPr>
      <w:r w:rsidRPr="001E07CA">
        <w:rPr>
          <w:lang w:val="sv-SE"/>
        </w:rPr>
        <w:t>Den nya gasanordningsförordningen</w:t>
      </w:r>
      <w:r w:rsidR="004E7643" w:rsidRPr="001E07CA">
        <w:rPr>
          <w:lang w:val="sv-SE"/>
        </w:rPr>
        <w:t xml:space="preserve"> baserar sig i stor utrsträckning</w:t>
      </w:r>
      <w:r w:rsidRPr="001E07CA">
        <w:rPr>
          <w:lang w:val="sv-SE"/>
        </w:rPr>
        <w:t xml:space="preserve"> på det tidigare gasanordningsdirektivet från 2009, men NLF-förordningen har beaktats i den och bestämmelserna har anpassats enligt NLF-beslutet.</w:t>
      </w:r>
      <w:r w:rsidR="00B95C3F" w:rsidRPr="001E07CA">
        <w:rPr>
          <w:lang w:val="sv-SE"/>
        </w:rPr>
        <w:t xml:space="preserve"> </w:t>
      </w:r>
      <w:r w:rsidRPr="001E07CA">
        <w:rPr>
          <w:lang w:val="sv-SE"/>
        </w:rPr>
        <w:t>Direktivet har ersatts med en förordning, eftersom det har ansetts att bl.a. tillämpningsområdet, de grundläggande säkerhetskraven och förfarandena för bedömning av överensstämmelse ska vara lika i alla medlemsstater.</w:t>
      </w:r>
      <w:r w:rsidR="00B95C3F" w:rsidRPr="001E07CA">
        <w:rPr>
          <w:lang w:val="sv-SE"/>
        </w:rPr>
        <w:t xml:space="preserve"> </w:t>
      </w:r>
      <w:r w:rsidRPr="001E07CA">
        <w:rPr>
          <w:lang w:val="sv-SE"/>
        </w:rPr>
        <w:t>Den valda typen av rättsakt ger inte medlemsstaterna någon möjlighet att införliva bestämmelserna med den nationella lagstiftningen på olika sätt.</w:t>
      </w:r>
      <w:r w:rsidR="00B95C3F" w:rsidRPr="001E07CA">
        <w:rPr>
          <w:lang w:val="sv-SE"/>
        </w:rPr>
        <w:t xml:space="preserve"> </w:t>
      </w:r>
      <w:r w:rsidR="00F72660" w:rsidRPr="001E07CA">
        <w:rPr>
          <w:lang w:val="sv-SE"/>
        </w:rPr>
        <w:t>Med förordningen eftersträvas klara och mer exakta bestämmelser än de nuvarande.</w:t>
      </w:r>
      <w:r w:rsidR="00B95C3F" w:rsidRPr="001E07CA">
        <w:rPr>
          <w:lang w:val="sv-SE"/>
        </w:rPr>
        <w:t xml:space="preserve"> </w:t>
      </w:r>
    </w:p>
    <w:p w:rsidR="00B95C3F" w:rsidRPr="001E07CA" w:rsidRDefault="00B95C3F" w:rsidP="00B95C3F">
      <w:pPr>
        <w:rPr>
          <w:lang w:val="sv-SE"/>
        </w:rPr>
      </w:pPr>
    </w:p>
    <w:p w:rsidR="00B95C3F" w:rsidRPr="001E07CA" w:rsidRDefault="00D872B3" w:rsidP="00B95C3F">
      <w:pPr>
        <w:rPr>
          <w:lang w:val="sv-SE"/>
        </w:rPr>
      </w:pPr>
      <w:r w:rsidRPr="001E07CA">
        <w:rPr>
          <w:lang w:val="sv-SE"/>
        </w:rPr>
        <w:t xml:space="preserve">I gasanordningsförordningen </w:t>
      </w:r>
      <w:r w:rsidR="00C9531A" w:rsidRPr="001E07CA">
        <w:rPr>
          <w:lang w:val="sv-SE"/>
        </w:rPr>
        <w:t>fastställs krav för konstruktion</w:t>
      </w:r>
      <w:r w:rsidRPr="001E07CA">
        <w:rPr>
          <w:lang w:val="sv-SE"/>
        </w:rPr>
        <w:t xml:space="preserve"> och tillverkning av gasanordningar som ska tillhandahållas på unionsmarknaden för att säkerställa skydd för användarnas hälsa och säkerhet samt </w:t>
      </w:r>
      <w:r w:rsidR="00C62A9B" w:rsidRPr="001E07CA">
        <w:rPr>
          <w:lang w:val="sv-SE"/>
        </w:rPr>
        <w:t>för att fastställa</w:t>
      </w:r>
      <w:r w:rsidRPr="001E07CA">
        <w:rPr>
          <w:lang w:val="sv-SE"/>
        </w:rPr>
        <w:t xml:space="preserve"> bestämmelser om fri rörlighet för gasanordningar i unionen.</w:t>
      </w:r>
      <w:r w:rsidR="00B95C3F" w:rsidRPr="001E07CA">
        <w:rPr>
          <w:lang w:val="sv-SE"/>
        </w:rPr>
        <w:t xml:space="preserve"> </w:t>
      </w:r>
      <w:r w:rsidR="00052319" w:rsidRPr="001E07CA">
        <w:rPr>
          <w:lang w:val="sv-SE"/>
        </w:rPr>
        <w:t xml:space="preserve">Förordningen tillämpas på gasanordningar med undantag av t.ex. gasanordningar som används i industriella processer </w:t>
      </w:r>
      <w:r w:rsidR="000266AC" w:rsidRPr="001E07CA">
        <w:rPr>
          <w:lang w:val="sv-SE"/>
        </w:rPr>
        <w:t>vid</w:t>
      </w:r>
      <w:r w:rsidR="00052319" w:rsidRPr="001E07CA">
        <w:rPr>
          <w:lang w:val="sv-SE"/>
        </w:rPr>
        <w:t xml:space="preserve"> industrianläggningar, vissa gasanordningar som är avsedda för privat bruk samt gasanordningar som används i luftfartyg och på järnväg.</w:t>
      </w:r>
    </w:p>
    <w:p w:rsidR="004C3EA7" w:rsidRPr="001E07CA" w:rsidRDefault="004C3EA7" w:rsidP="00B95C3F">
      <w:pPr>
        <w:rPr>
          <w:lang w:val="sv-SE"/>
        </w:rPr>
      </w:pPr>
    </w:p>
    <w:p w:rsidR="000C6FFF" w:rsidRPr="001E07CA" w:rsidRDefault="00052319" w:rsidP="00B95C3F">
      <w:pPr>
        <w:rPr>
          <w:lang w:val="sv-SE"/>
        </w:rPr>
      </w:pPr>
      <w:r w:rsidRPr="001E07CA">
        <w:rPr>
          <w:lang w:val="sv-SE"/>
        </w:rPr>
        <w:t>I gasanordningsförordningens kapitel I föreskrivs det om förordningens tillämpningsområde.</w:t>
      </w:r>
      <w:r w:rsidR="008943B2" w:rsidRPr="001E07CA">
        <w:rPr>
          <w:lang w:val="sv-SE"/>
        </w:rPr>
        <w:t xml:space="preserve"> </w:t>
      </w:r>
      <w:r w:rsidRPr="001E07CA">
        <w:rPr>
          <w:lang w:val="sv-SE"/>
        </w:rPr>
        <w:t xml:space="preserve">Förordningens tillämpningsområde omfattar anordningar som förbränner gasformiga </w:t>
      </w:r>
      <w:r w:rsidR="00562A46" w:rsidRPr="001E07CA">
        <w:rPr>
          <w:lang w:val="sv-SE"/>
        </w:rPr>
        <w:t>bränslen samt</w:t>
      </w:r>
      <w:r w:rsidR="00545526" w:rsidRPr="001E07CA">
        <w:rPr>
          <w:lang w:val="sv-SE"/>
        </w:rPr>
        <w:t xml:space="preserve"> deras</w:t>
      </w:r>
      <w:r w:rsidRPr="001E07CA">
        <w:rPr>
          <w:lang w:val="sv-SE"/>
        </w:rPr>
        <w:t xml:space="preserve"> tillbehör.</w:t>
      </w:r>
      <w:r w:rsidR="008943B2" w:rsidRPr="001E07CA">
        <w:rPr>
          <w:lang w:val="sv-SE"/>
        </w:rPr>
        <w:t xml:space="preserve"> </w:t>
      </w:r>
      <w:r w:rsidR="00BE78B6" w:rsidRPr="001E07CA">
        <w:rPr>
          <w:lang w:val="sv-SE"/>
        </w:rPr>
        <w:t>När en gasanordning släpps ut på marknaden ska den</w:t>
      </w:r>
      <w:r w:rsidR="006103C7" w:rsidRPr="001E07CA">
        <w:rPr>
          <w:lang w:val="sv-SE"/>
        </w:rPr>
        <w:t xml:space="preserve"> uppfylla de grundläggande krav som</w:t>
      </w:r>
      <w:r w:rsidR="00A7728D" w:rsidRPr="001E07CA">
        <w:rPr>
          <w:lang w:val="sv-SE"/>
        </w:rPr>
        <w:t xml:space="preserve"> i förordningen</w:t>
      </w:r>
      <w:r w:rsidR="007E5003" w:rsidRPr="001E07CA">
        <w:rPr>
          <w:lang w:val="sv-SE"/>
        </w:rPr>
        <w:t xml:space="preserve"> uppställ</w:t>
      </w:r>
      <w:r w:rsidR="006103C7" w:rsidRPr="001E07CA">
        <w:rPr>
          <w:lang w:val="sv-SE"/>
        </w:rPr>
        <w:t>s på den och den ska vara säker under hela dess livslängd när de</w:t>
      </w:r>
      <w:r w:rsidR="00637929" w:rsidRPr="001E07CA">
        <w:rPr>
          <w:lang w:val="sv-SE"/>
        </w:rPr>
        <w:t>n</w:t>
      </w:r>
      <w:r w:rsidR="00FD7C76" w:rsidRPr="001E07CA">
        <w:rPr>
          <w:lang w:val="sv-SE"/>
        </w:rPr>
        <w:t xml:space="preserve"> används på sedvanligt sätt</w:t>
      </w:r>
      <w:r w:rsidR="006103C7" w:rsidRPr="001E07CA">
        <w:rPr>
          <w:lang w:val="sv-SE"/>
        </w:rPr>
        <w:t>.</w:t>
      </w:r>
      <w:r w:rsidR="008943B2" w:rsidRPr="001E07CA">
        <w:rPr>
          <w:lang w:val="sv-SE"/>
        </w:rPr>
        <w:t xml:space="preserve"> </w:t>
      </w:r>
      <w:r w:rsidR="000177C9" w:rsidRPr="001E07CA">
        <w:rPr>
          <w:lang w:val="sv-SE"/>
        </w:rPr>
        <w:t>Med sedvanlig</w:t>
      </w:r>
      <w:r w:rsidR="003F160C" w:rsidRPr="001E07CA">
        <w:rPr>
          <w:lang w:val="sv-SE"/>
        </w:rPr>
        <w:t xml:space="preserve"> användning av</w:t>
      </w:r>
      <w:r w:rsidR="006103C7" w:rsidRPr="001E07CA">
        <w:rPr>
          <w:lang w:val="sv-SE"/>
        </w:rPr>
        <w:t xml:space="preserve">ses det att anordningen är korrekt installerad och </w:t>
      </w:r>
      <w:r w:rsidR="00090D55" w:rsidRPr="001E07CA">
        <w:rPr>
          <w:lang w:val="sv-SE"/>
        </w:rPr>
        <w:t>föremål för</w:t>
      </w:r>
      <w:r w:rsidR="00637929" w:rsidRPr="001E07CA">
        <w:rPr>
          <w:lang w:val="sv-SE"/>
        </w:rPr>
        <w:t xml:space="preserve"> regelbundet underhåll i enlighet med tillverkarens anvisningar och att </w:t>
      </w:r>
      <w:r w:rsidR="00090D55" w:rsidRPr="001E07CA">
        <w:rPr>
          <w:lang w:val="sv-SE"/>
        </w:rPr>
        <w:t>den används i enlighet med sitt avsedda syfte eller på ett sätt som rimligen kan förutses.</w:t>
      </w:r>
      <w:r w:rsidR="0001747A" w:rsidRPr="001E07CA">
        <w:rPr>
          <w:lang w:val="sv-SE"/>
        </w:rPr>
        <w:t xml:space="preserve"> </w:t>
      </w:r>
      <w:r w:rsidR="00090D55" w:rsidRPr="001E07CA">
        <w:rPr>
          <w:lang w:val="sv-SE"/>
        </w:rPr>
        <w:t xml:space="preserve">Dessutom </w:t>
      </w:r>
      <w:r w:rsidR="00090D55" w:rsidRPr="001E07CA">
        <w:rPr>
          <w:lang w:val="sv-SE"/>
        </w:rPr>
        <w:lastRenderedPageBreak/>
        <w:t>förutsätts att den används med normala variationer i gaskvalitet och norm</w:t>
      </w:r>
      <w:r w:rsidR="00CF3C32" w:rsidRPr="001E07CA">
        <w:rPr>
          <w:lang w:val="sv-SE"/>
        </w:rPr>
        <w:t xml:space="preserve">ala fluktuationer av </w:t>
      </w:r>
      <w:r w:rsidR="0060520B" w:rsidRPr="001E07CA">
        <w:rPr>
          <w:lang w:val="sv-SE"/>
        </w:rPr>
        <w:t>anslutningstryck</w:t>
      </w:r>
      <w:r w:rsidR="00090D55" w:rsidRPr="001E07CA">
        <w:rPr>
          <w:lang w:val="sv-SE"/>
        </w:rPr>
        <w:t xml:space="preserve"> enligt </w:t>
      </w:r>
      <w:r w:rsidR="005B035F" w:rsidRPr="001E07CA">
        <w:rPr>
          <w:lang w:val="sv-SE"/>
        </w:rPr>
        <w:t xml:space="preserve">vad som angivits av </w:t>
      </w:r>
      <w:r w:rsidR="00090D55" w:rsidRPr="001E07CA">
        <w:rPr>
          <w:lang w:val="sv-SE"/>
        </w:rPr>
        <w:t>medlemsstaterna.</w:t>
      </w:r>
      <w:r w:rsidR="0001747A" w:rsidRPr="001E07CA">
        <w:rPr>
          <w:lang w:val="sv-SE"/>
        </w:rPr>
        <w:t xml:space="preserve"> </w:t>
      </w:r>
      <w:r w:rsidR="005B035F" w:rsidRPr="001E07CA">
        <w:rPr>
          <w:lang w:val="sv-SE"/>
        </w:rPr>
        <w:t xml:space="preserve">Kapitlet innehåller bestämmelser om det förfarande enligt vilket en medlemsstat meddelar kommissionen och övriga medlemsstater de anslutningstryck som används i gasanordningarna </w:t>
      </w:r>
      <w:r w:rsidR="0029633D" w:rsidRPr="001E07CA">
        <w:rPr>
          <w:lang w:val="sv-SE"/>
        </w:rPr>
        <w:t xml:space="preserve">på landets territorium </w:t>
      </w:r>
      <w:r w:rsidR="005B035F" w:rsidRPr="001E07CA">
        <w:rPr>
          <w:lang w:val="sv-SE"/>
        </w:rPr>
        <w:t>och d</w:t>
      </w:r>
      <w:r w:rsidR="0026761C" w:rsidRPr="001E07CA">
        <w:rPr>
          <w:lang w:val="sv-SE"/>
        </w:rPr>
        <w:t>e typer av gas</w:t>
      </w:r>
      <w:r w:rsidR="005B035F" w:rsidRPr="001E07CA">
        <w:rPr>
          <w:lang w:val="sv-SE"/>
        </w:rPr>
        <w:t xml:space="preserve"> som förbränns i dem.</w:t>
      </w:r>
      <w:r w:rsidR="0001747A" w:rsidRPr="001E07CA">
        <w:rPr>
          <w:lang w:val="sv-SE"/>
        </w:rPr>
        <w:t xml:space="preserve"> </w:t>
      </w:r>
      <w:r w:rsidR="005B035F" w:rsidRPr="001E07CA">
        <w:rPr>
          <w:lang w:val="sv-SE"/>
        </w:rPr>
        <w:t>Trots att säkerhetsbestämmelser</w:t>
      </w:r>
      <w:r w:rsidR="00E62F61" w:rsidRPr="001E07CA">
        <w:rPr>
          <w:lang w:val="sv-SE"/>
        </w:rPr>
        <w:t>na om</w:t>
      </w:r>
      <w:r w:rsidR="005B035F" w:rsidRPr="001E07CA">
        <w:rPr>
          <w:lang w:val="sv-SE"/>
        </w:rPr>
        <w:t xml:space="preserve"> gasanordningar har harmoniserats och möjlighet till fri rörlighet enligt kapitlet</w:t>
      </w:r>
      <w:r w:rsidR="0026761C" w:rsidRPr="001E07CA">
        <w:rPr>
          <w:lang w:val="sv-SE"/>
        </w:rPr>
        <w:t xml:space="preserve"> i förordningen</w:t>
      </w:r>
      <w:r w:rsidR="00E62F61" w:rsidRPr="001E07CA">
        <w:rPr>
          <w:lang w:val="sv-SE"/>
        </w:rPr>
        <w:t xml:space="preserve"> således</w:t>
      </w:r>
      <w:r w:rsidR="005B035F" w:rsidRPr="001E07CA">
        <w:rPr>
          <w:lang w:val="sv-SE"/>
        </w:rPr>
        <w:t xml:space="preserve"> skapats, varierar </w:t>
      </w:r>
      <w:r w:rsidR="0026761C" w:rsidRPr="001E07CA">
        <w:rPr>
          <w:lang w:val="sv-SE"/>
        </w:rPr>
        <w:t>de</w:t>
      </w:r>
      <w:r w:rsidR="00E62F61" w:rsidRPr="001E07CA">
        <w:rPr>
          <w:lang w:val="sv-SE"/>
        </w:rPr>
        <w:t>n</w:t>
      </w:r>
      <w:r w:rsidR="0026761C" w:rsidRPr="001E07CA">
        <w:rPr>
          <w:lang w:val="sv-SE"/>
        </w:rPr>
        <w:t xml:space="preserve"> kemiska </w:t>
      </w:r>
      <w:r w:rsidR="00E62F61" w:rsidRPr="001E07CA">
        <w:rPr>
          <w:lang w:val="sv-SE"/>
        </w:rPr>
        <w:t>sammansättningen av gaser som förbränns och anordningarnas anslutningstryck från land till land inom Europeiska ekonomiska samarbetsområdet.</w:t>
      </w:r>
      <w:r w:rsidR="00944909" w:rsidRPr="001E07CA">
        <w:rPr>
          <w:lang w:val="sv-SE"/>
        </w:rPr>
        <w:t xml:space="preserve"> </w:t>
      </w:r>
      <w:r w:rsidR="00500C2C" w:rsidRPr="001E07CA">
        <w:rPr>
          <w:lang w:val="sv-SE"/>
        </w:rPr>
        <w:t xml:space="preserve">För att gasanordningar ska kunna konstrueras </w:t>
      </w:r>
      <w:r w:rsidR="00002C95" w:rsidRPr="001E07CA">
        <w:rPr>
          <w:lang w:val="sv-SE"/>
        </w:rPr>
        <w:t xml:space="preserve">så att de kan </w:t>
      </w:r>
      <w:r w:rsidR="00500C2C" w:rsidRPr="001E07CA">
        <w:rPr>
          <w:lang w:val="sv-SE"/>
        </w:rPr>
        <w:t>använd</w:t>
      </w:r>
      <w:r w:rsidR="00002C95" w:rsidRPr="001E07CA">
        <w:rPr>
          <w:lang w:val="sv-SE"/>
        </w:rPr>
        <w:t>a</w:t>
      </w:r>
      <w:r w:rsidR="00500C2C" w:rsidRPr="001E07CA">
        <w:rPr>
          <w:lang w:val="sv-SE"/>
        </w:rPr>
        <w:t>s på ett tryggt sätt är det nödvändigt att särskilt tillverkaren och importören känner till de tekniska kraven i mållandet för exporten och på detta sätt säker</w:t>
      </w:r>
      <w:r w:rsidR="00884703" w:rsidRPr="001E07CA">
        <w:rPr>
          <w:lang w:val="sv-SE"/>
        </w:rPr>
        <w:t>ställer gasanordningens</w:t>
      </w:r>
      <w:r w:rsidR="00500C2C" w:rsidRPr="001E07CA">
        <w:rPr>
          <w:lang w:val="sv-SE"/>
        </w:rPr>
        <w:t xml:space="preserve"> kompatibilitet under mållandets användningsförhållanden.</w:t>
      </w:r>
    </w:p>
    <w:p w:rsidR="000C6FFF" w:rsidRPr="001E07CA" w:rsidRDefault="000C6FFF" w:rsidP="00B95C3F">
      <w:pPr>
        <w:rPr>
          <w:lang w:val="sv-SE"/>
        </w:rPr>
      </w:pPr>
    </w:p>
    <w:p w:rsidR="00B95C3F" w:rsidRPr="001E07CA" w:rsidRDefault="00500C2C" w:rsidP="00B95C3F">
      <w:pPr>
        <w:rPr>
          <w:lang w:val="sv-SE"/>
        </w:rPr>
      </w:pPr>
      <w:r w:rsidRPr="001E07CA">
        <w:rPr>
          <w:lang w:val="sv-SE"/>
        </w:rPr>
        <w:t>Kapitel II i gasanordningsförordningen innehåller</w:t>
      </w:r>
      <w:r w:rsidR="001948F0" w:rsidRPr="001E07CA">
        <w:rPr>
          <w:lang w:val="sv-SE"/>
        </w:rPr>
        <w:t>,</w:t>
      </w:r>
      <w:r w:rsidRPr="001E07CA">
        <w:rPr>
          <w:lang w:val="sv-SE"/>
        </w:rPr>
        <w:t xml:space="preserve"> i likhet med NLF-förordningen</w:t>
      </w:r>
      <w:r w:rsidR="001948F0" w:rsidRPr="001E07CA">
        <w:rPr>
          <w:lang w:val="sv-SE"/>
        </w:rPr>
        <w:t>,</w:t>
      </w:r>
      <w:r w:rsidRPr="001E07CA">
        <w:rPr>
          <w:lang w:val="sv-SE"/>
        </w:rPr>
        <w:t xml:space="preserve"> mer exakta bestämmelser om ekonomiska aktörers skyldigheter än de nuvarande bestämmelserna.</w:t>
      </w:r>
      <w:r w:rsidR="00B95C3F" w:rsidRPr="001E07CA">
        <w:rPr>
          <w:lang w:val="sv-SE"/>
        </w:rPr>
        <w:t xml:space="preserve"> </w:t>
      </w:r>
      <w:r w:rsidRPr="001E07CA">
        <w:rPr>
          <w:lang w:val="sv-SE"/>
        </w:rPr>
        <w:t>Med ekonomisk aktör avses tillverkare, tillverkarens representant, importör och distributör.</w:t>
      </w:r>
      <w:r w:rsidR="00B95C3F" w:rsidRPr="001E07CA">
        <w:rPr>
          <w:lang w:val="sv-SE"/>
        </w:rPr>
        <w:t xml:space="preserve"> </w:t>
      </w:r>
      <w:r w:rsidR="005411E5" w:rsidRPr="001E07CA">
        <w:rPr>
          <w:lang w:val="sv-SE"/>
        </w:rPr>
        <w:t>Alla ekonomiska aktörer som hör till leverans- och distributionskedjan är skyldiga att vidta lämpliga åtgärder för att säkerställa att endast sådan</w:t>
      </w:r>
      <w:r w:rsidR="00FD433F" w:rsidRPr="001E07CA">
        <w:rPr>
          <w:lang w:val="sv-SE"/>
        </w:rPr>
        <w:t>a</w:t>
      </w:r>
      <w:r w:rsidR="005411E5" w:rsidRPr="001E07CA">
        <w:rPr>
          <w:lang w:val="sv-SE"/>
        </w:rPr>
        <w:t xml:space="preserve"> </w:t>
      </w:r>
      <w:r w:rsidR="00FD433F" w:rsidRPr="001E07CA">
        <w:rPr>
          <w:lang w:val="sv-SE"/>
        </w:rPr>
        <w:t xml:space="preserve">gasanordningar </w:t>
      </w:r>
      <w:r w:rsidR="005411E5" w:rsidRPr="001E07CA">
        <w:rPr>
          <w:lang w:val="sv-SE"/>
        </w:rPr>
        <w:t>som överensstämmer med förordningen tillhandahålls på marknaden.</w:t>
      </w:r>
      <w:r w:rsidR="00B95C3F" w:rsidRPr="001E07CA">
        <w:rPr>
          <w:lang w:val="sv-SE"/>
        </w:rPr>
        <w:t xml:space="preserve"> </w:t>
      </w:r>
      <w:r w:rsidR="00FD433F" w:rsidRPr="001E07CA">
        <w:rPr>
          <w:lang w:val="sv-SE"/>
        </w:rPr>
        <w:t>Av denna orsak innehåller förordningen detaljerade bestämmelser om varje aktörs skyldigheter.</w:t>
      </w:r>
      <w:r w:rsidR="000C6FFF" w:rsidRPr="001E07CA">
        <w:rPr>
          <w:lang w:val="sv-SE"/>
        </w:rPr>
        <w:t xml:space="preserve"> </w:t>
      </w:r>
    </w:p>
    <w:p w:rsidR="00B95C3F" w:rsidRPr="001E07CA" w:rsidRDefault="00B95C3F" w:rsidP="00B95C3F">
      <w:pPr>
        <w:rPr>
          <w:lang w:val="sv-SE"/>
        </w:rPr>
      </w:pPr>
    </w:p>
    <w:p w:rsidR="00B95C3F" w:rsidRPr="001E07CA" w:rsidRDefault="007B4B52" w:rsidP="00B95C3F">
      <w:pPr>
        <w:rPr>
          <w:lang w:val="sv-SE"/>
        </w:rPr>
      </w:pPr>
      <w:r w:rsidRPr="001E07CA">
        <w:rPr>
          <w:lang w:val="sv-SE"/>
        </w:rPr>
        <w:t>T</w:t>
      </w:r>
      <w:r w:rsidR="00FD433F" w:rsidRPr="001E07CA">
        <w:rPr>
          <w:lang w:val="sv-SE"/>
        </w:rPr>
        <w:t>illverkaren svarar för att gasanordningen har konstruerats och tillverkats i öv</w:t>
      </w:r>
      <w:r w:rsidR="001368C5" w:rsidRPr="001E07CA">
        <w:rPr>
          <w:lang w:val="sv-SE"/>
        </w:rPr>
        <w:t>erensstämmelse med de grundläggande</w:t>
      </w:r>
      <w:r w:rsidR="00FD433F" w:rsidRPr="001E07CA">
        <w:rPr>
          <w:lang w:val="sv-SE"/>
        </w:rPr>
        <w:t xml:space="preserve"> säkerhetskraven.</w:t>
      </w:r>
      <w:r w:rsidR="00B95C3F" w:rsidRPr="001E07CA">
        <w:rPr>
          <w:lang w:val="sv-SE"/>
        </w:rPr>
        <w:t xml:space="preserve"> </w:t>
      </w:r>
      <w:r w:rsidR="00FD433F" w:rsidRPr="001E07CA">
        <w:rPr>
          <w:lang w:val="sv-SE"/>
        </w:rPr>
        <w:t>Tillverkaren har de bästa möjligheterna att genomföra eller låta genomföra förfarandet för bedömning av överensstämmelse, eftersom denne har detaljerade uppgifter om konstruktions- och produktionsprocessen.</w:t>
      </w:r>
      <w:r w:rsidR="00B95C3F" w:rsidRPr="001E07CA">
        <w:rPr>
          <w:lang w:val="sv-SE"/>
        </w:rPr>
        <w:t xml:space="preserve"> </w:t>
      </w:r>
      <w:r w:rsidR="00E412E4" w:rsidRPr="001E07CA">
        <w:rPr>
          <w:lang w:val="sv-SE"/>
        </w:rPr>
        <w:t>Av denna anledning hör bedömningen av överensstämmelse med kraven också fortsättningsvis uteslutande till tillverkarens skyldigheter.</w:t>
      </w:r>
      <w:r w:rsidR="00B95C3F" w:rsidRPr="001E07CA">
        <w:rPr>
          <w:lang w:val="sv-SE"/>
        </w:rPr>
        <w:t xml:space="preserve"> </w:t>
      </w:r>
      <w:r w:rsidR="00E412E4" w:rsidRPr="001E07CA">
        <w:rPr>
          <w:lang w:val="sv-SE"/>
        </w:rPr>
        <w:t>Tillverkaren svarar dessutom bl.a. för upprättandet av den tekniska dokumentationen och EU-försäkran om överensstämmelse, anbringandet av CE-märkning och andra relevanta märkningar, lämnandet av kontaktinformation samt för att gasanordningen åtföljs av anvisningar och uppgifter.</w:t>
      </w:r>
      <w:r w:rsidR="00B95C3F" w:rsidRPr="001E07CA">
        <w:rPr>
          <w:lang w:val="sv-SE"/>
        </w:rPr>
        <w:t xml:space="preserve"> </w:t>
      </w:r>
      <w:r w:rsidR="00D65AF4" w:rsidRPr="001E07CA">
        <w:rPr>
          <w:lang w:val="sv-SE"/>
        </w:rPr>
        <w:t>Om gasanordningen</w:t>
      </w:r>
      <w:r w:rsidR="00E412E4" w:rsidRPr="001E07CA">
        <w:rPr>
          <w:lang w:val="sv-SE"/>
        </w:rPr>
        <w:t xml:space="preserve"> utgör risk, ska tillverkaren utföra stickprovskontroller av </w:t>
      </w:r>
      <w:r w:rsidR="00D65AF4" w:rsidRPr="001E07CA">
        <w:rPr>
          <w:lang w:val="sv-SE"/>
        </w:rPr>
        <w:t>gasanordningar</w:t>
      </w:r>
      <w:r w:rsidR="00E412E4" w:rsidRPr="001E07CA">
        <w:rPr>
          <w:lang w:val="sv-SE"/>
        </w:rPr>
        <w:t xml:space="preserve"> </w:t>
      </w:r>
      <w:r w:rsidR="00D4345C" w:rsidRPr="001E07CA">
        <w:rPr>
          <w:lang w:val="sv-SE"/>
        </w:rPr>
        <w:t xml:space="preserve">som saluförs på marknaden </w:t>
      </w:r>
      <w:r w:rsidR="00E412E4" w:rsidRPr="001E07CA">
        <w:rPr>
          <w:lang w:val="sv-SE"/>
        </w:rPr>
        <w:t xml:space="preserve">samt granska och registerföra inkomna klagomål på </w:t>
      </w:r>
      <w:r w:rsidR="00D65AF4" w:rsidRPr="001E07CA">
        <w:rPr>
          <w:lang w:val="sv-SE"/>
        </w:rPr>
        <w:t xml:space="preserve">gasanordningar </w:t>
      </w:r>
      <w:r w:rsidR="00E412E4" w:rsidRPr="001E07CA">
        <w:rPr>
          <w:lang w:val="sv-SE"/>
        </w:rPr>
        <w:t>som inte överensstämmer med kraven.</w:t>
      </w:r>
      <w:r w:rsidR="00B95C3F" w:rsidRPr="001E07CA">
        <w:rPr>
          <w:lang w:val="sv-SE"/>
        </w:rPr>
        <w:t xml:space="preserve"> </w:t>
      </w:r>
      <w:r w:rsidR="00D65AF4" w:rsidRPr="001E07CA">
        <w:rPr>
          <w:lang w:val="sv-SE"/>
        </w:rPr>
        <w:t>Vid behov ska tillverkaren vidta korrigerande åtgärder.</w:t>
      </w:r>
      <w:r w:rsidR="00B95C3F" w:rsidRPr="001E07CA">
        <w:rPr>
          <w:lang w:val="sv-SE"/>
        </w:rPr>
        <w:t xml:space="preserve"> </w:t>
      </w:r>
    </w:p>
    <w:p w:rsidR="00B95C3F" w:rsidRPr="001E07CA" w:rsidRDefault="00B95C3F" w:rsidP="00B95C3F">
      <w:pPr>
        <w:rPr>
          <w:lang w:val="sv-SE"/>
        </w:rPr>
      </w:pPr>
    </w:p>
    <w:p w:rsidR="00B95C3F" w:rsidRPr="001E07CA" w:rsidRDefault="00D65AF4" w:rsidP="00B95C3F">
      <w:pPr>
        <w:rPr>
          <w:lang w:val="sv-SE"/>
        </w:rPr>
      </w:pPr>
      <w:r w:rsidRPr="001E07CA">
        <w:rPr>
          <w:lang w:val="sv-SE"/>
        </w:rPr>
        <w:t>En tillverkare kan utse tillverkarens representant genom skriftlig fullmakt.</w:t>
      </w:r>
      <w:r w:rsidR="00B95C3F" w:rsidRPr="001E07CA">
        <w:rPr>
          <w:lang w:val="sv-SE"/>
        </w:rPr>
        <w:t xml:space="preserve"> </w:t>
      </w:r>
      <w:r w:rsidR="00C53D49" w:rsidRPr="001E07CA">
        <w:rPr>
          <w:lang w:val="sv-SE"/>
        </w:rPr>
        <w:t>Tillverkarens representant har till uppgift att utföra de uppdrag som anges i fullmakten från tillverkaren.</w:t>
      </w:r>
      <w:r w:rsidR="00B95C3F" w:rsidRPr="001E07CA">
        <w:rPr>
          <w:lang w:val="sv-SE"/>
        </w:rPr>
        <w:t xml:space="preserve"> </w:t>
      </w:r>
      <w:r w:rsidR="00C53D49" w:rsidRPr="001E07CA">
        <w:rPr>
          <w:lang w:val="sv-SE"/>
        </w:rPr>
        <w:t xml:space="preserve">Tillverkarens representants uppdrag kan dock inte inbegripa </w:t>
      </w:r>
      <w:r w:rsidR="0049304A" w:rsidRPr="001E07CA">
        <w:rPr>
          <w:lang w:val="sv-SE"/>
        </w:rPr>
        <w:t xml:space="preserve">skyldighet att </w:t>
      </w:r>
      <w:r w:rsidR="00C53D49" w:rsidRPr="001E07CA">
        <w:rPr>
          <w:lang w:val="sv-SE"/>
        </w:rPr>
        <w:t>säkerställa</w:t>
      </w:r>
      <w:r w:rsidR="0049304A" w:rsidRPr="001E07CA">
        <w:rPr>
          <w:lang w:val="sv-SE"/>
        </w:rPr>
        <w:t xml:space="preserve"> </w:t>
      </w:r>
      <w:r w:rsidR="00C53D49" w:rsidRPr="001E07CA">
        <w:rPr>
          <w:lang w:val="sv-SE"/>
        </w:rPr>
        <w:t xml:space="preserve">att gasanordningen har konstruerats och tillverkats i </w:t>
      </w:r>
      <w:r w:rsidR="00D4345C" w:rsidRPr="001E07CA">
        <w:rPr>
          <w:lang w:val="sv-SE"/>
        </w:rPr>
        <w:t>överensstämmelse</w:t>
      </w:r>
      <w:r w:rsidR="00C53D49" w:rsidRPr="001E07CA">
        <w:rPr>
          <w:lang w:val="sv-SE"/>
        </w:rPr>
        <w:t xml:space="preserve"> med de grundläggande säkerhetskraven eller skyldighet att upprätta den tekniska dokumentationen.</w:t>
      </w:r>
      <w:r w:rsidR="00B95C3F" w:rsidRPr="001E07CA">
        <w:rPr>
          <w:lang w:val="sv-SE"/>
        </w:rPr>
        <w:t xml:space="preserve"> </w:t>
      </w:r>
      <w:r w:rsidR="00C53D49" w:rsidRPr="001E07CA">
        <w:rPr>
          <w:lang w:val="sv-SE"/>
        </w:rPr>
        <w:t>Dessa är på tillverkarens ansvar.</w:t>
      </w:r>
      <w:r w:rsidR="00B95C3F" w:rsidRPr="001E07CA">
        <w:rPr>
          <w:lang w:val="sv-SE"/>
        </w:rPr>
        <w:t xml:space="preserve"> </w:t>
      </w:r>
      <w:r w:rsidR="00FD493D" w:rsidRPr="001E07CA">
        <w:rPr>
          <w:lang w:val="sv-SE"/>
        </w:rPr>
        <w:t>Uppdraget kan inbegripa exempelvis skyldigheten att hålla EU-försäkran om överensstämmelse och den tekniska dokumentationen tillgängliga för nationella marknadskontrollmyndigheter samt att på begäran lämna uppgifter och handlingar</w:t>
      </w:r>
      <w:r w:rsidR="00E176BA" w:rsidRPr="001E07CA">
        <w:rPr>
          <w:lang w:val="sv-SE"/>
        </w:rPr>
        <w:t xml:space="preserve"> till den nationella myndigheten</w:t>
      </w:r>
      <w:r w:rsidR="00FD493D" w:rsidRPr="001E07CA">
        <w:rPr>
          <w:lang w:val="sv-SE"/>
        </w:rPr>
        <w:t>.</w:t>
      </w:r>
      <w:r w:rsidR="00B95C3F" w:rsidRPr="001E07CA">
        <w:rPr>
          <w:lang w:val="sv-SE"/>
        </w:rPr>
        <w:t xml:space="preserve"> </w:t>
      </w:r>
    </w:p>
    <w:p w:rsidR="00B95C3F" w:rsidRPr="001E07CA" w:rsidRDefault="00B95C3F" w:rsidP="00B95C3F">
      <w:pPr>
        <w:rPr>
          <w:lang w:val="sv-SE"/>
        </w:rPr>
      </w:pPr>
    </w:p>
    <w:p w:rsidR="00B95C3F" w:rsidRPr="001E07CA" w:rsidRDefault="00C35811" w:rsidP="00B95C3F">
      <w:pPr>
        <w:rPr>
          <w:lang w:val="sv-SE"/>
        </w:rPr>
      </w:pPr>
      <w:r w:rsidRPr="001E07CA">
        <w:rPr>
          <w:lang w:val="sv-SE"/>
        </w:rPr>
        <w:t>En importör</w:t>
      </w:r>
      <w:r w:rsidR="00FD493D" w:rsidRPr="001E07CA">
        <w:rPr>
          <w:lang w:val="sv-SE"/>
        </w:rPr>
        <w:t xml:space="preserve"> svarar för att sådana gasanordningar som denne släppt ut på marknaden överensstämmer med kraven.</w:t>
      </w:r>
      <w:r w:rsidR="00B95C3F" w:rsidRPr="001E07CA">
        <w:rPr>
          <w:lang w:val="sv-SE"/>
        </w:rPr>
        <w:t xml:space="preserve"> </w:t>
      </w:r>
      <w:r w:rsidR="00FD493D" w:rsidRPr="001E07CA">
        <w:rPr>
          <w:lang w:val="sv-SE"/>
        </w:rPr>
        <w:t xml:space="preserve">Importören ska säkerställa att tillverkaren genomfört ett relevant förfarande för bedömning av överensstämmelse, upprättat den tekniska dokumentationen, försett </w:t>
      </w:r>
      <w:r w:rsidR="00E04570" w:rsidRPr="001E07CA">
        <w:rPr>
          <w:lang w:val="sv-SE"/>
        </w:rPr>
        <w:t>anordningen</w:t>
      </w:r>
      <w:r w:rsidR="00FD493D" w:rsidRPr="001E07CA">
        <w:rPr>
          <w:lang w:val="sv-SE"/>
        </w:rPr>
        <w:t xml:space="preserve"> med CE-märkning och sett till att </w:t>
      </w:r>
      <w:r w:rsidR="00E04570" w:rsidRPr="001E07CA">
        <w:rPr>
          <w:lang w:val="sv-SE"/>
        </w:rPr>
        <w:t xml:space="preserve">gasanordningen </w:t>
      </w:r>
      <w:r w:rsidR="00FD493D" w:rsidRPr="001E07CA">
        <w:rPr>
          <w:lang w:val="sv-SE"/>
        </w:rPr>
        <w:t>åtföljs av krävda dokument</w:t>
      </w:r>
      <w:r w:rsidR="00E04570" w:rsidRPr="001E07CA">
        <w:rPr>
          <w:lang w:val="sv-SE"/>
        </w:rPr>
        <w:t xml:space="preserve"> som inbegriper bl.a.</w:t>
      </w:r>
      <w:r w:rsidR="00FD493D" w:rsidRPr="001E07CA">
        <w:rPr>
          <w:lang w:val="sv-SE"/>
        </w:rPr>
        <w:t xml:space="preserve"> anvisningar och uppgifter</w:t>
      </w:r>
      <w:r w:rsidR="00E04570" w:rsidRPr="001E07CA">
        <w:rPr>
          <w:lang w:val="sv-SE"/>
        </w:rPr>
        <w:t xml:space="preserve"> om för införlivande eller sammansättning, justering, drift och underhåll</w:t>
      </w:r>
      <w:r w:rsidR="00FD493D" w:rsidRPr="001E07CA">
        <w:rPr>
          <w:lang w:val="sv-SE"/>
        </w:rPr>
        <w:t>.</w:t>
      </w:r>
      <w:r w:rsidR="00C0548B" w:rsidRPr="001E07CA">
        <w:rPr>
          <w:lang w:val="sv-SE"/>
        </w:rPr>
        <w:t xml:space="preserve"> </w:t>
      </w:r>
      <w:r w:rsidR="00E04570" w:rsidRPr="001E07CA">
        <w:rPr>
          <w:lang w:val="sv-SE"/>
        </w:rPr>
        <w:t>Importören ska lämna sina kontaktuppgifter, och ska i likhet med tillverkaren, se till att en gasanordning som utgör risk testas, att klagomål granskas och att korrigerande åtgärder vidtas.</w:t>
      </w:r>
      <w:r w:rsidR="00B95C3F" w:rsidRPr="001E07CA">
        <w:rPr>
          <w:lang w:val="sv-SE"/>
        </w:rPr>
        <w:t xml:space="preserve"> </w:t>
      </w:r>
      <w:r w:rsidR="00B4318D" w:rsidRPr="001E07CA">
        <w:rPr>
          <w:lang w:val="sv-SE"/>
        </w:rPr>
        <w:t>En distributör</w:t>
      </w:r>
      <w:r w:rsidR="00E04570" w:rsidRPr="001E07CA">
        <w:rPr>
          <w:lang w:val="sv-SE"/>
        </w:rPr>
        <w:t xml:space="preserve"> ska för sin del, innan </w:t>
      </w:r>
      <w:r w:rsidR="00CA62E8" w:rsidRPr="001E07CA">
        <w:rPr>
          <w:lang w:val="sv-SE"/>
        </w:rPr>
        <w:t>gasanordning</w:t>
      </w:r>
      <w:r w:rsidR="005B544C" w:rsidRPr="001E07CA">
        <w:rPr>
          <w:lang w:val="sv-SE"/>
        </w:rPr>
        <w:t>en</w:t>
      </w:r>
      <w:r w:rsidR="00CA62E8" w:rsidRPr="001E07CA">
        <w:rPr>
          <w:lang w:val="sv-SE"/>
        </w:rPr>
        <w:t xml:space="preserve"> </w:t>
      </w:r>
      <w:r w:rsidR="00E04570" w:rsidRPr="001E07CA">
        <w:rPr>
          <w:lang w:val="sv-SE"/>
        </w:rPr>
        <w:t xml:space="preserve">tillhandahålls på marknaden, bl.a. </w:t>
      </w:r>
      <w:r w:rsidR="00E04570" w:rsidRPr="001E07CA">
        <w:rPr>
          <w:lang w:val="sv-SE"/>
        </w:rPr>
        <w:lastRenderedPageBreak/>
        <w:t xml:space="preserve">säkerställa att </w:t>
      </w:r>
      <w:r w:rsidR="00CA62E8" w:rsidRPr="001E07CA">
        <w:rPr>
          <w:lang w:val="sv-SE"/>
        </w:rPr>
        <w:t>anordningen</w:t>
      </w:r>
      <w:r w:rsidR="00E04570" w:rsidRPr="001E07CA">
        <w:rPr>
          <w:lang w:val="sv-SE"/>
        </w:rPr>
        <w:t xml:space="preserve"> har försetts med CE-märkning och att den åtföljs av krävda dokument, anvisningar och uppgifter.</w:t>
      </w:r>
      <w:r w:rsidR="00B95C3F" w:rsidRPr="001E07CA">
        <w:rPr>
          <w:lang w:val="sv-SE"/>
        </w:rPr>
        <w:t xml:space="preserve"> </w:t>
      </w:r>
      <w:r w:rsidR="00CA62E8" w:rsidRPr="001E07CA">
        <w:rPr>
          <w:lang w:val="sv-SE"/>
        </w:rPr>
        <w:t xml:space="preserve">Också distributören ska för egen del vidta korrigerande åtgärder, om det finns skäl att tro att </w:t>
      </w:r>
      <w:r w:rsidR="00B01163" w:rsidRPr="001E07CA">
        <w:rPr>
          <w:lang w:val="sv-SE"/>
        </w:rPr>
        <w:t>gasanordningen</w:t>
      </w:r>
      <w:r w:rsidR="00CA62E8" w:rsidRPr="001E07CA">
        <w:rPr>
          <w:lang w:val="sv-SE"/>
        </w:rPr>
        <w:t xml:space="preserve"> inte överensstämmer med kraven.</w:t>
      </w:r>
      <w:r w:rsidR="00B95C3F" w:rsidRPr="001E07CA">
        <w:rPr>
          <w:lang w:val="sv-SE"/>
        </w:rPr>
        <w:t xml:space="preserve"> </w:t>
      </w:r>
    </w:p>
    <w:p w:rsidR="00B95C3F" w:rsidRPr="001E07CA" w:rsidRDefault="00B95C3F" w:rsidP="00B95C3F">
      <w:pPr>
        <w:rPr>
          <w:lang w:val="sv-SE"/>
        </w:rPr>
      </w:pPr>
    </w:p>
    <w:p w:rsidR="00B95C3F" w:rsidRPr="001E07CA" w:rsidRDefault="00B01163" w:rsidP="00B95C3F">
      <w:pPr>
        <w:rPr>
          <w:lang w:val="sv-SE"/>
        </w:rPr>
      </w:pPr>
      <w:r w:rsidRPr="001E07CA">
        <w:rPr>
          <w:lang w:val="sv-SE"/>
        </w:rPr>
        <w:t xml:space="preserve">I kapitel III i </w:t>
      </w:r>
      <w:r w:rsidR="00463077" w:rsidRPr="001E07CA">
        <w:rPr>
          <w:lang w:val="sv-SE"/>
        </w:rPr>
        <w:t>gasanordnings</w:t>
      </w:r>
      <w:r w:rsidRPr="001E07CA">
        <w:rPr>
          <w:lang w:val="sv-SE"/>
        </w:rPr>
        <w:t xml:space="preserve">förordningen föreskrivs om </w:t>
      </w:r>
      <w:r w:rsidR="00463077" w:rsidRPr="001E07CA">
        <w:rPr>
          <w:lang w:val="sv-SE"/>
        </w:rPr>
        <w:t xml:space="preserve">gasanordningarnas och tillbehörens </w:t>
      </w:r>
      <w:r w:rsidRPr="001E07CA">
        <w:rPr>
          <w:lang w:val="sv-SE"/>
        </w:rPr>
        <w:t>överensstämmelse med kraven, om EU-försäkran om överensstämmelse samt om CE-märkning och om anbringande av den</w:t>
      </w:r>
      <w:r w:rsidR="003C3385" w:rsidRPr="001E07CA">
        <w:rPr>
          <w:lang w:val="sv-SE"/>
        </w:rPr>
        <w:t>,</w:t>
      </w:r>
      <w:r w:rsidRPr="001E07CA">
        <w:rPr>
          <w:lang w:val="sv-SE"/>
        </w:rPr>
        <w:t xml:space="preserve"> huvudsakligen genom hänvisningar till bilagorna till förordningen.</w:t>
      </w:r>
      <w:r w:rsidR="00B95C3F" w:rsidRPr="001E07CA">
        <w:rPr>
          <w:lang w:val="sv-SE"/>
        </w:rPr>
        <w:t xml:space="preserve"> </w:t>
      </w:r>
      <w:r w:rsidR="00463077" w:rsidRPr="001E07CA">
        <w:rPr>
          <w:lang w:val="sv-SE"/>
        </w:rPr>
        <w:t>I kapitlet framförs en presumtion om gasanordningarnas och tillbehörens överensstämmelse med kraven: gasanordningarna anses överensstämma med de grundläggande säkerhetskrav som anges i förordningen om de överensstämmer med sådana harmoniserade standarder eller delar av dem vars referensnummer har publicerats i Europeiska unionens officiella tidning.</w:t>
      </w:r>
      <w:r w:rsidR="00B95C3F" w:rsidRPr="001E07CA">
        <w:rPr>
          <w:lang w:val="sv-SE"/>
        </w:rPr>
        <w:t xml:space="preserve"> </w:t>
      </w:r>
      <w:r w:rsidR="00463077" w:rsidRPr="001E07CA">
        <w:rPr>
          <w:lang w:val="sv-SE"/>
        </w:rPr>
        <w:t>I kapitlet hänvisas till bilagorna till förordningen när det gäller förfarandena för bedömning av överensstämmelse.</w:t>
      </w:r>
    </w:p>
    <w:p w:rsidR="00B95C3F" w:rsidRPr="001E07CA" w:rsidRDefault="00B95C3F" w:rsidP="00B95C3F">
      <w:pPr>
        <w:rPr>
          <w:lang w:val="sv-SE"/>
        </w:rPr>
      </w:pPr>
    </w:p>
    <w:p w:rsidR="00B95C3F" w:rsidRPr="001E07CA" w:rsidRDefault="00463077" w:rsidP="00B95C3F">
      <w:pPr>
        <w:rPr>
          <w:lang w:val="sv-SE"/>
        </w:rPr>
      </w:pPr>
      <w:r w:rsidRPr="001E07CA">
        <w:rPr>
          <w:lang w:val="sv-SE"/>
        </w:rPr>
        <w:t>Kapitel IV i gasanordningsförordningen gäller anmälan av organ för bedömning av överensstämmelse.</w:t>
      </w:r>
      <w:r w:rsidR="00B95C3F" w:rsidRPr="001E07CA">
        <w:rPr>
          <w:lang w:val="sv-SE"/>
        </w:rPr>
        <w:t xml:space="preserve"> </w:t>
      </w:r>
      <w:r w:rsidR="00392240" w:rsidRPr="001E07CA">
        <w:rPr>
          <w:lang w:val="sv-SE"/>
        </w:rPr>
        <w:t xml:space="preserve">Kapitlet i fråga har börjat tillämpas </w:t>
      </w:r>
      <w:r w:rsidR="003C3385" w:rsidRPr="001E07CA">
        <w:rPr>
          <w:lang w:val="sv-SE"/>
        </w:rPr>
        <w:t xml:space="preserve">från </w:t>
      </w:r>
      <w:r w:rsidR="00392240" w:rsidRPr="001E07CA">
        <w:rPr>
          <w:lang w:val="sv-SE"/>
        </w:rPr>
        <w:t>den 21 oktober 2016.</w:t>
      </w:r>
    </w:p>
    <w:p w:rsidR="00B95C3F" w:rsidRPr="001E07CA" w:rsidRDefault="00B95C3F" w:rsidP="00B95C3F">
      <w:pPr>
        <w:rPr>
          <w:lang w:val="sv-SE"/>
        </w:rPr>
      </w:pPr>
    </w:p>
    <w:p w:rsidR="00B95C3F" w:rsidRPr="001E07CA" w:rsidRDefault="00BB793D" w:rsidP="00B95C3F">
      <w:pPr>
        <w:rPr>
          <w:lang w:val="sv-SE"/>
        </w:rPr>
      </w:pPr>
      <w:r w:rsidRPr="001E07CA">
        <w:rPr>
          <w:lang w:val="sv-SE"/>
        </w:rPr>
        <w:t xml:space="preserve">I kapitel V i gasanordningsförordningen finns mer exakta bestämmelser om marknadskontroll än </w:t>
      </w:r>
      <w:r w:rsidR="00F25B65" w:rsidRPr="001E07CA">
        <w:rPr>
          <w:lang w:val="sv-SE"/>
        </w:rPr>
        <w:t xml:space="preserve">i </w:t>
      </w:r>
      <w:r w:rsidRPr="001E07CA">
        <w:rPr>
          <w:lang w:val="sv-SE"/>
        </w:rPr>
        <w:t>de</w:t>
      </w:r>
      <w:r w:rsidR="00F25B65" w:rsidRPr="001E07CA">
        <w:rPr>
          <w:lang w:val="sv-SE"/>
        </w:rPr>
        <w:t>t nuvarande gasanordningsdirektivet</w:t>
      </w:r>
      <w:r w:rsidRPr="001E07CA">
        <w:rPr>
          <w:lang w:val="sv-SE"/>
        </w:rPr>
        <w:t>. Till denna del görs också en hänvisning till NLF-förordningen.</w:t>
      </w:r>
      <w:r w:rsidR="00B95C3F" w:rsidRPr="001E07CA">
        <w:rPr>
          <w:lang w:val="sv-SE"/>
        </w:rPr>
        <w:t xml:space="preserve"> </w:t>
      </w:r>
      <w:r w:rsidR="00591906" w:rsidRPr="001E07CA">
        <w:rPr>
          <w:lang w:val="sv-SE"/>
        </w:rPr>
        <w:t xml:space="preserve">I gasanordningsförordningen finns bestämmelser om medlemsstaternas och marknadskontrollmyndighetens skyldigheter, marknadskontrollåtgärder, skyldighet att göra anmälan bl.a. till kommissionen och övriga medlemsstater, om informationsutbyte samt om </w:t>
      </w:r>
      <w:r w:rsidR="000E706D" w:rsidRPr="001E07CA">
        <w:rPr>
          <w:lang w:val="sv-SE"/>
        </w:rPr>
        <w:t xml:space="preserve">unionens </w:t>
      </w:r>
      <w:r w:rsidR="00591906" w:rsidRPr="001E07CA">
        <w:rPr>
          <w:lang w:val="sv-SE"/>
        </w:rPr>
        <w:t>förfarande i fråga om skyddsåtgärder.</w:t>
      </w:r>
      <w:r w:rsidR="00B95C3F" w:rsidRPr="001E07CA">
        <w:rPr>
          <w:lang w:val="sv-SE"/>
        </w:rPr>
        <w:t xml:space="preserve"> </w:t>
      </w:r>
      <w:r w:rsidR="00B261B7" w:rsidRPr="001E07CA">
        <w:rPr>
          <w:lang w:val="sv-SE"/>
        </w:rPr>
        <w:t xml:space="preserve">I kapitlet ingår dessutom bestämmelser om gasanordningar som </w:t>
      </w:r>
      <w:r w:rsidR="003C3385" w:rsidRPr="001E07CA">
        <w:rPr>
          <w:lang w:val="sv-SE"/>
        </w:rPr>
        <w:t xml:space="preserve">visserligen </w:t>
      </w:r>
      <w:r w:rsidR="00B261B7" w:rsidRPr="001E07CA">
        <w:rPr>
          <w:lang w:val="sv-SE"/>
        </w:rPr>
        <w:t>överensstämmer med kraven, men som trots överensstämmelse utgör en risk, och om eventuella korrigerande åtgärder i samband med det.</w:t>
      </w:r>
      <w:r w:rsidR="00B95C3F" w:rsidRPr="001E07CA">
        <w:rPr>
          <w:lang w:val="sv-SE"/>
        </w:rPr>
        <w:t xml:space="preserve"> </w:t>
      </w:r>
      <w:r w:rsidR="00B261B7" w:rsidRPr="001E07CA">
        <w:rPr>
          <w:lang w:val="sv-SE"/>
        </w:rPr>
        <w:t>Bestämmelsen om s.k. formell bristande överensstämmelse med kraven gäller exempelvis CE-märkning</w:t>
      </w:r>
      <w:r w:rsidR="0029633D" w:rsidRPr="001E07CA">
        <w:rPr>
          <w:lang w:val="sv-SE"/>
        </w:rPr>
        <w:t xml:space="preserve"> som inte anbringats</w:t>
      </w:r>
      <w:r w:rsidR="00B261B7" w:rsidRPr="001E07CA">
        <w:rPr>
          <w:lang w:val="sv-SE"/>
        </w:rPr>
        <w:t>, CE-märkning som anbringats på felaktiga grunder, identifikationsnumret för anmält organ, EU-försäkran om överensstämmelse, den tekniska dokumentationen samt kontaktuppgifterna.</w:t>
      </w:r>
      <w:r w:rsidR="00B95C3F" w:rsidRPr="001E07CA">
        <w:rPr>
          <w:lang w:val="sv-SE"/>
        </w:rPr>
        <w:t xml:space="preserve"> </w:t>
      </w:r>
      <w:r w:rsidR="0029633D" w:rsidRPr="001E07CA">
        <w:rPr>
          <w:lang w:val="sv-SE"/>
        </w:rPr>
        <w:t>En gasanordning överensstämmer inte med kraven, om märkningarna i fråga eller andra uppgifter saknas eller om befintliga märkningar är felaktiga.</w:t>
      </w:r>
      <w:r w:rsidR="00B95C3F" w:rsidRPr="001E07CA">
        <w:rPr>
          <w:lang w:val="sv-SE"/>
        </w:rPr>
        <w:t xml:space="preserve"> </w:t>
      </w:r>
    </w:p>
    <w:p w:rsidR="00B95C3F" w:rsidRPr="001E07CA" w:rsidRDefault="00B95C3F" w:rsidP="00B95C3F">
      <w:pPr>
        <w:rPr>
          <w:lang w:val="sv-SE"/>
        </w:rPr>
      </w:pPr>
    </w:p>
    <w:p w:rsidR="005C3CC9" w:rsidRPr="001E07CA" w:rsidRDefault="0029633D" w:rsidP="00B95C3F">
      <w:pPr>
        <w:rPr>
          <w:lang w:val="sv-SE"/>
        </w:rPr>
      </w:pPr>
      <w:r w:rsidRPr="001E07CA">
        <w:rPr>
          <w:lang w:val="sv-SE"/>
        </w:rPr>
        <w:t xml:space="preserve">Kapitel VI i </w:t>
      </w:r>
      <w:r w:rsidR="00C44B23" w:rsidRPr="001E07CA">
        <w:rPr>
          <w:lang w:val="sv-SE"/>
        </w:rPr>
        <w:t>gasanordningsförordningen innehåller bestämmelser om</w:t>
      </w:r>
      <w:r w:rsidRPr="001E07CA">
        <w:rPr>
          <w:lang w:val="sv-SE"/>
        </w:rPr>
        <w:t xml:space="preserve"> delegerade akter och kommittéförfarande.</w:t>
      </w:r>
      <w:r w:rsidR="00B95C3F" w:rsidRPr="001E07CA">
        <w:rPr>
          <w:lang w:val="sv-SE"/>
        </w:rPr>
        <w:t xml:space="preserve"> </w:t>
      </w:r>
      <w:r w:rsidR="00FB6947" w:rsidRPr="001E07CA">
        <w:rPr>
          <w:lang w:val="sv-SE"/>
        </w:rPr>
        <w:t>Kommissionen har behörighet</w:t>
      </w:r>
      <w:r w:rsidRPr="001E07CA">
        <w:rPr>
          <w:lang w:val="sv-SE"/>
        </w:rPr>
        <w:t xml:space="preserve"> att anta delegerade akter om innehållet i </w:t>
      </w:r>
      <w:r w:rsidR="002271A4" w:rsidRPr="001E07CA">
        <w:rPr>
          <w:lang w:val="sv-SE"/>
        </w:rPr>
        <w:t>meddelandena</w:t>
      </w:r>
      <w:r w:rsidR="00363CC1" w:rsidRPr="001E07CA">
        <w:rPr>
          <w:lang w:val="sv-SE"/>
        </w:rPr>
        <w:t xml:space="preserve"> om leveransvillkoren</w:t>
      </w:r>
      <w:r w:rsidRPr="001E07CA">
        <w:rPr>
          <w:lang w:val="sv-SE"/>
        </w:rPr>
        <w:t xml:space="preserve"> för gas.</w:t>
      </w:r>
      <w:r w:rsidR="00B95C3F" w:rsidRPr="001E07CA">
        <w:rPr>
          <w:lang w:val="sv-SE"/>
        </w:rPr>
        <w:t xml:space="preserve"> </w:t>
      </w:r>
    </w:p>
    <w:p w:rsidR="00BA45CE" w:rsidRPr="001E07CA" w:rsidRDefault="00BA45CE" w:rsidP="00B95C3F">
      <w:pPr>
        <w:rPr>
          <w:lang w:val="sv-SE"/>
        </w:rPr>
      </w:pPr>
    </w:p>
    <w:p w:rsidR="00B95C3F" w:rsidRPr="001E07CA" w:rsidRDefault="0099048E" w:rsidP="00B95C3F">
      <w:pPr>
        <w:rPr>
          <w:lang w:val="sv-SE"/>
        </w:rPr>
      </w:pPr>
      <w:r w:rsidRPr="001E07CA">
        <w:rPr>
          <w:lang w:val="sv-SE"/>
        </w:rPr>
        <w:t>Kapitel VII i gasanordningsförordningen innehåller övergångsbestämmelser och slutbestämmelser.</w:t>
      </w:r>
      <w:r w:rsidR="00B95C3F" w:rsidRPr="001E07CA">
        <w:rPr>
          <w:lang w:val="sv-SE"/>
        </w:rPr>
        <w:t xml:space="preserve"> </w:t>
      </w:r>
      <w:r w:rsidRPr="001E07CA">
        <w:rPr>
          <w:lang w:val="sv-SE"/>
        </w:rPr>
        <w:t xml:space="preserve">Medlemsstaterna ska fastställa regler om sanktioner för ekonomiska aktörers överträdelser av bestämmelserna i förordningen. </w:t>
      </w:r>
      <w:r w:rsidR="00B95C3F" w:rsidRPr="001E07CA">
        <w:rPr>
          <w:lang w:val="sv-SE"/>
        </w:rPr>
        <w:t xml:space="preserve"> </w:t>
      </w:r>
      <w:r w:rsidR="00DD3B4B" w:rsidRPr="001E07CA">
        <w:rPr>
          <w:lang w:val="sv-SE"/>
        </w:rPr>
        <w:t>Reglerna kan omfatta straffrättsliga påföljder för allvarliga överträdelser.</w:t>
      </w:r>
      <w:r w:rsidR="00B95C3F" w:rsidRPr="001E07CA">
        <w:rPr>
          <w:lang w:val="sv-SE"/>
        </w:rPr>
        <w:t xml:space="preserve"> </w:t>
      </w:r>
      <w:r w:rsidR="00DD3B4B" w:rsidRPr="001E07CA">
        <w:rPr>
          <w:lang w:val="sv-SE"/>
        </w:rPr>
        <w:t>Påföljderna ska vara effektiva, proportionella och avskräckande.</w:t>
      </w:r>
      <w:r w:rsidR="00B95C3F" w:rsidRPr="001E07CA">
        <w:rPr>
          <w:lang w:val="sv-SE"/>
        </w:rPr>
        <w:t xml:space="preserve"> </w:t>
      </w:r>
      <w:r w:rsidR="00DD3B4B" w:rsidRPr="001E07CA">
        <w:rPr>
          <w:lang w:val="sv-SE"/>
        </w:rPr>
        <w:t xml:space="preserve">Enligt övergångsbestämmelserna i gasanordningsförordningen får medlemsstaterna inte förhindra att anordningar </w:t>
      </w:r>
      <w:r w:rsidR="002271A4" w:rsidRPr="001E07CA">
        <w:rPr>
          <w:lang w:val="sv-SE"/>
        </w:rPr>
        <w:t xml:space="preserve">och tillbehör </w:t>
      </w:r>
      <w:r w:rsidR="00DD3B4B" w:rsidRPr="001E07CA">
        <w:rPr>
          <w:lang w:val="sv-SE"/>
        </w:rPr>
        <w:t xml:space="preserve">som omfattas av och är förenliga med </w:t>
      </w:r>
      <w:r w:rsidR="002271A4" w:rsidRPr="001E07CA">
        <w:rPr>
          <w:lang w:val="sv-SE"/>
        </w:rPr>
        <w:t xml:space="preserve">gasanordningar och tillbehör enligt </w:t>
      </w:r>
      <w:r w:rsidR="00DD3B4B" w:rsidRPr="001E07CA">
        <w:rPr>
          <w:lang w:val="sv-SE"/>
        </w:rPr>
        <w:t>direktiv 2009/142/EG, och som släpp</w:t>
      </w:r>
      <w:r w:rsidR="00C60FF2" w:rsidRPr="001E07CA">
        <w:rPr>
          <w:lang w:val="sv-SE"/>
        </w:rPr>
        <w:t>t</w:t>
      </w:r>
      <w:r w:rsidR="00DD3B4B" w:rsidRPr="001E07CA">
        <w:rPr>
          <w:lang w:val="sv-SE"/>
        </w:rPr>
        <w:t>s ut på marknaden före den 21 april 2018</w:t>
      </w:r>
      <w:r w:rsidR="002271A4" w:rsidRPr="001E07CA">
        <w:rPr>
          <w:lang w:val="sv-SE"/>
        </w:rPr>
        <w:t>,</w:t>
      </w:r>
      <w:r w:rsidR="00C60FF2" w:rsidRPr="001E07CA">
        <w:rPr>
          <w:lang w:val="sv-SE"/>
        </w:rPr>
        <w:t xml:space="preserve"> tillhandahålls på marknaden</w:t>
      </w:r>
      <w:r w:rsidR="00DD3B4B" w:rsidRPr="001E07CA">
        <w:rPr>
          <w:lang w:val="sv-SE"/>
        </w:rPr>
        <w:t>.</w:t>
      </w:r>
      <w:r w:rsidR="00B95C3F" w:rsidRPr="001E07CA">
        <w:rPr>
          <w:lang w:val="sv-SE"/>
        </w:rPr>
        <w:t xml:space="preserve"> </w:t>
      </w:r>
    </w:p>
    <w:p w:rsidR="00B95C3F" w:rsidRPr="001E07CA" w:rsidRDefault="00B95C3F" w:rsidP="00B95C3F">
      <w:pPr>
        <w:rPr>
          <w:lang w:val="sv-SE"/>
        </w:rPr>
      </w:pPr>
    </w:p>
    <w:p w:rsidR="00AC5FA6" w:rsidRPr="001E07CA" w:rsidRDefault="002271A4" w:rsidP="00B95C3F">
      <w:pPr>
        <w:rPr>
          <w:lang w:val="sv-SE"/>
        </w:rPr>
      </w:pPr>
      <w:r w:rsidRPr="001E07CA">
        <w:rPr>
          <w:lang w:val="sv-SE"/>
        </w:rPr>
        <w:t xml:space="preserve">I </w:t>
      </w:r>
      <w:r w:rsidR="003F3C7E" w:rsidRPr="001E07CA">
        <w:rPr>
          <w:lang w:val="sv-SE"/>
        </w:rPr>
        <w:t xml:space="preserve">bilaga I till </w:t>
      </w:r>
      <w:r w:rsidRPr="001E07CA">
        <w:rPr>
          <w:lang w:val="sv-SE"/>
        </w:rPr>
        <w:t>gasanordningsförordningen</w:t>
      </w:r>
      <w:r w:rsidR="003F3C7E" w:rsidRPr="001E07CA">
        <w:rPr>
          <w:lang w:val="sv-SE"/>
        </w:rPr>
        <w:t xml:space="preserve"> </w:t>
      </w:r>
      <w:r w:rsidRPr="001E07CA">
        <w:rPr>
          <w:lang w:val="sv-SE"/>
        </w:rPr>
        <w:t>fastställs de grundläggande krav som en gasanordning ska uppfylla för att den ska kunna anses vara säker.</w:t>
      </w:r>
      <w:r w:rsidR="00AC5FA6" w:rsidRPr="001E07CA">
        <w:rPr>
          <w:lang w:val="sv-SE"/>
        </w:rPr>
        <w:t xml:space="preserve"> </w:t>
      </w:r>
      <w:r w:rsidRPr="001E07CA">
        <w:rPr>
          <w:lang w:val="sv-SE"/>
        </w:rPr>
        <w:t>De grundläggande kraven är obligatoriska och de inbegriper allmänna krav, material samt konstruktion och utförande.</w:t>
      </w:r>
    </w:p>
    <w:p w:rsidR="00AC5FA6" w:rsidRPr="001E07CA" w:rsidRDefault="00AC5FA6" w:rsidP="00B95C3F">
      <w:pPr>
        <w:rPr>
          <w:lang w:val="sv-SE"/>
        </w:rPr>
      </w:pPr>
    </w:p>
    <w:p w:rsidR="00AC5FA6" w:rsidRPr="001E07CA" w:rsidRDefault="002271A4" w:rsidP="00B95C3F">
      <w:pPr>
        <w:rPr>
          <w:lang w:val="sv-SE"/>
        </w:rPr>
      </w:pPr>
      <w:r w:rsidRPr="001E07CA">
        <w:rPr>
          <w:lang w:val="sv-SE"/>
        </w:rPr>
        <w:t>I bilaga II till gasanordningsförordningen föreskrivs om innehåll</w:t>
      </w:r>
      <w:r w:rsidR="005E6206" w:rsidRPr="001E07CA">
        <w:rPr>
          <w:lang w:val="sv-SE"/>
        </w:rPr>
        <w:t>et</w:t>
      </w:r>
      <w:r w:rsidRPr="001E07CA">
        <w:rPr>
          <w:lang w:val="sv-SE"/>
        </w:rPr>
        <w:t xml:space="preserve"> i medlemsstaternas meddelanden om leveransvillkoren för gas.</w:t>
      </w:r>
      <w:r w:rsidR="00594D9C" w:rsidRPr="001E07CA">
        <w:rPr>
          <w:lang w:val="sv-SE"/>
        </w:rPr>
        <w:t xml:space="preserve"> </w:t>
      </w:r>
      <w:r w:rsidR="002C496F" w:rsidRPr="001E07CA">
        <w:rPr>
          <w:lang w:val="sv-SE"/>
        </w:rPr>
        <w:t>Meddelandet ska lämnas</w:t>
      </w:r>
      <w:r w:rsidR="009B4C00" w:rsidRPr="001E07CA">
        <w:rPr>
          <w:lang w:val="sv-SE"/>
        </w:rPr>
        <w:t xml:space="preserve"> av medlemsstaten.</w:t>
      </w:r>
    </w:p>
    <w:p w:rsidR="00AC5FA6" w:rsidRPr="001E07CA" w:rsidRDefault="00AC5FA6" w:rsidP="00B95C3F">
      <w:pPr>
        <w:rPr>
          <w:lang w:val="sv-SE"/>
        </w:rPr>
      </w:pPr>
    </w:p>
    <w:p w:rsidR="003B2113" w:rsidRPr="001E07CA" w:rsidRDefault="008009C9" w:rsidP="00B95C3F">
      <w:pPr>
        <w:rPr>
          <w:lang w:val="sv-SE"/>
        </w:rPr>
      </w:pPr>
      <w:r w:rsidRPr="001E07CA">
        <w:rPr>
          <w:lang w:val="sv-SE"/>
        </w:rPr>
        <w:lastRenderedPageBreak/>
        <w:t xml:space="preserve">I bilaga III till gasanordningsförordningen </w:t>
      </w:r>
      <w:r w:rsidR="006570D1" w:rsidRPr="001E07CA">
        <w:rPr>
          <w:lang w:val="sv-SE"/>
        </w:rPr>
        <w:t>föreskrivs om förf</w:t>
      </w:r>
      <w:r w:rsidR="00624405" w:rsidRPr="001E07CA">
        <w:rPr>
          <w:lang w:val="sv-SE"/>
        </w:rPr>
        <w:t>aranden, och</w:t>
      </w:r>
      <w:r w:rsidR="00B93D7B" w:rsidRPr="001E07CA">
        <w:rPr>
          <w:lang w:val="sv-SE"/>
        </w:rPr>
        <w:t xml:space="preserve"> olika</w:t>
      </w:r>
      <w:r w:rsidR="00624405" w:rsidRPr="001E07CA">
        <w:rPr>
          <w:lang w:val="sv-SE"/>
        </w:rPr>
        <w:t xml:space="preserve"> delar av förfaranden, </w:t>
      </w:r>
      <w:r w:rsidR="006570D1" w:rsidRPr="001E07CA">
        <w:rPr>
          <w:lang w:val="sv-SE"/>
        </w:rPr>
        <w:t>för bedömning av överensstämmelse för gasanordningar och tillbehör.</w:t>
      </w:r>
      <w:r w:rsidR="00B95C3F" w:rsidRPr="001E07CA">
        <w:rPr>
          <w:lang w:val="sv-SE"/>
        </w:rPr>
        <w:t xml:space="preserve"> </w:t>
      </w:r>
      <w:r w:rsidR="0075177B" w:rsidRPr="001E07CA">
        <w:rPr>
          <w:lang w:val="sv-SE"/>
        </w:rPr>
        <w:t>Sådana</w:t>
      </w:r>
      <w:r w:rsidR="009F15C7" w:rsidRPr="001E07CA">
        <w:rPr>
          <w:lang w:val="sv-SE"/>
        </w:rPr>
        <w:t xml:space="preserve"> är EU-typkontroll – produktionstyp (modul B), överensstämmelse med typ som grundar sig på intern tillverkningskontroll och övervakade produktkontroller med slumpvisa intervall (modul C2)</w:t>
      </w:r>
      <w:r w:rsidR="00F94318" w:rsidRPr="001E07CA">
        <w:rPr>
          <w:lang w:val="sv-SE"/>
        </w:rPr>
        <w:t xml:space="preserve">, </w:t>
      </w:r>
      <w:r w:rsidR="00462F05" w:rsidRPr="001E07CA">
        <w:rPr>
          <w:lang w:val="sv-SE"/>
        </w:rPr>
        <w:t xml:space="preserve">överensstämmelse med typ som grundar sig på kvalitetssäkring av produktionen (modul D), överensstämmelse med typ som grundar sig på produktkvalitetssäkring (modul E), överensstämmelse med typ som grundar sig på produktverifiering (modul F), </w:t>
      </w:r>
      <w:r w:rsidR="00624405" w:rsidRPr="001E07CA">
        <w:rPr>
          <w:lang w:val="sv-SE"/>
        </w:rPr>
        <w:t>överensstämmelse som grundar sig på kontroll av enskilda produkter (modul G).</w:t>
      </w:r>
      <w:r w:rsidR="00462F05" w:rsidRPr="001E07CA">
        <w:rPr>
          <w:lang w:val="sv-SE"/>
        </w:rPr>
        <w:t xml:space="preserve"> </w:t>
      </w:r>
      <w:r w:rsidR="00B95C3F" w:rsidRPr="001E07CA">
        <w:rPr>
          <w:lang w:val="sv-SE"/>
        </w:rPr>
        <w:t xml:space="preserve"> </w:t>
      </w:r>
      <w:r w:rsidR="0075177B" w:rsidRPr="001E07CA">
        <w:rPr>
          <w:lang w:val="sv-SE"/>
        </w:rPr>
        <w:t>I princip får tillverkaren av ovan nämnda moduler välja det förfarande som denne önskar tillämpa i kombination med EU-typkontrollen.</w:t>
      </w:r>
      <w:r w:rsidR="003B2113" w:rsidRPr="001E07CA">
        <w:rPr>
          <w:lang w:val="sv-SE"/>
        </w:rPr>
        <w:t xml:space="preserve"> </w:t>
      </w:r>
      <w:r w:rsidR="00F634BD" w:rsidRPr="001E07CA">
        <w:rPr>
          <w:lang w:val="sv-SE"/>
        </w:rPr>
        <w:t xml:space="preserve">När det gäller en </w:t>
      </w:r>
      <w:r w:rsidR="001E3A8F" w:rsidRPr="001E07CA">
        <w:rPr>
          <w:lang w:val="sv-SE"/>
        </w:rPr>
        <w:t>gas</w:t>
      </w:r>
      <w:r w:rsidR="00F634BD" w:rsidRPr="001E07CA">
        <w:rPr>
          <w:lang w:val="sv-SE"/>
        </w:rPr>
        <w:t xml:space="preserve">anordning som tillverkas som en enda produkt </w:t>
      </w:r>
      <w:r w:rsidR="00C842BA" w:rsidRPr="001E07CA">
        <w:rPr>
          <w:lang w:val="sv-SE"/>
        </w:rPr>
        <w:t>kan modul G tillämpas. EU-typ</w:t>
      </w:r>
      <w:r w:rsidR="00F634BD" w:rsidRPr="001E07CA">
        <w:rPr>
          <w:lang w:val="sv-SE"/>
        </w:rPr>
        <w:t>intyget är i kraft i högst tio år åt gången.</w:t>
      </w:r>
    </w:p>
    <w:p w:rsidR="003B2113" w:rsidRPr="001E07CA" w:rsidRDefault="003B2113" w:rsidP="00B95C3F">
      <w:pPr>
        <w:rPr>
          <w:lang w:val="sv-SE"/>
        </w:rPr>
      </w:pPr>
    </w:p>
    <w:p w:rsidR="003B2113" w:rsidRPr="001E07CA" w:rsidRDefault="00F634BD" w:rsidP="009525CD">
      <w:pPr>
        <w:tabs>
          <w:tab w:val="left" w:pos="7088"/>
        </w:tabs>
        <w:rPr>
          <w:lang w:val="sv-SE"/>
        </w:rPr>
      </w:pPr>
      <w:r w:rsidRPr="001E07CA">
        <w:rPr>
          <w:lang w:val="sv-SE"/>
        </w:rPr>
        <w:t>I bilaga IV till gasanordningsförordningen finns bestämmelser om påskrifter på gasanordningar.</w:t>
      </w:r>
      <w:r w:rsidR="003E77BB" w:rsidRPr="001E07CA">
        <w:rPr>
          <w:lang w:val="sv-SE"/>
        </w:rPr>
        <w:t xml:space="preserve"> </w:t>
      </w:r>
      <w:r w:rsidR="00021540" w:rsidRPr="001E07CA">
        <w:rPr>
          <w:lang w:val="sv-SE"/>
        </w:rPr>
        <w:t>Anordningen</w:t>
      </w:r>
      <w:r w:rsidR="00CB7959" w:rsidRPr="001E07CA">
        <w:rPr>
          <w:lang w:val="sv-SE"/>
        </w:rPr>
        <w:t xml:space="preserve">s </w:t>
      </w:r>
      <w:r w:rsidR="00021540" w:rsidRPr="001E07CA">
        <w:rPr>
          <w:lang w:val="sv-SE"/>
        </w:rPr>
        <w:t xml:space="preserve">märkskylt </w:t>
      </w:r>
      <w:r w:rsidR="00CB7959" w:rsidRPr="001E07CA">
        <w:rPr>
          <w:lang w:val="sv-SE"/>
        </w:rPr>
        <w:t xml:space="preserve">ska </w:t>
      </w:r>
      <w:r w:rsidR="00021540" w:rsidRPr="001E07CA">
        <w:rPr>
          <w:lang w:val="sv-SE"/>
        </w:rPr>
        <w:t>vara försedd med tillverkarens namn, registrerade firmanamn eller registrerade varumärke för identifiering av tillverkaren.</w:t>
      </w:r>
      <w:r w:rsidR="003E77BB" w:rsidRPr="001E07CA">
        <w:rPr>
          <w:lang w:val="sv-SE"/>
        </w:rPr>
        <w:t xml:space="preserve"> </w:t>
      </w:r>
      <w:r w:rsidR="00021540" w:rsidRPr="001E07CA">
        <w:rPr>
          <w:lang w:val="sv-SE"/>
        </w:rPr>
        <w:t>För att anordningen ska kunna identifieras ska anordningens typ-, parti- eller serienummer eller annan identifikationsmärkning finnas på den.</w:t>
      </w:r>
      <w:r w:rsidR="003E77BB" w:rsidRPr="001E07CA">
        <w:rPr>
          <w:lang w:val="sv-SE"/>
        </w:rPr>
        <w:t xml:space="preserve"> </w:t>
      </w:r>
      <w:r w:rsidR="00021540" w:rsidRPr="001E07CA">
        <w:rPr>
          <w:lang w:val="sv-SE"/>
        </w:rPr>
        <w:t>En gasan</w:t>
      </w:r>
      <w:r w:rsidR="00D054F9" w:rsidRPr="001E07CA">
        <w:rPr>
          <w:lang w:val="sv-SE"/>
        </w:rPr>
        <w:t>ordning kan även ha elektroniska</w:t>
      </w:r>
      <w:r w:rsidR="00021540" w:rsidRPr="001E07CA">
        <w:rPr>
          <w:lang w:val="sv-SE"/>
        </w:rPr>
        <w:t xml:space="preserve"> funktioner </w:t>
      </w:r>
      <w:r w:rsidR="00D054F9" w:rsidRPr="001E07CA">
        <w:rPr>
          <w:lang w:val="sv-SE"/>
        </w:rPr>
        <w:t>och då ska</w:t>
      </w:r>
      <w:r w:rsidR="00021540" w:rsidRPr="001E07CA">
        <w:rPr>
          <w:lang w:val="sv-SE"/>
        </w:rPr>
        <w:t xml:space="preserve"> </w:t>
      </w:r>
      <w:r w:rsidR="00D054F9" w:rsidRPr="001E07CA">
        <w:rPr>
          <w:lang w:val="sv-SE"/>
        </w:rPr>
        <w:t xml:space="preserve">uppgift om typen av elförsörjning finnas på </w:t>
      </w:r>
      <w:r w:rsidR="00021540" w:rsidRPr="001E07CA">
        <w:rPr>
          <w:lang w:val="sv-SE"/>
        </w:rPr>
        <w:t>märkskyl</w:t>
      </w:r>
      <w:r w:rsidR="00D054F9" w:rsidRPr="001E07CA">
        <w:rPr>
          <w:lang w:val="sv-SE"/>
        </w:rPr>
        <w:t>ten.</w:t>
      </w:r>
      <w:r w:rsidR="003E77BB" w:rsidRPr="001E07CA">
        <w:rPr>
          <w:lang w:val="sv-SE"/>
        </w:rPr>
        <w:t xml:space="preserve"> </w:t>
      </w:r>
      <w:r w:rsidR="00D054F9" w:rsidRPr="001E07CA">
        <w:rPr>
          <w:lang w:val="sv-SE"/>
        </w:rPr>
        <w:t>Egenskaperna hos gasen och anordningarnas anslutningstryck varierar från medlemsstat till medlemsstat.</w:t>
      </w:r>
      <w:r w:rsidR="003E77BB" w:rsidRPr="001E07CA">
        <w:rPr>
          <w:lang w:val="sv-SE"/>
        </w:rPr>
        <w:t xml:space="preserve"> </w:t>
      </w:r>
      <w:r w:rsidR="00D054F9" w:rsidRPr="001E07CA">
        <w:rPr>
          <w:lang w:val="sv-SE"/>
        </w:rPr>
        <w:t xml:space="preserve">För att anordningens kompatibilitet i </w:t>
      </w:r>
      <w:r w:rsidR="005E6206" w:rsidRPr="001E07CA">
        <w:rPr>
          <w:lang w:val="sv-SE"/>
        </w:rPr>
        <w:t>en viss medlemsstat</w:t>
      </w:r>
      <w:r w:rsidR="00D054F9" w:rsidRPr="001E07CA">
        <w:rPr>
          <w:lang w:val="sv-SE"/>
        </w:rPr>
        <w:t xml:space="preserve"> ska kunna säkerställas, ska på märkskylten finnas uppgift om anordningskategori och nominellt anslutningstryck.</w:t>
      </w:r>
      <w:r w:rsidR="003E77BB" w:rsidRPr="001E07CA">
        <w:rPr>
          <w:lang w:val="sv-SE"/>
        </w:rPr>
        <w:t xml:space="preserve"> </w:t>
      </w:r>
      <w:r w:rsidR="00F848E5" w:rsidRPr="001E07CA">
        <w:rPr>
          <w:lang w:val="sv-SE"/>
        </w:rPr>
        <w:t>På s</w:t>
      </w:r>
      <w:r w:rsidR="001F7EBA" w:rsidRPr="001E07CA">
        <w:rPr>
          <w:lang w:val="sv-SE"/>
        </w:rPr>
        <w:t>kylten ska dessutom, beroende på anordningens art, finnas behövliga uppgifter som möjliggör korrekt och trygg installation av anordningen.</w:t>
      </w:r>
      <w:r w:rsidR="003E77BB" w:rsidRPr="001E07CA">
        <w:rPr>
          <w:lang w:val="sv-SE"/>
        </w:rPr>
        <w:t xml:space="preserve"> </w:t>
      </w:r>
      <w:r w:rsidR="001F7EBA" w:rsidRPr="001E07CA">
        <w:rPr>
          <w:lang w:val="sv-SE"/>
        </w:rPr>
        <w:t xml:space="preserve">På </w:t>
      </w:r>
      <w:r w:rsidR="0015554D" w:rsidRPr="001E07CA">
        <w:rPr>
          <w:lang w:val="sv-SE"/>
        </w:rPr>
        <w:t xml:space="preserve">gasanordningens </w:t>
      </w:r>
      <w:r w:rsidR="001F7EBA" w:rsidRPr="001E07CA">
        <w:rPr>
          <w:lang w:val="sv-SE"/>
        </w:rPr>
        <w:t>tillbehör eller deras märkskyltar ska finnas ovan nämnda uppgifter i tillämpliga delar.</w:t>
      </w:r>
    </w:p>
    <w:p w:rsidR="003B2113" w:rsidRPr="001E07CA" w:rsidRDefault="003B2113" w:rsidP="00B95C3F">
      <w:pPr>
        <w:rPr>
          <w:lang w:val="sv-SE"/>
        </w:rPr>
      </w:pPr>
    </w:p>
    <w:p w:rsidR="00B95C3F" w:rsidRPr="001E07CA" w:rsidRDefault="001F7EBA" w:rsidP="00B95C3F">
      <w:pPr>
        <w:rPr>
          <w:lang w:val="sv-SE"/>
        </w:rPr>
      </w:pPr>
      <w:r w:rsidRPr="001E07CA">
        <w:rPr>
          <w:lang w:val="sv-SE"/>
        </w:rPr>
        <w:t>I bilaga V till gasanordningsförordningen finns bestämmelser om EU-försäkran om överensstämmelse.</w:t>
      </w:r>
    </w:p>
    <w:p w:rsidR="00594D9C" w:rsidRPr="001E07CA" w:rsidRDefault="00594D9C" w:rsidP="00B95C3F">
      <w:pPr>
        <w:rPr>
          <w:lang w:val="sv-SE"/>
        </w:rPr>
      </w:pPr>
    </w:p>
    <w:p w:rsidR="00594D9C" w:rsidRPr="001E07CA" w:rsidRDefault="001F7EBA" w:rsidP="00B95C3F">
      <w:pPr>
        <w:rPr>
          <w:lang w:val="sv-SE"/>
        </w:rPr>
      </w:pPr>
      <w:r w:rsidRPr="001E07CA">
        <w:rPr>
          <w:lang w:val="sv-SE"/>
        </w:rPr>
        <w:t>I den jämförelsetabell som ingår i bilaga VI till gasanordningsförordningen fastställs på vilket sätt hänvisningarna till det upphävda gasarnordningsdirektivet (2009/142/EG) anses utgöra hänvisningar till gasanordningsförordningen.</w:t>
      </w:r>
    </w:p>
    <w:p w:rsidR="00330E2D" w:rsidRPr="001E07CA" w:rsidRDefault="00330E2D" w:rsidP="00B95C3F">
      <w:pPr>
        <w:rPr>
          <w:lang w:val="sv-SE"/>
        </w:rPr>
      </w:pPr>
    </w:p>
    <w:p w:rsidR="00B95C3F" w:rsidRPr="001E07CA" w:rsidRDefault="001F7EBA" w:rsidP="00B95C3F">
      <w:pPr>
        <w:rPr>
          <w:b/>
          <w:lang w:val="sv-SE"/>
        </w:rPr>
      </w:pPr>
      <w:r w:rsidRPr="001E07CA">
        <w:rPr>
          <w:b/>
          <w:lang w:val="sv-SE"/>
        </w:rPr>
        <w:t>1.3 Bedömning av nuläget</w:t>
      </w:r>
    </w:p>
    <w:p w:rsidR="00B95C3F" w:rsidRPr="001E07CA" w:rsidRDefault="00B95C3F" w:rsidP="00B95C3F">
      <w:pPr>
        <w:rPr>
          <w:b/>
          <w:lang w:val="sv-SE"/>
        </w:rPr>
      </w:pPr>
    </w:p>
    <w:p w:rsidR="00B95C3F" w:rsidRPr="001E07CA" w:rsidRDefault="007B2A2A" w:rsidP="00B95C3F">
      <w:pPr>
        <w:rPr>
          <w:lang w:val="sv-SE"/>
        </w:rPr>
      </w:pPr>
      <w:r w:rsidRPr="001E07CA">
        <w:rPr>
          <w:lang w:val="sv-SE"/>
        </w:rPr>
        <w:t>För</w:t>
      </w:r>
      <w:r w:rsidR="006864B3" w:rsidRPr="001E07CA">
        <w:rPr>
          <w:lang w:val="sv-SE"/>
        </w:rPr>
        <w:t xml:space="preserve"> marknadskontrollen</w:t>
      </w:r>
      <w:r w:rsidRPr="001E07CA">
        <w:rPr>
          <w:lang w:val="sv-SE"/>
        </w:rPr>
        <w:t>s</w:t>
      </w:r>
      <w:r w:rsidR="006864B3" w:rsidRPr="001E07CA">
        <w:rPr>
          <w:lang w:val="sv-SE"/>
        </w:rPr>
        <w:t xml:space="preserve"> och kemikaliesäkerhetslagen</w:t>
      </w:r>
      <w:r w:rsidRPr="001E07CA">
        <w:rPr>
          <w:lang w:val="sv-SE"/>
        </w:rPr>
        <w:t>s del</w:t>
      </w:r>
      <w:r w:rsidR="006864B3" w:rsidRPr="001E07CA">
        <w:rPr>
          <w:lang w:val="sv-SE"/>
        </w:rPr>
        <w:t>,</w:t>
      </w:r>
      <w:r w:rsidR="00C94738" w:rsidRPr="001E07CA">
        <w:rPr>
          <w:lang w:val="sv-SE"/>
        </w:rPr>
        <w:t xml:space="preserve"> som tillämpas i samband med</w:t>
      </w:r>
      <w:r w:rsidR="006864B3" w:rsidRPr="001E07CA">
        <w:rPr>
          <w:lang w:val="sv-SE"/>
        </w:rPr>
        <w:t xml:space="preserve"> den, har lagstiftningen upplevts vara</w:t>
      </w:r>
      <w:r w:rsidRPr="001E07CA">
        <w:rPr>
          <w:lang w:val="sv-SE"/>
        </w:rPr>
        <w:t xml:space="preserve"> i huvudsak</w:t>
      </w:r>
      <w:r w:rsidR="006864B3" w:rsidRPr="001E07CA">
        <w:rPr>
          <w:lang w:val="sv-SE"/>
        </w:rPr>
        <w:t xml:space="preserve"> klar och välfungerande.</w:t>
      </w:r>
      <w:r w:rsidR="0073181C" w:rsidRPr="001E07CA">
        <w:rPr>
          <w:lang w:val="sv-SE"/>
        </w:rPr>
        <w:t xml:space="preserve"> </w:t>
      </w:r>
      <w:r w:rsidR="006864B3" w:rsidRPr="001E07CA">
        <w:rPr>
          <w:lang w:val="sv-SE"/>
        </w:rPr>
        <w:t>När gasanordningsförordningen träder i kraft kan kemikaliesäkerhetslagen som sådan dock inte längre tillämpas på tillsynen över gasaordningar.</w:t>
      </w:r>
      <w:r w:rsidR="00630E05" w:rsidRPr="001E07CA">
        <w:rPr>
          <w:lang w:val="sv-SE"/>
        </w:rPr>
        <w:t xml:space="preserve"> </w:t>
      </w:r>
      <w:r w:rsidR="006864B3" w:rsidRPr="001E07CA">
        <w:rPr>
          <w:lang w:val="sv-SE"/>
        </w:rPr>
        <w:t>Det skulle vara ändamålsenligt att föreskriva om tillsynen</w:t>
      </w:r>
      <w:r w:rsidRPr="001E07CA">
        <w:rPr>
          <w:lang w:val="sv-SE"/>
        </w:rPr>
        <w:t xml:space="preserve"> så att på tillsynen</w:t>
      </w:r>
      <w:r w:rsidR="006864B3" w:rsidRPr="001E07CA">
        <w:rPr>
          <w:lang w:val="sv-SE"/>
        </w:rPr>
        <w:t xml:space="preserve"> </w:t>
      </w:r>
      <w:r w:rsidR="00845E3C" w:rsidRPr="001E07CA">
        <w:rPr>
          <w:lang w:val="sv-SE"/>
        </w:rPr>
        <w:t xml:space="preserve">över </w:t>
      </w:r>
      <w:r w:rsidR="006864B3" w:rsidRPr="001E07CA">
        <w:rPr>
          <w:lang w:val="sv-SE"/>
        </w:rPr>
        <w:t xml:space="preserve">efterlevnaden av gasanordningsförordningen </w:t>
      </w:r>
      <w:r w:rsidR="009022E9" w:rsidRPr="001E07CA">
        <w:rPr>
          <w:lang w:val="sv-SE"/>
        </w:rPr>
        <w:t xml:space="preserve">också </w:t>
      </w:r>
      <w:r w:rsidR="006864B3" w:rsidRPr="001E07CA">
        <w:rPr>
          <w:lang w:val="sv-SE"/>
        </w:rPr>
        <w:t>tillämpas den horisontella</w:t>
      </w:r>
      <w:r w:rsidR="00A75C38" w:rsidRPr="001E07CA">
        <w:rPr>
          <w:lang w:val="sv-SE"/>
        </w:rPr>
        <w:t xml:space="preserve"> lagen om marknadskontrollen av</w:t>
      </w:r>
      <w:r w:rsidR="006864B3" w:rsidRPr="001E07CA">
        <w:rPr>
          <w:lang w:val="sv-SE"/>
        </w:rPr>
        <w:t xml:space="preserve"> vissa produkter (1137/2016), nedan </w:t>
      </w:r>
      <w:r w:rsidR="006864B3" w:rsidRPr="001E07CA">
        <w:rPr>
          <w:i/>
          <w:lang w:val="sv-SE"/>
        </w:rPr>
        <w:t>marknadskontrollagen</w:t>
      </w:r>
      <w:r w:rsidR="006864B3" w:rsidRPr="001E07CA">
        <w:rPr>
          <w:lang w:val="sv-SE"/>
        </w:rPr>
        <w:t>.</w:t>
      </w:r>
      <w:r w:rsidR="00EB0BB9" w:rsidRPr="001E07CA">
        <w:rPr>
          <w:lang w:val="sv-SE"/>
        </w:rPr>
        <w:t xml:space="preserve"> </w:t>
      </w:r>
      <w:r w:rsidR="00B66CC4" w:rsidRPr="001E07CA">
        <w:rPr>
          <w:lang w:val="sv-SE"/>
        </w:rPr>
        <w:t>I gasanordningslagen ska intas</w:t>
      </w:r>
      <w:r w:rsidRPr="001E07CA">
        <w:rPr>
          <w:lang w:val="sv-SE"/>
        </w:rPr>
        <w:t xml:space="preserve"> endast bestämmelser till de</w:t>
      </w:r>
      <w:r w:rsidR="00B66CC4" w:rsidRPr="001E07CA">
        <w:rPr>
          <w:lang w:val="sv-SE"/>
        </w:rPr>
        <w:t xml:space="preserve"> delar </w:t>
      </w:r>
      <w:r w:rsidRPr="001E07CA">
        <w:rPr>
          <w:lang w:val="sv-SE"/>
        </w:rPr>
        <w:t>bestämmelser</w:t>
      </w:r>
      <w:r w:rsidR="00B66CC4" w:rsidRPr="001E07CA">
        <w:rPr>
          <w:lang w:val="sv-SE"/>
        </w:rPr>
        <w:t xml:space="preserve"> behövs i kompletterande syfte.</w:t>
      </w:r>
    </w:p>
    <w:p w:rsidR="00B95C3F" w:rsidRPr="001E07CA" w:rsidRDefault="00B95C3F" w:rsidP="00B95C3F">
      <w:pPr>
        <w:rPr>
          <w:lang w:val="sv-SE"/>
        </w:rPr>
      </w:pPr>
    </w:p>
    <w:p w:rsidR="00174824" w:rsidRPr="001E07CA" w:rsidRDefault="00B66CC4" w:rsidP="00174824">
      <w:pPr>
        <w:rPr>
          <w:lang w:val="sv-SE"/>
        </w:rPr>
      </w:pPr>
      <w:r w:rsidRPr="001E07CA">
        <w:rPr>
          <w:lang w:val="sv-SE"/>
        </w:rPr>
        <w:t>Bestämmelserna om anmälda organ i 12 och 13 kap. i kemikaliesäkerhetslagen har inte reviderats så att de skulle vara förenliga med NLF-förordningen, och därför lämpar de sig inte för gasanordningslagens behov.</w:t>
      </w:r>
      <w:r w:rsidR="00174824" w:rsidRPr="001E07CA">
        <w:rPr>
          <w:lang w:val="sv-SE"/>
        </w:rPr>
        <w:t xml:space="preserve"> </w:t>
      </w:r>
      <w:r w:rsidRPr="001E07CA">
        <w:rPr>
          <w:lang w:val="sv-SE"/>
        </w:rPr>
        <w:t xml:space="preserve">Bestämmelserna i 13 kap. i kemikaliesäkerhetslagen tillämpas </w:t>
      </w:r>
      <w:r w:rsidR="007B2A2A" w:rsidRPr="001E07CA">
        <w:rPr>
          <w:lang w:val="sv-SE"/>
        </w:rPr>
        <w:t>på produktsäkerhetstillsynen i samband med</w:t>
      </w:r>
      <w:r w:rsidRPr="001E07CA">
        <w:rPr>
          <w:lang w:val="sv-SE"/>
        </w:rPr>
        <w:t xml:space="preserve"> gasanordningar tillsammans med 14 kap., men inte heller dessa uppfyller de krav på marknadskontroll som ställs i gasanordningsförordningen, som har anpassats till NLF-förordningen.</w:t>
      </w:r>
    </w:p>
    <w:p w:rsidR="00174824" w:rsidRPr="001E07CA" w:rsidRDefault="00174824" w:rsidP="00B95C3F">
      <w:pPr>
        <w:rPr>
          <w:lang w:val="sv-SE"/>
        </w:rPr>
      </w:pPr>
    </w:p>
    <w:p w:rsidR="00402445" w:rsidRPr="001E07CA" w:rsidRDefault="00B66CC4" w:rsidP="00B95C3F">
      <w:pPr>
        <w:rPr>
          <w:lang w:val="sv-SE"/>
        </w:rPr>
      </w:pPr>
      <w:r w:rsidRPr="001E07CA">
        <w:rPr>
          <w:lang w:val="sv-SE"/>
        </w:rPr>
        <w:lastRenderedPageBreak/>
        <w:t>När de</w:t>
      </w:r>
      <w:r w:rsidR="001D2873" w:rsidRPr="001E07CA">
        <w:rPr>
          <w:lang w:val="sv-SE"/>
        </w:rPr>
        <w:t>t gäller g</w:t>
      </w:r>
      <w:r w:rsidR="00AC372D" w:rsidRPr="001E07CA">
        <w:rPr>
          <w:lang w:val="sv-SE"/>
        </w:rPr>
        <w:t xml:space="preserve">asanordningar </w:t>
      </w:r>
      <w:r w:rsidR="001D2873" w:rsidRPr="001E07CA">
        <w:rPr>
          <w:lang w:val="sv-SE"/>
        </w:rPr>
        <w:t>bör bestämmelser som behövs för ett effektivt genomförande av gasanordningsförordningen inkluderas i den nationella lagstiftningen.</w:t>
      </w:r>
      <w:r w:rsidR="00630E05" w:rsidRPr="001E07CA">
        <w:rPr>
          <w:lang w:val="sv-SE"/>
        </w:rPr>
        <w:t xml:space="preserve"> </w:t>
      </w:r>
      <w:r w:rsidR="00A7745E" w:rsidRPr="001E07CA">
        <w:rPr>
          <w:lang w:val="sv-SE"/>
        </w:rPr>
        <w:t xml:space="preserve">Den </w:t>
      </w:r>
      <w:r w:rsidR="00AB04A9" w:rsidRPr="001E07CA">
        <w:rPr>
          <w:lang w:val="sv-SE"/>
        </w:rPr>
        <w:t>nya gasanordningsförordningen utgör</w:t>
      </w:r>
      <w:r w:rsidR="00A7745E" w:rsidRPr="001E07CA">
        <w:rPr>
          <w:lang w:val="sv-SE"/>
        </w:rPr>
        <w:t xml:space="preserve"> som</w:t>
      </w:r>
      <w:r w:rsidR="00AB04A9" w:rsidRPr="001E07CA">
        <w:rPr>
          <w:lang w:val="sv-SE"/>
        </w:rPr>
        <w:t xml:space="preserve"> EU-förordning direkt tillämplig rätt</w:t>
      </w:r>
      <w:r w:rsidR="00A7745E" w:rsidRPr="001E07CA">
        <w:rPr>
          <w:lang w:val="sv-SE"/>
        </w:rPr>
        <w:t xml:space="preserve"> och förutsätter </w:t>
      </w:r>
      <w:r w:rsidR="00AB04A9" w:rsidRPr="001E07CA">
        <w:rPr>
          <w:lang w:val="sv-SE"/>
        </w:rPr>
        <w:t xml:space="preserve">huvudsakligen </w:t>
      </w:r>
      <w:r w:rsidR="00A7745E" w:rsidRPr="001E07CA">
        <w:rPr>
          <w:lang w:val="sv-SE"/>
        </w:rPr>
        <w:t>inte skilda nationella genomförandeåtgärder.</w:t>
      </w:r>
      <w:r w:rsidR="00B95C3F" w:rsidRPr="001E07CA">
        <w:rPr>
          <w:lang w:val="sv-SE"/>
        </w:rPr>
        <w:t xml:space="preserve"> </w:t>
      </w:r>
      <w:r w:rsidR="00F46494" w:rsidRPr="001E07CA">
        <w:rPr>
          <w:lang w:val="sv-SE"/>
        </w:rPr>
        <w:t>D</w:t>
      </w:r>
      <w:r w:rsidR="00EC2091" w:rsidRPr="001E07CA">
        <w:rPr>
          <w:lang w:val="sv-SE"/>
        </w:rPr>
        <w:t xml:space="preserve">et </w:t>
      </w:r>
      <w:r w:rsidR="00F46494" w:rsidRPr="001E07CA">
        <w:rPr>
          <w:lang w:val="sv-SE"/>
        </w:rPr>
        <w:t xml:space="preserve">finns </w:t>
      </w:r>
      <w:r w:rsidR="00EC2091" w:rsidRPr="001E07CA">
        <w:rPr>
          <w:lang w:val="sv-SE"/>
        </w:rPr>
        <w:t xml:space="preserve">dock behov av att </w:t>
      </w:r>
      <w:r w:rsidR="00F46494" w:rsidRPr="001E07CA">
        <w:rPr>
          <w:lang w:val="sv-SE"/>
        </w:rPr>
        <w:t xml:space="preserve">i den nationella lagstiftningen </w:t>
      </w:r>
      <w:r w:rsidR="00EC2091" w:rsidRPr="001E07CA">
        <w:rPr>
          <w:lang w:val="sv-SE"/>
        </w:rPr>
        <w:t xml:space="preserve">utfärda bestämmelser om </w:t>
      </w:r>
      <w:r w:rsidR="00F46494" w:rsidRPr="001E07CA">
        <w:rPr>
          <w:lang w:val="sv-SE"/>
        </w:rPr>
        <w:t xml:space="preserve">bl.a. </w:t>
      </w:r>
      <w:r w:rsidR="00EC2091" w:rsidRPr="001E07CA">
        <w:rPr>
          <w:lang w:val="sv-SE"/>
        </w:rPr>
        <w:t>olika</w:t>
      </w:r>
      <w:r w:rsidR="00F46494" w:rsidRPr="001E07CA">
        <w:rPr>
          <w:lang w:val="sv-SE"/>
        </w:rPr>
        <w:t xml:space="preserve"> slags</w:t>
      </w:r>
      <w:r w:rsidR="002A6496" w:rsidRPr="001E07CA">
        <w:rPr>
          <w:lang w:val="sv-SE"/>
        </w:rPr>
        <w:t xml:space="preserve"> krav på språket för</w:t>
      </w:r>
      <w:r w:rsidR="00EC2091" w:rsidRPr="001E07CA">
        <w:rPr>
          <w:lang w:val="sv-SE"/>
        </w:rPr>
        <w:t xml:space="preserve"> uppgifter</w:t>
      </w:r>
      <w:r w:rsidR="00F46494" w:rsidRPr="001E07CA">
        <w:rPr>
          <w:lang w:val="sv-SE"/>
        </w:rPr>
        <w:t>na</w:t>
      </w:r>
      <w:r w:rsidR="00EC2091" w:rsidRPr="001E07CA">
        <w:rPr>
          <w:lang w:val="sv-SE"/>
        </w:rPr>
        <w:t xml:space="preserve"> </w:t>
      </w:r>
      <w:r w:rsidR="00F46494" w:rsidRPr="001E07CA">
        <w:rPr>
          <w:lang w:val="sv-SE"/>
        </w:rPr>
        <w:t xml:space="preserve">om </w:t>
      </w:r>
      <w:r w:rsidR="00EC2091" w:rsidRPr="001E07CA">
        <w:rPr>
          <w:lang w:val="sv-SE"/>
        </w:rPr>
        <w:t>och märkni</w:t>
      </w:r>
      <w:r w:rsidR="00F46494" w:rsidRPr="001E07CA">
        <w:rPr>
          <w:lang w:val="sv-SE"/>
        </w:rPr>
        <w:t xml:space="preserve">ngarna på produkterna, om tillsynen över att bestämmelserna iakttas, om behörig </w:t>
      </w:r>
      <w:r w:rsidR="001C2328" w:rsidRPr="001E07CA">
        <w:rPr>
          <w:lang w:val="sv-SE"/>
        </w:rPr>
        <w:t>tillsyns</w:t>
      </w:r>
      <w:r w:rsidR="00F46494" w:rsidRPr="001E07CA">
        <w:rPr>
          <w:lang w:val="sv-SE"/>
        </w:rPr>
        <w:t>myndighet och dess befog</w:t>
      </w:r>
      <w:r w:rsidR="00D970A3" w:rsidRPr="001E07CA">
        <w:rPr>
          <w:lang w:val="sv-SE"/>
        </w:rPr>
        <w:t>enheter samt om påföljder för underlåtenhet</w:t>
      </w:r>
      <w:r w:rsidR="001C2328" w:rsidRPr="001E07CA">
        <w:rPr>
          <w:lang w:val="sv-SE"/>
        </w:rPr>
        <w:t xml:space="preserve"> att iaktta</w:t>
      </w:r>
      <w:r w:rsidR="00F46494" w:rsidRPr="001E07CA">
        <w:rPr>
          <w:lang w:val="sv-SE"/>
        </w:rPr>
        <w:t xml:space="preserve"> lagstiftningen samt om ändringssökande.</w:t>
      </w:r>
      <w:r w:rsidR="00C22C50" w:rsidRPr="001E07CA">
        <w:rPr>
          <w:lang w:val="sv-SE"/>
        </w:rPr>
        <w:t xml:space="preserve"> </w:t>
      </w:r>
      <w:r w:rsidR="00D970A3" w:rsidRPr="001E07CA">
        <w:rPr>
          <w:lang w:val="sv-SE"/>
        </w:rPr>
        <w:t>Vad gäller de</w:t>
      </w:r>
      <w:r w:rsidR="00935656">
        <w:rPr>
          <w:lang w:val="sv-SE"/>
        </w:rPr>
        <w:t>n nationella lagstiftningen är handlings</w:t>
      </w:r>
      <w:r w:rsidR="00D970A3" w:rsidRPr="001E07CA">
        <w:rPr>
          <w:lang w:val="sv-SE"/>
        </w:rPr>
        <w:t>utrymmet litet i fråga om en EU-förordning, och sådana bestämmelser om de tekniska egenskaperna hos gasanordningar som avviker från EU-förordningen kan inte utfärdas på den nationella nivån.</w:t>
      </w:r>
      <w:r w:rsidR="00E8439E" w:rsidRPr="001E07CA">
        <w:rPr>
          <w:lang w:val="sv-SE"/>
        </w:rPr>
        <w:t xml:space="preserve"> </w:t>
      </w:r>
    </w:p>
    <w:p w:rsidR="008D6BE5" w:rsidRPr="001E07CA" w:rsidRDefault="008D6BE5" w:rsidP="00B95C3F">
      <w:pPr>
        <w:rPr>
          <w:lang w:val="sv-SE"/>
        </w:rPr>
      </w:pPr>
    </w:p>
    <w:p w:rsidR="00402445" w:rsidRPr="001E07CA" w:rsidRDefault="00D970A3" w:rsidP="00402445">
      <w:pPr>
        <w:rPr>
          <w:lang w:val="sv-SE"/>
        </w:rPr>
      </w:pPr>
      <w:r w:rsidRPr="001E07CA">
        <w:rPr>
          <w:lang w:val="sv-SE"/>
        </w:rPr>
        <w:t xml:space="preserve">Gasanordningsförordningens tillämpningsområde omfattar </w:t>
      </w:r>
      <w:r w:rsidR="001C2328" w:rsidRPr="001E07CA">
        <w:rPr>
          <w:lang w:val="sv-SE"/>
        </w:rPr>
        <w:t>inte</w:t>
      </w:r>
      <w:r w:rsidR="00705C38" w:rsidRPr="001E07CA">
        <w:rPr>
          <w:lang w:val="sv-SE"/>
        </w:rPr>
        <w:t xml:space="preserve"> viss</w:t>
      </w:r>
      <w:r w:rsidR="00F923B6" w:rsidRPr="001E07CA">
        <w:rPr>
          <w:lang w:val="sv-SE"/>
        </w:rPr>
        <w:t xml:space="preserve"> utrustning</w:t>
      </w:r>
      <w:r w:rsidRPr="001E07CA">
        <w:rPr>
          <w:lang w:val="sv-SE"/>
        </w:rPr>
        <w:t xml:space="preserve"> vars användning är av väsentlig betydelse </w:t>
      </w:r>
      <w:r w:rsidR="00B50726" w:rsidRPr="001E07CA">
        <w:rPr>
          <w:lang w:val="sv-SE"/>
        </w:rPr>
        <w:t>för funktionen av</w:t>
      </w:r>
      <w:r w:rsidRPr="001E07CA">
        <w:rPr>
          <w:lang w:val="sv-SE"/>
        </w:rPr>
        <w:t xml:space="preserve"> en gasanordning.</w:t>
      </w:r>
      <w:r w:rsidR="001E07CA">
        <w:rPr>
          <w:lang w:val="sv-SE"/>
        </w:rPr>
        <w:t xml:space="preserve"> </w:t>
      </w:r>
      <w:r w:rsidR="00F923B6" w:rsidRPr="001E07CA">
        <w:rPr>
          <w:lang w:val="sv-SE"/>
        </w:rPr>
        <w:t>Till sådan utrustning hör</w:t>
      </w:r>
      <w:r w:rsidR="0055329F" w:rsidRPr="001E07CA">
        <w:rPr>
          <w:lang w:val="sv-SE"/>
        </w:rPr>
        <w:t xml:space="preserve"> exempelvis fla</w:t>
      </w:r>
      <w:r w:rsidR="00EF36B8" w:rsidRPr="001E07CA">
        <w:rPr>
          <w:lang w:val="sv-SE"/>
        </w:rPr>
        <w:t>sk</w:t>
      </w:r>
      <w:r w:rsidR="0055329F" w:rsidRPr="001E07CA">
        <w:rPr>
          <w:lang w:val="sv-SE"/>
        </w:rPr>
        <w:t xml:space="preserve">ventil och gasslang med hjälp av vilka en gasanordning </w:t>
      </w:r>
      <w:r w:rsidR="001C2328" w:rsidRPr="001E07CA">
        <w:rPr>
          <w:lang w:val="sv-SE"/>
        </w:rPr>
        <w:t>ansluts</w:t>
      </w:r>
      <w:r w:rsidR="0055329F" w:rsidRPr="001E07CA">
        <w:rPr>
          <w:lang w:val="sv-SE"/>
        </w:rPr>
        <w:t xml:space="preserve"> till en gasflaska.</w:t>
      </w:r>
      <w:r w:rsidR="00402445" w:rsidRPr="001E07CA">
        <w:rPr>
          <w:lang w:val="sv-SE"/>
        </w:rPr>
        <w:t xml:space="preserve"> </w:t>
      </w:r>
      <w:r w:rsidR="0048118F" w:rsidRPr="001E07CA">
        <w:rPr>
          <w:lang w:val="sv-SE"/>
        </w:rPr>
        <w:t>Dylik</w:t>
      </w:r>
      <w:r w:rsidR="00A2478B" w:rsidRPr="001E07CA">
        <w:rPr>
          <w:lang w:val="sv-SE"/>
        </w:rPr>
        <w:t xml:space="preserve"> utrustning</w:t>
      </w:r>
      <w:r w:rsidR="00C53104" w:rsidRPr="001E07CA">
        <w:rPr>
          <w:lang w:val="sv-SE"/>
        </w:rPr>
        <w:t xml:space="preserve"> säljs vanligtvis som lösgods</w:t>
      </w:r>
      <w:r w:rsidR="0055329F" w:rsidRPr="001E07CA">
        <w:rPr>
          <w:lang w:val="sv-SE"/>
        </w:rPr>
        <w:t xml:space="preserve"> vid köp av en ny anordning eller senare som en reservdel.</w:t>
      </w:r>
      <w:r w:rsidR="00402445" w:rsidRPr="001E07CA">
        <w:rPr>
          <w:lang w:val="sv-SE"/>
        </w:rPr>
        <w:t xml:space="preserve"> </w:t>
      </w:r>
      <w:r w:rsidR="00A2478B" w:rsidRPr="001E07CA">
        <w:rPr>
          <w:lang w:val="sv-SE"/>
        </w:rPr>
        <w:t>De</w:t>
      </w:r>
      <w:r w:rsidR="0055329F" w:rsidRPr="001E07CA">
        <w:rPr>
          <w:lang w:val="sv-SE"/>
        </w:rPr>
        <w:t xml:space="preserve"> tekniska egenskaper</w:t>
      </w:r>
      <w:r w:rsidR="00A2478B" w:rsidRPr="001E07CA">
        <w:rPr>
          <w:lang w:val="sv-SE"/>
        </w:rPr>
        <w:t xml:space="preserve">na </w:t>
      </w:r>
      <w:r w:rsidR="00C36593" w:rsidRPr="001E07CA">
        <w:rPr>
          <w:lang w:val="sv-SE"/>
        </w:rPr>
        <w:t>hos utrustningen</w:t>
      </w:r>
      <w:r w:rsidR="0055329F" w:rsidRPr="001E07CA">
        <w:rPr>
          <w:lang w:val="sv-SE"/>
        </w:rPr>
        <w:t xml:space="preserve"> bestäms enligt standarder, men standarderna är inte </w:t>
      </w:r>
      <w:r w:rsidR="003B7EEE" w:rsidRPr="001E07CA">
        <w:rPr>
          <w:lang w:val="sv-SE"/>
        </w:rPr>
        <w:t>sådana harm</w:t>
      </w:r>
      <w:r w:rsidR="001C2328" w:rsidRPr="001E07CA">
        <w:rPr>
          <w:lang w:val="sv-SE"/>
        </w:rPr>
        <w:t>oniserade standarder som är förenliga med</w:t>
      </w:r>
      <w:r w:rsidR="0055329F" w:rsidRPr="001E07CA">
        <w:rPr>
          <w:lang w:val="sv-SE"/>
        </w:rPr>
        <w:t xml:space="preserve"> gasanordningsdirektivet.</w:t>
      </w:r>
      <w:r w:rsidR="00402445" w:rsidRPr="001E07CA">
        <w:rPr>
          <w:lang w:val="sv-SE"/>
        </w:rPr>
        <w:t xml:space="preserve"> </w:t>
      </w:r>
      <w:r w:rsidR="003B7EEE" w:rsidRPr="001E07CA">
        <w:rPr>
          <w:lang w:val="sv-SE"/>
        </w:rPr>
        <w:t>Bestämmelser om den nationella tills</w:t>
      </w:r>
      <w:r w:rsidR="001D59DD" w:rsidRPr="001E07CA">
        <w:rPr>
          <w:lang w:val="sv-SE"/>
        </w:rPr>
        <w:t>ynen över sådan</w:t>
      </w:r>
      <w:r w:rsidR="00705C38" w:rsidRPr="001E07CA">
        <w:rPr>
          <w:lang w:val="sv-SE"/>
        </w:rPr>
        <w:t xml:space="preserve"> utrustning</w:t>
      </w:r>
      <w:r w:rsidR="003B7EEE" w:rsidRPr="001E07CA">
        <w:rPr>
          <w:lang w:val="sv-SE"/>
        </w:rPr>
        <w:t xml:space="preserve"> bör utfärdas i samma lag som omfattar gasanordningarna enligt gasanordningsförordningen, eftersom </w:t>
      </w:r>
      <w:r w:rsidR="00D01BC3" w:rsidRPr="001E07CA">
        <w:rPr>
          <w:lang w:val="sv-SE"/>
        </w:rPr>
        <w:t>utrustningen</w:t>
      </w:r>
      <w:r w:rsidR="003B7EEE" w:rsidRPr="001E07CA">
        <w:rPr>
          <w:lang w:val="sv-SE"/>
        </w:rPr>
        <w:t xml:space="preserve"> har en väsentlig betydelse för säkerheten vid användningen av själva gasanordningen.</w:t>
      </w:r>
      <w:r w:rsidR="005161D4" w:rsidRPr="001E07CA">
        <w:rPr>
          <w:lang w:val="sv-SE"/>
        </w:rPr>
        <w:t xml:space="preserve"> </w:t>
      </w:r>
      <w:r w:rsidR="003B7EEE" w:rsidRPr="001E07CA">
        <w:rPr>
          <w:lang w:val="sv-SE"/>
        </w:rPr>
        <w:t xml:space="preserve">I nuläget baserar sig tillsynen över </w:t>
      </w:r>
      <w:r w:rsidR="000E44C3" w:rsidRPr="001E07CA">
        <w:rPr>
          <w:lang w:val="sv-SE"/>
        </w:rPr>
        <w:t>utrustningen</w:t>
      </w:r>
      <w:r w:rsidR="003B7EEE" w:rsidRPr="001E07CA">
        <w:rPr>
          <w:lang w:val="sv-SE"/>
        </w:rPr>
        <w:t xml:space="preserve"> på kemikaliesäkerhetslagen och statsrådets förordningar som utfärdats med stöd av den.</w:t>
      </w:r>
    </w:p>
    <w:p w:rsidR="00587E87" w:rsidRPr="001E07CA" w:rsidRDefault="00587E87" w:rsidP="00B95C3F">
      <w:pPr>
        <w:rPr>
          <w:lang w:val="sv-SE"/>
        </w:rPr>
      </w:pPr>
    </w:p>
    <w:p w:rsidR="00BA45CE" w:rsidRPr="001E07CA" w:rsidRDefault="0044135E" w:rsidP="00BA45CE">
      <w:pPr>
        <w:rPr>
          <w:lang w:val="sv-SE"/>
        </w:rPr>
      </w:pPr>
      <w:r w:rsidRPr="001E07CA">
        <w:rPr>
          <w:lang w:val="sv-SE"/>
        </w:rPr>
        <w:t>I gasanordningsförordningen förutsätts att medlemsstaterna fastställer regler om sådana sanktioner som ska tillämpas när ekonomiska aktörer bryter mot bestämmelserna i förordningen.</w:t>
      </w:r>
      <w:r w:rsidR="00BA45CE" w:rsidRPr="001E07CA">
        <w:rPr>
          <w:lang w:val="sv-SE"/>
        </w:rPr>
        <w:t xml:space="preserve"> </w:t>
      </w:r>
      <w:r w:rsidRPr="001E07CA">
        <w:rPr>
          <w:lang w:val="sv-SE"/>
        </w:rPr>
        <w:t>Enligt bestämmelserna i förordningen kan bestämmelserna inbegripa straffrättsliga påföljder för allvarliga överträdelser, fastän man i förordningar i och för sig inte kan ålägga medlemsstaterna att utfärda bestämmelser om straffrättsliga påföljder.</w:t>
      </w:r>
      <w:r w:rsidR="00BA45CE" w:rsidRPr="001E07CA">
        <w:rPr>
          <w:lang w:val="sv-SE"/>
        </w:rPr>
        <w:t xml:space="preserve"> </w:t>
      </w:r>
      <w:r w:rsidR="0079358A" w:rsidRPr="001E07CA">
        <w:rPr>
          <w:lang w:val="sv-SE"/>
        </w:rPr>
        <w:t>Sanktionerna</w:t>
      </w:r>
      <w:r w:rsidRPr="001E07CA">
        <w:rPr>
          <w:lang w:val="sv-SE"/>
        </w:rPr>
        <w:t xml:space="preserve"> ska vara effektiva, proportionella och avskräckande.</w:t>
      </w:r>
      <w:r w:rsidR="00BA45CE" w:rsidRPr="001E07CA">
        <w:rPr>
          <w:lang w:val="sv-SE"/>
        </w:rPr>
        <w:t xml:space="preserve"> </w:t>
      </w:r>
      <w:r w:rsidRPr="001E07CA">
        <w:rPr>
          <w:lang w:val="sv-SE"/>
        </w:rPr>
        <w:t xml:space="preserve">Om inte något annat föreskrivs i förordningen, är utgångspunkten att </w:t>
      </w:r>
      <w:r w:rsidR="00F52E9C" w:rsidRPr="001E07CA">
        <w:rPr>
          <w:lang w:val="sv-SE"/>
        </w:rPr>
        <w:t>sanktionerna</w:t>
      </w:r>
      <w:r w:rsidRPr="001E07CA">
        <w:rPr>
          <w:lang w:val="sv-SE"/>
        </w:rPr>
        <w:t xml:space="preserve"> i enlighet med likvärdighetsprincipen s</w:t>
      </w:r>
      <w:r w:rsidR="00F52E9C" w:rsidRPr="001E07CA">
        <w:rPr>
          <w:lang w:val="sv-SE"/>
        </w:rPr>
        <w:t>ka vara liknande som sanktionerna för</w:t>
      </w:r>
      <w:r w:rsidR="00B417B8" w:rsidRPr="001E07CA">
        <w:rPr>
          <w:lang w:val="sv-SE"/>
        </w:rPr>
        <w:t xml:space="preserve"> </w:t>
      </w:r>
      <w:r w:rsidR="00C7561A" w:rsidRPr="001E07CA">
        <w:rPr>
          <w:lang w:val="sv-SE"/>
        </w:rPr>
        <w:t>överträdelse</w:t>
      </w:r>
      <w:r w:rsidR="00B417B8" w:rsidRPr="001E07CA">
        <w:rPr>
          <w:lang w:val="sv-SE"/>
        </w:rPr>
        <w:t xml:space="preserve"> av </w:t>
      </w:r>
      <w:r w:rsidRPr="001E07CA">
        <w:rPr>
          <w:lang w:val="sv-SE"/>
        </w:rPr>
        <w:t>motsvarande nationell lagstiftning.</w:t>
      </w:r>
      <w:r w:rsidR="00BA45CE" w:rsidRPr="001E07CA">
        <w:rPr>
          <w:lang w:val="sv-SE"/>
        </w:rPr>
        <w:t xml:space="preserve"> </w:t>
      </w:r>
      <w:r w:rsidRPr="001E07CA">
        <w:rPr>
          <w:lang w:val="sv-SE"/>
        </w:rPr>
        <w:t>De ska också kunna påföras genom ett liknande förfarande som påföl</w:t>
      </w:r>
      <w:r w:rsidR="001D0749" w:rsidRPr="001E07CA">
        <w:rPr>
          <w:lang w:val="sv-SE"/>
        </w:rPr>
        <w:t>jderna för motsvarande överträdelse av</w:t>
      </w:r>
      <w:r w:rsidRPr="001E07CA">
        <w:rPr>
          <w:lang w:val="sv-SE"/>
        </w:rPr>
        <w:t xml:space="preserve"> den nationella lagstiftningen.</w:t>
      </w:r>
      <w:r w:rsidR="00BA45CE" w:rsidRPr="001E07CA">
        <w:rPr>
          <w:lang w:val="sv-SE"/>
        </w:rPr>
        <w:t xml:space="preserve"> </w:t>
      </w:r>
    </w:p>
    <w:p w:rsidR="00BA45CE" w:rsidRPr="001E07CA" w:rsidRDefault="00BA45CE" w:rsidP="00BA45CE">
      <w:pPr>
        <w:rPr>
          <w:lang w:val="sv-SE"/>
        </w:rPr>
      </w:pPr>
    </w:p>
    <w:p w:rsidR="00BA45CE" w:rsidRPr="001E07CA" w:rsidRDefault="003C5AE8" w:rsidP="00BA45CE">
      <w:pPr>
        <w:rPr>
          <w:lang w:val="sv-SE"/>
        </w:rPr>
      </w:pPr>
      <w:r w:rsidRPr="001E07CA">
        <w:rPr>
          <w:lang w:val="sv-SE"/>
        </w:rPr>
        <w:t>Eftersom gasanordningarna nuförtiden hör till kemikaliesäkerhetslagens tillämpningsområde, har en tillverkare eller a</w:t>
      </w:r>
      <w:r w:rsidR="00383F8C" w:rsidRPr="001E07CA">
        <w:rPr>
          <w:lang w:val="sv-SE"/>
        </w:rPr>
        <w:t>nnan överl</w:t>
      </w:r>
      <w:r w:rsidR="001773DA" w:rsidRPr="001E07CA">
        <w:rPr>
          <w:lang w:val="sv-SE"/>
        </w:rPr>
        <w:t>åtare av en gasanordning, som</w:t>
      </w:r>
      <w:r w:rsidR="00383F8C" w:rsidRPr="001E07CA">
        <w:rPr>
          <w:lang w:val="sv-SE"/>
        </w:rPr>
        <w:t xml:space="preserve"> har försummat sin skyldighet enligt kemikaliesäkerhetslagen, kunnat dömas till böter för brott mot bestämmelserna om explosiva varor enligt 125 § i kemikaliesäkerhetslagen.</w:t>
      </w:r>
    </w:p>
    <w:p w:rsidR="007967B4" w:rsidRPr="001E07CA" w:rsidRDefault="007967B4" w:rsidP="00BA45CE">
      <w:pPr>
        <w:rPr>
          <w:lang w:val="sv-SE"/>
        </w:rPr>
      </w:pPr>
    </w:p>
    <w:p w:rsidR="0044135E" w:rsidRPr="001E07CA" w:rsidRDefault="00383F8C" w:rsidP="00BA45CE">
      <w:pPr>
        <w:rPr>
          <w:lang w:val="sv-SE"/>
        </w:rPr>
      </w:pPr>
      <w:r w:rsidRPr="001E07CA">
        <w:rPr>
          <w:lang w:val="sv-SE"/>
        </w:rPr>
        <w:t>Bestämmelser om straff f</w:t>
      </w:r>
      <w:r w:rsidR="00433A5D" w:rsidRPr="001E07CA">
        <w:rPr>
          <w:lang w:val="sv-SE"/>
        </w:rPr>
        <w:t>ör ovarsam hantering av en farlig</w:t>
      </w:r>
      <w:r w:rsidRPr="001E07CA">
        <w:rPr>
          <w:lang w:val="sv-SE"/>
        </w:rPr>
        <w:t xml:space="preserve"> kemikalie eller explosiv vara som avses i 5 kap. i kemikaliesäkerhetslagen finns i 44 kap. 12 § i strafflagen.</w:t>
      </w:r>
      <w:r w:rsidR="00BA45CE" w:rsidRPr="001E07CA">
        <w:rPr>
          <w:lang w:val="sv-SE"/>
        </w:rPr>
        <w:t xml:space="preserve"> </w:t>
      </w:r>
      <w:r w:rsidRPr="001E07CA">
        <w:rPr>
          <w:lang w:val="sv-SE"/>
        </w:rPr>
        <w:t>Om verksamhet som strider mot kemikaliesäkerhetslagen föreskrivs som hälsobrott i 44 kap. 1 § 1 mom. 7 punkten och i 2 mom. i strafflagen.</w:t>
      </w:r>
    </w:p>
    <w:p w:rsidR="00BA45CE" w:rsidRPr="001E07CA" w:rsidRDefault="00BA45CE" w:rsidP="00BA45CE">
      <w:pPr>
        <w:rPr>
          <w:lang w:val="sv-SE"/>
        </w:rPr>
      </w:pPr>
    </w:p>
    <w:p w:rsidR="00BA45CE" w:rsidRPr="001E07CA" w:rsidRDefault="004C60C3" w:rsidP="00BA45CE">
      <w:pPr>
        <w:rPr>
          <w:lang w:val="sv-SE"/>
        </w:rPr>
      </w:pPr>
      <w:r w:rsidRPr="001E07CA">
        <w:rPr>
          <w:lang w:val="sv-SE"/>
        </w:rPr>
        <w:t>Gasanordningar är produkter som avses i 5 kap. i kemikaliesäkerhetslagen.</w:t>
      </w:r>
      <w:r w:rsidR="00BA45CE" w:rsidRPr="001E07CA">
        <w:rPr>
          <w:lang w:val="sv-SE"/>
        </w:rPr>
        <w:t xml:space="preserve"> </w:t>
      </w:r>
      <w:r w:rsidRPr="001E07CA">
        <w:rPr>
          <w:lang w:val="sv-SE"/>
        </w:rPr>
        <w:t>När bestämmelser om gasanordningar utfärdas genom en ny lag och förhållandet till kemikalie</w:t>
      </w:r>
      <w:r w:rsidR="00B06F2E" w:rsidRPr="001E07CA">
        <w:rPr>
          <w:lang w:val="sv-SE"/>
        </w:rPr>
        <w:t>säkerhets</w:t>
      </w:r>
      <w:r w:rsidRPr="001E07CA">
        <w:rPr>
          <w:lang w:val="sv-SE"/>
        </w:rPr>
        <w:t>lagen upphör, bör bestämmelser om påföljder utfärdas separat i gasanordningslagen.</w:t>
      </w:r>
      <w:r w:rsidR="00BA45CE" w:rsidRPr="001E07CA">
        <w:rPr>
          <w:lang w:val="sv-SE"/>
        </w:rPr>
        <w:t xml:space="preserve"> </w:t>
      </w:r>
      <w:r w:rsidRPr="001E07CA">
        <w:rPr>
          <w:lang w:val="sv-SE"/>
        </w:rPr>
        <w:t>I lagen bör intas en ny förseelse, gasanordningsförseelse. Påföljden</w:t>
      </w:r>
      <w:r w:rsidR="002E6A43" w:rsidRPr="001E07CA">
        <w:rPr>
          <w:lang w:val="sv-SE"/>
        </w:rPr>
        <w:t xml:space="preserve"> för denna</w:t>
      </w:r>
      <w:r w:rsidRPr="001E07CA">
        <w:rPr>
          <w:lang w:val="sv-SE"/>
        </w:rPr>
        <w:t xml:space="preserve"> </w:t>
      </w:r>
      <w:r w:rsidR="001B3C53" w:rsidRPr="001E07CA">
        <w:rPr>
          <w:lang w:val="sv-SE"/>
        </w:rPr>
        <w:t xml:space="preserve">skulle kunna </w:t>
      </w:r>
      <w:r w:rsidRPr="001E07CA">
        <w:rPr>
          <w:lang w:val="sv-SE"/>
        </w:rPr>
        <w:t>vara böter.</w:t>
      </w:r>
      <w:r w:rsidR="0086557E" w:rsidRPr="001E07CA">
        <w:rPr>
          <w:lang w:val="sv-SE"/>
        </w:rPr>
        <w:t xml:space="preserve"> </w:t>
      </w:r>
      <w:r w:rsidR="00C74EA0" w:rsidRPr="001E07CA">
        <w:rPr>
          <w:lang w:val="sv-SE"/>
        </w:rPr>
        <w:t xml:space="preserve">Eftersom bestämmelserna i strafflagen hittills inte har tillämpats på gasanordningsförseelser, är det inte ändamålsenligt att strafflagen </w:t>
      </w:r>
      <w:r w:rsidR="00027143" w:rsidRPr="001E07CA">
        <w:rPr>
          <w:lang w:val="sv-SE"/>
        </w:rPr>
        <w:t>i fortsättningen</w:t>
      </w:r>
      <w:r w:rsidR="0021401C" w:rsidRPr="001E07CA">
        <w:rPr>
          <w:lang w:val="sv-SE"/>
        </w:rPr>
        <w:t xml:space="preserve"> heller</w:t>
      </w:r>
      <w:r w:rsidR="00C74EA0" w:rsidRPr="001E07CA">
        <w:rPr>
          <w:lang w:val="sv-SE"/>
        </w:rPr>
        <w:t xml:space="preserve"> skulle tillämpas på gasanordningsförseelser.</w:t>
      </w:r>
      <w:r w:rsidR="0086557E" w:rsidRPr="001E07CA">
        <w:rPr>
          <w:lang w:val="sv-SE"/>
        </w:rPr>
        <w:t xml:space="preserve"> </w:t>
      </w:r>
    </w:p>
    <w:p w:rsidR="00B95C3F" w:rsidRPr="001E07CA" w:rsidRDefault="00B95C3F" w:rsidP="00B95C3F">
      <w:pPr>
        <w:rPr>
          <w:lang w:val="sv-SE"/>
        </w:rPr>
      </w:pPr>
    </w:p>
    <w:p w:rsidR="00B95C3F" w:rsidRPr="001E07CA" w:rsidRDefault="001B1DA8" w:rsidP="00B95C3F">
      <w:pPr>
        <w:rPr>
          <w:b/>
          <w:lang w:val="sv-SE"/>
        </w:rPr>
      </w:pPr>
      <w:r w:rsidRPr="001E07CA">
        <w:rPr>
          <w:b/>
          <w:lang w:val="sv-SE"/>
        </w:rPr>
        <w:t>2 Målsättning och de viktigaste förslagen</w:t>
      </w:r>
    </w:p>
    <w:p w:rsidR="00B95C3F" w:rsidRPr="001E07CA" w:rsidRDefault="00B95C3F" w:rsidP="00B95C3F">
      <w:pPr>
        <w:rPr>
          <w:b/>
          <w:lang w:val="sv-SE"/>
        </w:rPr>
      </w:pPr>
    </w:p>
    <w:p w:rsidR="00B95C3F" w:rsidRPr="001E07CA" w:rsidRDefault="001B1DA8" w:rsidP="00B95C3F">
      <w:pPr>
        <w:rPr>
          <w:lang w:val="sv-SE"/>
        </w:rPr>
      </w:pPr>
      <w:r w:rsidRPr="001E07CA">
        <w:rPr>
          <w:lang w:val="sv-SE"/>
        </w:rPr>
        <w:t xml:space="preserve">Målsättningen med propositionen är att i den nationella lagstiftningen inkludera </w:t>
      </w:r>
      <w:r w:rsidR="0058171C" w:rsidRPr="001E07CA">
        <w:rPr>
          <w:lang w:val="sv-SE"/>
        </w:rPr>
        <w:t xml:space="preserve">sådana </w:t>
      </w:r>
      <w:r w:rsidRPr="001E07CA">
        <w:rPr>
          <w:lang w:val="sv-SE"/>
        </w:rPr>
        <w:t>bestämmelser som behövs för ett effektivt genomförande av gasanordningsförordningen.</w:t>
      </w:r>
      <w:r w:rsidR="00B95C3F" w:rsidRPr="001E07CA">
        <w:rPr>
          <w:lang w:val="sv-SE"/>
        </w:rPr>
        <w:t xml:space="preserve"> </w:t>
      </w:r>
      <w:r w:rsidR="00AC2DE6" w:rsidRPr="001E07CA">
        <w:rPr>
          <w:lang w:val="sv-SE"/>
        </w:rPr>
        <w:t xml:space="preserve">Det föreslås att det ska stiftas en lag om gasanordningarnas överensstämmelse med kraven där det i fråga om de krav som ställs på gasanordningar hänvisas till gasanordningsförordningen och där det utfärdas bestämmelser om språkkrav, tillsynen över att </w:t>
      </w:r>
      <w:r w:rsidR="00C207AD" w:rsidRPr="001E07CA">
        <w:rPr>
          <w:lang w:val="sv-SE"/>
        </w:rPr>
        <w:t>lagstiftningen iakttas och om påföljder.</w:t>
      </w:r>
      <w:r w:rsidR="00B95C3F" w:rsidRPr="001E07CA">
        <w:rPr>
          <w:lang w:val="sv-SE"/>
        </w:rPr>
        <w:t xml:space="preserve"> </w:t>
      </w:r>
    </w:p>
    <w:p w:rsidR="001308B5" w:rsidRPr="001E07CA" w:rsidRDefault="001308B5" w:rsidP="00B95C3F">
      <w:pPr>
        <w:rPr>
          <w:lang w:val="sv-SE"/>
        </w:rPr>
      </w:pPr>
    </w:p>
    <w:p w:rsidR="00B95C3F" w:rsidRPr="001E07CA" w:rsidRDefault="00C207AD" w:rsidP="00B95C3F">
      <w:pPr>
        <w:rPr>
          <w:lang w:val="sv-SE"/>
        </w:rPr>
      </w:pPr>
      <w:r w:rsidRPr="001E07CA">
        <w:rPr>
          <w:lang w:val="sv-SE"/>
        </w:rPr>
        <w:t>På marknadskontrollen av gasanordningar tillämpas marknadskontrollagen.</w:t>
      </w:r>
      <w:r w:rsidR="00B95C3F" w:rsidRPr="001E07CA">
        <w:rPr>
          <w:lang w:val="sv-SE"/>
        </w:rPr>
        <w:t xml:space="preserve"> </w:t>
      </w:r>
      <w:r w:rsidRPr="001E07CA">
        <w:rPr>
          <w:lang w:val="sv-SE"/>
        </w:rPr>
        <w:t xml:space="preserve">Det är fråga om en relativt ny tillsynslag som stiftats med tanke på anpassningen efter NLF-modellen för produktreglering </w:t>
      </w:r>
      <w:r w:rsidR="00410A29" w:rsidRPr="001E07CA">
        <w:rPr>
          <w:lang w:val="sv-SE"/>
        </w:rPr>
        <w:t xml:space="preserve">och </w:t>
      </w:r>
      <w:r w:rsidR="00FE76A7" w:rsidRPr="001E07CA">
        <w:rPr>
          <w:lang w:val="sv-SE"/>
        </w:rPr>
        <w:t>vars</w:t>
      </w:r>
      <w:r w:rsidRPr="001E07CA">
        <w:rPr>
          <w:lang w:val="sv-SE"/>
        </w:rPr>
        <w:t xml:space="preserve"> mål</w:t>
      </w:r>
      <w:r w:rsidR="00FE76A7" w:rsidRPr="001E07CA">
        <w:rPr>
          <w:lang w:val="sv-SE"/>
        </w:rPr>
        <w:t xml:space="preserve"> </w:t>
      </w:r>
      <w:r w:rsidRPr="001E07CA">
        <w:rPr>
          <w:lang w:val="sv-SE"/>
        </w:rPr>
        <w:t xml:space="preserve">har varit att bl.a. </w:t>
      </w:r>
      <w:r w:rsidR="00FE76A7" w:rsidRPr="001E07CA">
        <w:rPr>
          <w:lang w:val="sv-SE"/>
        </w:rPr>
        <w:t xml:space="preserve">ta </w:t>
      </w:r>
      <w:r w:rsidRPr="001E07CA">
        <w:rPr>
          <w:lang w:val="sv-SE"/>
        </w:rPr>
        <w:t>hänsyn till bestämmelserna i den s.k. NLF-förordningen.</w:t>
      </w:r>
      <w:r w:rsidR="00B95C3F" w:rsidRPr="001E07CA">
        <w:rPr>
          <w:lang w:val="sv-SE"/>
        </w:rPr>
        <w:t xml:space="preserve"> </w:t>
      </w:r>
      <w:r w:rsidR="00FE76A7" w:rsidRPr="001E07CA">
        <w:rPr>
          <w:lang w:val="sv-SE"/>
        </w:rPr>
        <w:t>I marknadskontrollagen föreslås behövliga ändringar i paragrafen om lagens ti</w:t>
      </w:r>
      <w:r w:rsidR="00177D43" w:rsidRPr="001E07CA">
        <w:rPr>
          <w:lang w:val="sv-SE"/>
        </w:rPr>
        <w:t>llämpningsområde.</w:t>
      </w:r>
      <w:r w:rsidR="00B95C3F" w:rsidRPr="001E07CA">
        <w:rPr>
          <w:lang w:val="sv-SE"/>
        </w:rPr>
        <w:t xml:space="preserve"> </w:t>
      </w:r>
      <w:r w:rsidR="00FE76A7" w:rsidRPr="001E07CA">
        <w:rPr>
          <w:lang w:val="sv-SE"/>
        </w:rPr>
        <w:t>Syftet är att säkerställa att marknadskontrollmyndigheten till sitt förfogande har tillräckligt täckande tillsynsmetoder.</w:t>
      </w:r>
      <w:r w:rsidR="00B95C3F" w:rsidRPr="001E07CA">
        <w:rPr>
          <w:lang w:val="sv-SE"/>
        </w:rPr>
        <w:t xml:space="preserve"> </w:t>
      </w:r>
      <w:r w:rsidR="00FE76A7" w:rsidRPr="001E07CA">
        <w:rPr>
          <w:lang w:val="sv-SE"/>
        </w:rPr>
        <w:t>I marknadskontrollagen ingår också bestämmelser om sökande av ändring i tillsynsmyndighetens beslut.</w:t>
      </w:r>
      <w:r w:rsidR="00DD47D4" w:rsidRPr="001E07CA">
        <w:rPr>
          <w:lang w:val="sv-SE"/>
        </w:rPr>
        <w:t xml:space="preserve"> </w:t>
      </w:r>
      <w:r w:rsidR="00FE76A7" w:rsidRPr="001E07CA">
        <w:rPr>
          <w:lang w:val="sv-SE"/>
        </w:rPr>
        <w:t>S</w:t>
      </w:r>
      <w:r w:rsidR="00B448A9" w:rsidRPr="001E07CA">
        <w:rPr>
          <w:lang w:val="sv-SE"/>
        </w:rPr>
        <w:t>äkerhets- och kemikalieverket ska</w:t>
      </w:r>
      <w:r w:rsidR="00FE76A7" w:rsidRPr="001E07CA">
        <w:rPr>
          <w:lang w:val="sv-SE"/>
        </w:rPr>
        <w:t xml:space="preserve"> också i fortsättningen </w:t>
      </w:r>
      <w:r w:rsidR="00B448A9" w:rsidRPr="001E07CA">
        <w:rPr>
          <w:lang w:val="sv-SE"/>
        </w:rPr>
        <w:t xml:space="preserve">vara </w:t>
      </w:r>
      <w:r w:rsidR="00FE76A7" w:rsidRPr="001E07CA">
        <w:rPr>
          <w:lang w:val="sv-SE"/>
        </w:rPr>
        <w:t>marknadskontrollmyndighet för gasanordningar.</w:t>
      </w:r>
    </w:p>
    <w:p w:rsidR="001308B5" w:rsidRPr="001E07CA" w:rsidRDefault="001308B5" w:rsidP="00B95C3F">
      <w:pPr>
        <w:rPr>
          <w:lang w:val="sv-SE"/>
        </w:rPr>
      </w:pPr>
    </w:p>
    <w:p w:rsidR="001308B5" w:rsidRPr="001E07CA" w:rsidRDefault="000E3DDE" w:rsidP="00B95C3F">
      <w:pPr>
        <w:rPr>
          <w:lang w:val="sv-SE"/>
        </w:rPr>
      </w:pPr>
      <w:r w:rsidRPr="001E07CA">
        <w:rPr>
          <w:lang w:val="sv-SE"/>
        </w:rPr>
        <w:t xml:space="preserve">På kraven på, godkännandet av och anmälan till Europeiska kommissionen av anmälda organ som utför bedömningar av gasanordningars överensstämmelse med kraven tillämpas lagen om anmälda organ för vissa produktgrupper (278/2016, nedan </w:t>
      </w:r>
      <w:r w:rsidRPr="001E07CA">
        <w:rPr>
          <w:i/>
          <w:lang w:val="sv-SE"/>
        </w:rPr>
        <w:t>lagen om anmälda organ</w:t>
      </w:r>
      <w:r w:rsidRPr="001E07CA">
        <w:rPr>
          <w:lang w:val="sv-SE"/>
        </w:rPr>
        <w:t>).</w:t>
      </w:r>
      <w:r w:rsidR="00BF69F1" w:rsidRPr="001E07CA">
        <w:rPr>
          <w:lang w:val="sv-SE"/>
        </w:rPr>
        <w:t xml:space="preserve"> </w:t>
      </w:r>
      <w:r w:rsidR="00631043" w:rsidRPr="001E07CA">
        <w:rPr>
          <w:lang w:val="sv-SE"/>
        </w:rPr>
        <w:t xml:space="preserve">På samma sätt som den ovan nämnda marknadskontrollagen är också den lagen förenlig med NLF-förordningen och </w:t>
      </w:r>
      <w:r w:rsidR="00AD4FAF" w:rsidRPr="001E07CA">
        <w:rPr>
          <w:lang w:val="sv-SE"/>
        </w:rPr>
        <w:t>tillgodoser</w:t>
      </w:r>
      <w:r w:rsidR="00631043" w:rsidRPr="001E07CA">
        <w:rPr>
          <w:lang w:val="sv-SE"/>
        </w:rPr>
        <w:t xml:space="preserve"> således också gasanordningsförordningens behov.</w:t>
      </w:r>
    </w:p>
    <w:p w:rsidR="00BF69F1" w:rsidRPr="001E07CA" w:rsidRDefault="00BF69F1" w:rsidP="00B95C3F">
      <w:pPr>
        <w:rPr>
          <w:lang w:val="sv-SE"/>
        </w:rPr>
      </w:pPr>
    </w:p>
    <w:p w:rsidR="00B20560" w:rsidRPr="001E07CA" w:rsidRDefault="00217D65" w:rsidP="00B95C3F">
      <w:pPr>
        <w:rPr>
          <w:lang w:val="sv-SE"/>
        </w:rPr>
      </w:pPr>
      <w:r w:rsidRPr="001E07CA">
        <w:rPr>
          <w:lang w:val="sv-SE"/>
        </w:rPr>
        <w:t>I kemikaliesäkerhetslagen ingår nuförtiden bestämmelser om säkerhetskraven på produkter och besiktningsorganens verksamhet samt om tillsyn, påföljder och tvångsmedel.</w:t>
      </w:r>
      <w:r w:rsidR="00B20560" w:rsidRPr="001E07CA">
        <w:rPr>
          <w:lang w:val="sv-SE"/>
        </w:rPr>
        <w:t xml:space="preserve"> </w:t>
      </w:r>
      <w:r w:rsidR="00365775" w:rsidRPr="001E07CA">
        <w:rPr>
          <w:lang w:val="sv-SE"/>
        </w:rPr>
        <w:t xml:space="preserve">Eftersom gasanordningsförordningen vid sitt ikraftträdande är den enda </w:t>
      </w:r>
      <w:r w:rsidR="005843D9" w:rsidRPr="001E07CA">
        <w:rPr>
          <w:lang w:val="sv-SE"/>
        </w:rPr>
        <w:t>rättsakt</w:t>
      </w:r>
      <w:r w:rsidR="00365775" w:rsidRPr="001E07CA">
        <w:rPr>
          <w:lang w:val="sv-SE"/>
        </w:rPr>
        <w:t xml:space="preserve"> om gasanordnignarnas säkerhet som är tillämplig, bör i kemikaliesäkerhetslagen upphävas sådana bestämmelser där det hänvisas till gasanordningarnas överensstämmelse med kraven.</w:t>
      </w:r>
      <w:r w:rsidR="00B20560" w:rsidRPr="001E07CA">
        <w:rPr>
          <w:lang w:val="sv-SE"/>
        </w:rPr>
        <w:t xml:space="preserve"> </w:t>
      </w:r>
      <w:r w:rsidR="00365775" w:rsidRPr="001E07CA">
        <w:rPr>
          <w:lang w:val="sv-SE"/>
        </w:rPr>
        <w:t>Dessutom bör också den nationella gasanordningsförordning som utfärdats med stöd av kemikaliesäkerhetslagen upphävas.</w:t>
      </w:r>
    </w:p>
    <w:p w:rsidR="00B20560" w:rsidRPr="001E07CA" w:rsidRDefault="00B20560" w:rsidP="00B95C3F">
      <w:pPr>
        <w:rPr>
          <w:lang w:val="sv-SE"/>
        </w:rPr>
      </w:pPr>
    </w:p>
    <w:p w:rsidR="00B95C3F" w:rsidRPr="001E07CA" w:rsidRDefault="0052786D" w:rsidP="00BF69F1">
      <w:pPr>
        <w:pStyle w:val="NormaaliWWW"/>
        <w:spacing w:before="0" w:beforeAutospacing="0"/>
        <w:rPr>
          <w:lang w:val="sv-SE"/>
        </w:rPr>
      </w:pPr>
      <w:r w:rsidRPr="001E07CA">
        <w:rPr>
          <w:lang w:val="sv-SE"/>
        </w:rPr>
        <w:t>I 18 och 27 § i självstyrelselagen för Åland (1144/1991) finns bestämmelser om hur behörigheten fördelar sig mellan riket och landskapet Åland.</w:t>
      </w:r>
      <w:r w:rsidR="00B95C3F" w:rsidRPr="001E07CA">
        <w:rPr>
          <w:lang w:val="sv-SE"/>
        </w:rPr>
        <w:t xml:space="preserve"> </w:t>
      </w:r>
      <w:r w:rsidRPr="001E07CA">
        <w:rPr>
          <w:lang w:val="sv-SE"/>
        </w:rPr>
        <w:t xml:space="preserve">I U-skrivelse 27/2014 rd som lämnats till riksdagen behandlas regleringen enligt gasanordningsförordningen och </w:t>
      </w:r>
      <w:r w:rsidR="003F35F8" w:rsidRPr="001E07CA">
        <w:rPr>
          <w:lang w:val="sv-SE"/>
        </w:rPr>
        <w:t xml:space="preserve">gjordes en </w:t>
      </w:r>
      <w:r w:rsidRPr="001E07CA">
        <w:rPr>
          <w:lang w:val="sv-SE"/>
        </w:rPr>
        <w:t>bed</w:t>
      </w:r>
      <w:r w:rsidR="003F35F8" w:rsidRPr="001E07CA">
        <w:rPr>
          <w:lang w:val="sv-SE"/>
        </w:rPr>
        <w:t>ömning av att de ärenden som omfattas av gasanordningsförordningens tillämpningsområde och som behandlas i denna proposition faller inom rikets lagstiftningsbehörighet.</w:t>
      </w:r>
      <w:r w:rsidR="00B95C3F" w:rsidRPr="001E07CA">
        <w:rPr>
          <w:lang w:val="sv-SE"/>
        </w:rPr>
        <w:t xml:space="preserve"> </w:t>
      </w:r>
    </w:p>
    <w:p w:rsidR="000777A3" w:rsidRDefault="000777A3" w:rsidP="00B95C3F">
      <w:pPr>
        <w:rPr>
          <w:b/>
          <w:lang w:val="sv-SE"/>
        </w:rPr>
      </w:pPr>
    </w:p>
    <w:p w:rsidR="00B95C3F" w:rsidRPr="001E07CA" w:rsidRDefault="003F35F8" w:rsidP="00B95C3F">
      <w:pPr>
        <w:rPr>
          <w:b/>
          <w:lang w:val="sv-SE"/>
        </w:rPr>
      </w:pPr>
      <w:r w:rsidRPr="001E07CA">
        <w:rPr>
          <w:b/>
          <w:lang w:val="sv-SE"/>
        </w:rPr>
        <w:t>3 Propositionens konsekvenser</w:t>
      </w:r>
    </w:p>
    <w:p w:rsidR="00B95C3F" w:rsidRPr="001E07CA" w:rsidRDefault="00B95C3F" w:rsidP="00B95C3F">
      <w:pPr>
        <w:rPr>
          <w:b/>
          <w:lang w:val="sv-SE"/>
        </w:rPr>
      </w:pPr>
    </w:p>
    <w:p w:rsidR="00354ECE" w:rsidRPr="001E07CA" w:rsidRDefault="003F35F8" w:rsidP="00B95C3F">
      <w:pPr>
        <w:rPr>
          <w:lang w:val="sv-SE"/>
        </w:rPr>
      </w:pPr>
      <w:r w:rsidRPr="001E07CA">
        <w:rPr>
          <w:lang w:val="sv-SE"/>
        </w:rPr>
        <w:t>Kommissionens gasanordningsförordning inbegrep konsekvensbedömning</w:t>
      </w:r>
      <w:r w:rsidR="00750045" w:rsidRPr="001E07CA">
        <w:rPr>
          <w:lang w:val="sv-SE"/>
        </w:rPr>
        <w:t>ar</w:t>
      </w:r>
      <w:r w:rsidRPr="001E07CA">
        <w:rPr>
          <w:lang w:val="sv-SE"/>
        </w:rPr>
        <w:t xml:space="preserve"> COM (2014) 258 final och SWD (2014) 151 final.</w:t>
      </w:r>
      <w:r w:rsidR="00B95C3F" w:rsidRPr="001E07CA">
        <w:rPr>
          <w:lang w:val="sv-SE"/>
        </w:rPr>
        <w:t xml:space="preserve"> </w:t>
      </w:r>
      <w:r w:rsidRPr="001E07CA">
        <w:rPr>
          <w:lang w:val="sv-SE"/>
        </w:rPr>
        <w:t xml:space="preserve">Vid konsekvensbedömningarna studerades de ändringar som gjordes när gasanordningsdirektiv 2009/142/EG </w:t>
      </w:r>
      <w:r w:rsidR="00E2258C" w:rsidRPr="001E07CA">
        <w:rPr>
          <w:lang w:val="sv-SE"/>
        </w:rPr>
        <w:t xml:space="preserve">reviderades och </w:t>
      </w:r>
      <w:r w:rsidRPr="001E07CA">
        <w:rPr>
          <w:lang w:val="sv-SE"/>
        </w:rPr>
        <w:t>omvandlades till gasanordnignsförordning.</w:t>
      </w:r>
      <w:r w:rsidR="00354ECE" w:rsidRPr="001E07CA">
        <w:rPr>
          <w:lang w:val="sv-SE"/>
        </w:rPr>
        <w:t xml:space="preserve"> </w:t>
      </w:r>
      <w:r w:rsidRPr="001E07CA">
        <w:rPr>
          <w:lang w:val="sv-SE"/>
        </w:rPr>
        <w:t>I gasanordningsförordningen ändras inte det tidigare tillämpningsområdet enligt direktivet.</w:t>
      </w:r>
      <w:r w:rsidR="00354ECE" w:rsidRPr="001E07CA">
        <w:rPr>
          <w:lang w:val="sv-SE"/>
        </w:rPr>
        <w:t xml:space="preserve"> </w:t>
      </w:r>
      <w:r w:rsidRPr="001E07CA">
        <w:rPr>
          <w:lang w:val="sv-SE"/>
        </w:rPr>
        <w:t>Sådana tekniska definitioner som tidigare upplevts vara inexakta har preciserats och NLF-förordningens inverkningar på aktörernas skyldigheter, bedömningen av anmälda organ</w:t>
      </w:r>
      <w:r w:rsidR="00E24AFD" w:rsidRPr="001E07CA">
        <w:rPr>
          <w:lang w:val="sv-SE"/>
        </w:rPr>
        <w:t>s kompetens</w:t>
      </w:r>
      <w:r w:rsidRPr="001E07CA">
        <w:rPr>
          <w:lang w:val="sv-SE"/>
        </w:rPr>
        <w:t xml:space="preserve"> och anmälan av organ till Europeiska kommissionen samt </w:t>
      </w:r>
      <w:r w:rsidR="002E6E00" w:rsidRPr="001E07CA">
        <w:rPr>
          <w:lang w:val="sv-SE"/>
        </w:rPr>
        <w:t xml:space="preserve">på </w:t>
      </w:r>
      <w:r w:rsidRPr="001E07CA">
        <w:rPr>
          <w:lang w:val="sv-SE"/>
        </w:rPr>
        <w:t xml:space="preserve">medlemsstaternas skyldigheter vid ordnandet av marknadskontrollen för gasanordningar </w:t>
      </w:r>
      <w:r w:rsidR="002E6E00" w:rsidRPr="001E07CA">
        <w:rPr>
          <w:lang w:val="sv-SE"/>
        </w:rPr>
        <w:t xml:space="preserve">har </w:t>
      </w:r>
      <w:r w:rsidRPr="001E07CA">
        <w:rPr>
          <w:lang w:val="sv-SE"/>
        </w:rPr>
        <w:t>beaktats</w:t>
      </w:r>
      <w:r w:rsidR="002E6E00" w:rsidRPr="001E07CA">
        <w:rPr>
          <w:lang w:val="sv-SE"/>
        </w:rPr>
        <w:t xml:space="preserve"> i samband med ändringen</w:t>
      </w:r>
      <w:r w:rsidRPr="001E07CA">
        <w:rPr>
          <w:lang w:val="sv-SE"/>
        </w:rPr>
        <w:t>.</w:t>
      </w:r>
    </w:p>
    <w:p w:rsidR="008F7ADC" w:rsidRPr="001E07CA" w:rsidRDefault="008F7ADC" w:rsidP="00B95C3F">
      <w:pPr>
        <w:rPr>
          <w:lang w:val="sv-SE"/>
        </w:rPr>
      </w:pPr>
    </w:p>
    <w:p w:rsidR="00B95C3F" w:rsidRPr="001E07CA" w:rsidRDefault="002610DB" w:rsidP="00EF1C68">
      <w:pPr>
        <w:rPr>
          <w:lang w:val="sv-SE"/>
        </w:rPr>
      </w:pPr>
      <w:r w:rsidRPr="001E07CA">
        <w:rPr>
          <w:lang w:val="sv-SE"/>
        </w:rPr>
        <w:lastRenderedPageBreak/>
        <w:t>Vid bedömningarna betonas att när författningsformen ändras från direktiv till förordning ändras inte de tekniska säkerhetskraven</w:t>
      </w:r>
      <w:r w:rsidR="00101BBC" w:rsidRPr="001E07CA">
        <w:rPr>
          <w:lang w:val="sv-SE"/>
        </w:rPr>
        <w:t xml:space="preserve"> på gasanordningar</w:t>
      </w:r>
      <w:r w:rsidRPr="001E07CA">
        <w:rPr>
          <w:lang w:val="sv-SE"/>
        </w:rPr>
        <w:t xml:space="preserve">, eller förfaranden för visande av överensstämmelse med kraven, vilket gör att </w:t>
      </w:r>
      <w:r w:rsidR="00DD15E9" w:rsidRPr="001E07CA">
        <w:rPr>
          <w:lang w:val="sv-SE"/>
        </w:rPr>
        <w:t>ändringen av författning</w:t>
      </w:r>
      <w:r w:rsidR="002513FB" w:rsidRPr="001E07CA">
        <w:rPr>
          <w:lang w:val="sv-SE"/>
        </w:rPr>
        <w:t>sform</w:t>
      </w:r>
      <w:r w:rsidRPr="001E07CA">
        <w:rPr>
          <w:lang w:val="sv-SE"/>
        </w:rPr>
        <w:t xml:space="preserve"> inte medför några extra kostnader för tillverkare och andra ekonomiska aktörer i distributionskedjan.</w:t>
      </w:r>
      <w:r w:rsidR="008F7ADC" w:rsidRPr="001E07CA">
        <w:rPr>
          <w:lang w:val="sv-SE"/>
        </w:rPr>
        <w:t xml:space="preserve"> </w:t>
      </w:r>
      <w:r w:rsidRPr="001E07CA">
        <w:rPr>
          <w:lang w:val="sv-SE"/>
        </w:rPr>
        <w:t>Eftersom förordningen utgör direkt tillämplig rätt i medlemsstaterna, bedöms ändringen kunna förenhetliga förfarandena på marknaden, när det inte längre är möjligt att tillämpa författningen på olika sätt i olika medlemsstater.</w:t>
      </w:r>
      <w:r w:rsidR="00EF1C68" w:rsidRPr="001E07CA">
        <w:rPr>
          <w:lang w:val="sv-SE"/>
        </w:rPr>
        <w:t xml:space="preserve"> </w:t>
      </w:r>
      <w:r w:rsidRPr="001E07CA">
        <w:rPr>
          <w:lang w:val="sv-SE"/>
        </w:rPr>
        <w:t>Vid bedömningarna påpekas dessutom att konkurrenskraften inom branschen kan förbättras genom uppmuntran till enhetlig produktkvalitet.</w:t>
      </w:r>
      <w:r w:rsidR="00B95C3F" w:rsidRPr="001E07CA">
        <w:rPr>
          <w:lang w:val="sv-SE"/>
        </w:rPr>
        <w:t xml:space="preserve"> </w:t>
      </w:r>
    </w:p>
    <w:p w:rsidR="00B95C3F" w:rsidRPr="001E07CA" w:rsidRDefault="00B95C3F" w:rsidP="00B95C3F">
      <w:pPr>
        <w:rPr>
          <w:lang w:val="sv-SE"/>
        </w:rPr>
      </w:pPr>
    </w:p>
    <w:p w:rsidR="00B95C3F" w:rsidRPr="001E07CA" w:rsidRDefault="002610DB" w:rsidP="00B95C3F">
      <w:pPr>
        <w:rPr>
          <w:b/>
          <w:lang w:val="sv-SE"/>
        </w:rPr>
      </w:pPr>
      <w:r w:rsidRPr="001E07CA">
        <w:rPr>
          <w:b/>
          <w:lang w:val="sv-SE"/>
        </w:rPr>
        <w:t>3.1 Ekonomiska konsekvenser och konsekvenser för ekonomiska aktörers verksamhet</w:t>
      </w:r>
    </w:p>
    <w:p w:rsidR="00B95C3F" w:rsidRPr="001E07CA" w:rsidRDefault="00B95C3F" w:rsidP="00B95C3F">
      <w:pPr>
        <w:rPr>
          <w:lang w:val="sv-SE"/>
        </w:rPr>
      </w:pPr>
    </w:p>
    <w:p w:rsidR="00B95C3F" w:rsidRPr="001E07CA" w:rsidRDefault="002610DB" w:rsidP="00B95C3F">
      <w:pPr>
        <w:rPr>
          <w:lang w:val="sv-SE"/>
        </w:rPr>
      </w:pPr>
      <w:r w:rsidRPr="001E07CA">
        <w:rPr>
          <w:lang w:val="sv-SE"/>
        </w:rPr>
        <w:t xml:space="preserve">Propositionen är till stora delar av lagstiftningsteknisk art och </w:t>
      </w:r>
      <w:r w:rsidR="0083333E" w:rsidRPr="001E07CA">
        <w:rPr>
          <w:lang w:val="sv-SE"/>
        </w:rPr>
        <w:t xml:space="preserve">genom den ändras inte de tekniska kraven och säkerhetskraven på gasanordningar eller förfarandena för bedömning </w:t>
      </w:r>
      <w:r w:rsidR="00755EE2" w:rsidRPr="001E07CA">
        <w:rPr>
          <w:lang w:val="sv-SE"/>
        </w:rPr>
        <w:t>överensstämmelse</w:t>
      </w:r>
      <w:r w:rsidR="0083333E" w:rsidRPr="001E07CA">
        <w:rPr>
          <w:lang w:val="sv-SE"/>
        </w:rPr>
        <w:t>.</w:t>
      </w:r>
      <w:r w:rsidR="00B95C3F" w:rsidRPr="001E07CA">
        <w:rPr>
          <w:lang w:val="sv-SE"/>
        </w:rPr>
        <w:t xml:space="preserve"> </w:t>
      </w:r>
      <w:r w:rsidR="00B541AA" w:rsidRPr="001E07CA">
        <w:rPr>
          <w:lang w:val="sv-SE"/>
        </w:rPr>
        <w:t xml:space="preserve">Om </w:t>
      </w:r>
      <w:r w:rsidR="009F3335" w:rsidRPr="001E07CA">
        <w:rPr>
          <w:lang w:val="sv-SE"/>
        </w:rPr>
        <w:t>dessa</w:t>
      </w:r>
      <w:r w:rsidR="00132B8E" w:rsidRPr="001E07CA">
        <w:rPr>
          <w:lang w:val="sv-SE"/>
        </w:rPr>
        <w:t xml:space="preserve"> </w:t>
      </w:r>
      <w:r w:rsidR="00B541AA" w:rsidRPr="001E07CA">
        <w:rPr>
          <w:lang w:val="sv-SE"/>
        </w:rPr>
        <w:t>föreskrivs</w:t>
      </w:r>
      <w:r w:rsidR="0083333E" w:rsidRPr="001E07CA">
        <w:rPr>
          <w:lang w:val="sv-SE"/>
        </w:rPr>
        <w:t xml:space="preserve"> </w:t>
      </w:r>
      <w:r w:rsidR="00B779B5" w:rsidRPr="001E07CA">
        <w:rPr>
          <w:lang w:val="sv-SE"/>
        </w:rPr>
        <w:t xml:space="preserve">direkt </w:t>
      </w:r>
      <w:r w:rsidR="0083333E" w:rsidRPr="001E07CA">
        <w:rPr>
          <w:lang w:val="sv-SE"/>
        </w:rPr>
        <w:t>i gasanordningsförordningen.</w:t>
      </w:r>
      <w:r w:rsidR="00B95C3F" w:rsidRPr="001E07CA">
        <w:rPr>
          <w:lang w:val="sv-SE"/>
        </w:rPr>
        <w:t xml:space="preserve"> </w:t>
      </w:r>
      <w:r w:rsidR="0083333E" w:rsidRPr="001E07CA">
        <w:rPr>
          <w:lang w:val="sv-SE"/>
        </w:rPr>
        <w:t>Också de mer detaljerade krav som ställs på ekonomiska aktörer ingår i gasanordningsförordningen.</w:t>
      </w:r>
      <w:r w:rsidR="00B95C3F" w:rsidRPr="001E07CA">
        <w:rPr>
          <w:lang w:val="sv-SE"/>
        </w:rPr>
        <w:t xml:space="preserve"> </w:t>
      </w:r>
      <w:r w:rsidR="00265015" w:rsidRPr="001E07CA">
        <w:rPr>
          <w:lang w:val="sv-SE"/>
        </w:rPr>
        <w:t>De föreslagna språkkraven motsvarar nuläget.</w:t>
      </w:r>
      <w:r w:rsidR="00BD6B80" w:rsidRPr="001E07CA">
        <w:rPr>
          <w:lang w:val="sv-SE"/>
        </w:rPr>
        <w:t xml:space="preserve"> </w:t>
      </w:r>
      <w:r w:rsidR="005F376A" w:rsidRPr="001E07CA">
        <w:rPr>
          <w:lang w:val="sv-SE"/>
        </w:rPr>
        <w:t>De s</w:t>
      </w:r>
      <w:r w:rsidR="00265015" w:rsidRPr="001E07CA">
        <w:rPr>
          <w:lang w:val="sv-SE"/>
        </w:rPr>
        <w:t>traffbestämmels</w:t>
      </w:r>
      <w:r w:rsidR="005F376A" w:rsidRPr="001E07CA">
        <w:rPr>
          <w:lang w:val="sv-SE"/>
        </w:rPr>
        <w:t>er</w:t>
      </w:r>
      <w:r w:rsidR="00265015" w:rsidRPr="001E07CA">
        <w:rPr>
          <w:lang w:val="sv-SE"/>
        </w:rPr>
        <w:t xml:space="preserve"> enligt den föreslagna lagen som eventuellt riktar</w:t>
      </w:r>
      <w:r w:rsidR="00B04851" w:rsidRPr="001E07CA">
        <w:rPr>
          <w:lang w:val="sv-SE"/>
        </w:rPr>
        <w:t xml:space="preserve"> sig till ekonomiska aktörer är </w:t>
      </w:r>
      <w:r w:rsidR="00265015" w:rsidRPr="001E07CA">
        <w:rPr>
          <w:lang w:val="sv-SE"/>
        </w:rPr>
        <w:t>mer noggrant avgränsade än</w:t>
      </w:r>
      <w:r w:rsidR="005F376A" w:rsidRPr="001E07CA">
        <w:rPr>
          <w:lang w:val="sv-SE"/>
        </w:rPr>
        <w:t xml:space="preserve"> de tidigare bestämmelserna</w:t>
      </w:r>
      <w:r w:rsidR="00265015" w:rsidRPr="001E07CA">
        <w:rPr>
          <w:lang w:val="sv-SE"/>
        </w:rPr>
        <w:t>.</w:t>
      </w:r>
      <w:r w:rsidR="00B95C3F" w:rsidRPr="001E07CA">
        <w:rPr>
          <w:lang w:val="sv-SE"/>
        </w:rPr>
        <w:t xml:space="preserve"> </w:t>
      </w:r>
      <w:r w:rsidR="00265015" w:rsidRPr="001E07CA">
        <w:rPr>
          <w:lang w:val="sv-SE"/>
        </w:rPr>
        <w:t>Propositionen har således inte några betydande ekonomiska konsekvenser och avsikten är inte att genom propositionen ändra eller öka ekonomiska aktörers skyldigheter.</w:t>
      </w:r>
    </w:p>
    <w:p w:rsidR="00B95C3F" w:rsidRPr="001E07CA" w:rsidRDefault="00B95C3F" w:rsidP="00B95C3F">
      <w:pPr>
        <w:rPr>
          <w:lang w:val="sv-SE"/>
        </w:rPr>
      </w:pPr>
    </w:p>
    <w:p w:rsidR="00B95C3F" w:rsidRPr="001E07CA" w:rsidRDefault="001A03D2" w:rsidP="00B95C3F">
      <w:pPr>
        <w:rPr>
          <w:lang w:val="sv-SE"/>
        </w:rPr>
      </w:pPr>
      <w:r w:rsidRPr="001E07CA">
        <w:rPr>
          <w:lang w:val="sv-SE"/>
        </w:rPr>
        <w:t>I övergångsbestämmelserna i den föreslagna lagen föreskrivs på motsvarande sätt som i gasanordningsförordningens övergångsbestämmelser att produkter som släppts ut på marknaden före lagens ikraftträdande och vars överensstämmelse med kraven har säkerställts i enlighet med de bestämmelser som var i kraft vid lagens ikraftträdande, får vara kvar på marknaden också efter det att lagen trätt i kraft.</w:t>
      </w:r>
      <w:r w:rsidR="00B95C3F" w:rsidRPr="001E07CA">
        <w:rPr>
          <w:lang w:val="sv-SE"/>
        </w:rPr>
        <w:t xml:space="preserve"> </w:t>
      </w:r>
      <w:r w:rsidRPr="001E07CA">
        <w:rPr>
          <w:lang w:val="sv-SE"/>
        </w:rPr>
        <w:t>Således kan de gasanor</w:t>
      </w:r>
      <w:r w:rsidR="005A1D8C" w:rsidRPr="001E07CA">
        <w:rPr>
          <w:lang w:val="sv-SE"/>
        </w:rPr>
        <w:t>dningar som finns på lager hos</w:t>
      </w:r>
      <w:r w:rsidRPr="001E07CA">
        <w:rPr>
          <w:lang w:val="sv-SE"/>
        </w:rPr>
        <w:t xml:space="preserve"> handelns distributionskedja får säljas slut.</w:t>
      </w:r>
      <w:r w:rsidR="00B95C3F" w:rsidRPr="001E07CA">
        <w:rPr>
          <w:lang w:val="sv-SE"/>
        </w:rPr>
        <w:t xml:space="preserve"> </w:t>
      </w:r>
      <w:r w:rsidRPr="001E07CA">
        <w:rPr>
          <w:lang w:val="sv-SE"/>
        </w:rPr>
        <w:t>Övergångsbestämmelserna avser att för sin del trygga ställningen för dem som är verksamma inom handelsbranschen.</w:t>
      </w:r>
      <w:r w:rsidR="00B95C3F" w:rsidRPr="001E07CA">
        <w:rPr>
          <w:lang w:val="sv-SE"/>
        </w:rPr>
        <w:t xml:space="preserve"> </w:t>
      </w:r>
      <w:r w:rsidRPr="001E07CA">
        <w:rPr>
          <w:lang w:val="sv-SE"/>
        </w:rPr>
        <w:t>Överensstämmelse med kraven för sådana gasanordningar som släpps ut på marknaden efter den föreslagna lagens ikraftträdande ska bevisas genom de förfaranden som anges i gasanordningsförordningen.</w:t>
      </w:r>
      <w:r w:rsidR="00560ABA">
        <w:rPr>
          <w:lang w:val="sv-SE"/>
        </w:rPr>
        <w:t xml:space="preserve"> </w:t>
      </w:r>
      <w:r w:rsidR="00C630BC" w:rsidRPr="001E07CA">
        <w:rPr>
          <w:lang w:val="sv-SE"/>
        </w:rPr>
        <w:t>Förfaranden för visande av överensstämmelse med kraven jämte dokument enligt det upphävda gasanordningsdirektivet duger inte längre vid tillverkningen av nya gasanordningar.</w:t>
      </w:r>
    </w:p>
    <w:p w:rsidR="00B95C3F" w:rsidRPr="001E07CA" w:rsidRDefault="00B95C3F" w:rsidP="00B95C3F">
      <w:pPr>
        <w:rPr>
          <w:lang w:val="sv-SE"/>
        </w:rPr>
      </w:pPr>
    </w:p>
    <w:p w:rsidR="004108CE" w:rsidRPr="001E07CA" w:rsidRDefault="00490FEE" w:rsidP="00B95C3F">
      <w:pPr>
        <w:rPr>
          <w:lang w:val="sv-SE"/>
        </w:rPr>
      </w:pPr>
      <w:r w:rsidRPr="001E07CA">
        <w:rPr>
          <w:lang w:val="sv-SE"/>
        </w:rPr>
        <w:t>I Finland förekommer</w:t>
      </w:r>
      <w:r w:rsidR="00825AE3" w:rsidRPr="001E07CA">
        <w:rPr>
          <w:lang w:val="sv-SE"/>
        </w:rPr>
        <w:t xml:space="preserve"> ingen tillverkning av gasanordningar.</w:t>
      </w:r>
      <w:r w:rsidR="004108CE" w:rsidRPr="001E07CA">
        <w:rPr>
          <w:lang w:val="sv-SE"/>
        </w:rPr>
        <w:t xml:space="preserve"> </w:t>
      </w:r>
      <w:r w:rsidR="00825AE3" w:rsidRPr="001E07CA">
        <w:rPr>
          <w:lang w:val="sv-SE"/>
        </w:rPr>
        <w:t>Det finns inga exakta uppgifter att tillgå om antalet tillverkare, importörer och distributörer av gasanordningar i Finland.</w:t>
      </w:r>
      <w:r w:rsidR="00B95C3F" w:rsidRPr="001E07CA">
        <w:rPr>
          <w:lang w:val="sv-SE"/>
        </w:rPr>
        <w:t xml:space="preserve"> </w:t>
      </w:r>
      <w:r w:rsidR="00F00405" w:rsidRPr="001E07CA">
        <w:rPr>
          <w:lang w:val="sv-SE"/>
        </w:rPr>
        <w:t>Gasanordningar kan importeras av affärskedjornas egna inköpsorganisationer, av partiaffärer eller av detaljhandelsaffärerna själva.</w:t>
      </w:r>
      <w:r w:rsidR="004108CE" w:rsidRPr="001E07CA">
        <w:rPr>
          <w:lang w:val="sv-SE"/>
        </w:rPr>
        <w:t xml:space="preserve"> </w:t>
      </w:r>
      <w:r w:rsidR="00F00405" w:rsidRPr="001E07CA">
        <w:rPr>
          <w:lang w:val="sv-SE"/>
        </w:rPr>
        <w:t xml:space="preserve">Vanligast är att gasanordningarna utgör en del av produktsortimentet hos </w:t>
      </w:r>
      <w:r w:rsidR="00401DBE" w:rsidRPr="001E07CA">
        <w:rPr>
          <w:lang w:val="sv-SE"/>
        </w:rPr>
        <w:t xml:space="preserve">en </w:t>
      </w:r>
      <w:r w:rsidR="00F00405" w:rsidRPr="001E07CA">
        <w:rPr>
          <w:lang w:val="sv-SE"/>
        </w:rPr>
        <w:t xml:space="preserve">detaljhandelsbutiks avdelning för </w:t>
      </w:r>
      <w:r w:rsidR="00954BE8" w:rsidRPr="001E07CA">
        <w:rPr>
          <w:lang w:val="sv-SE"/>
        </w:rPr>
        <w:t>träd</w:t>
      </w:r>
      <w:r w:rsidR="00F00405" w:rsidRPr="001E07CA">
        <w:rPr>
          <w:lang w:val="sv-SE"/>
        </w:rPr>
        <w:t>gårds- eller fritidsartiklar</w:t>
      </w:r>
      <w:r w:rsidR="00401DBE" w:rsidRPr="001E07CA">
        <w:rPr>
          <w:lang w:val="sv-SE"/>
        </w:rPr>
        <w:t xml:space="preserve"> eller hos en järnvaruhandel</w:t>
      </w:r>
      <w:r w:rsidR="00F00405" w:rsidRPr="001E07CA">
        <w:rPr>
          <w:lang w:val="sv-SE"/>
        </w:rPr>
        <w:t>.</w:t>
      </w:r>
      <w:r w:rsidR="004108CE" w:rsidRPr="001E07CA">
        <w:rPr>
          <w:lang w:val="sv-SE"/>
        </w:rPr>
        <w:t xml:space="preserve"> </w:t>
      </w:r>
      <w:r w:rsidR="00F00405" w:rsidRPr="001E07CA">
        <w:rPr>
          <w:lang w:val="sv-SE"/>
        </w:rPr>
        <w:t xml:space="preserve">Detta beror </w:t>
      </w:r>
      <w:r w:rsidR="007C15E8" w:rsidRPr="001E07CA">
        <w:rPr>
          <w:lang w:val="sv-SE"/>
        </w:rPr>
        <w:t>till stor del</w:t>
      </w:r>
      <w:r w:rsidR="0073055F" w:rsidRPr="001E07CA">
        <w:rPr>
          <w:lang w:val="sv-SE"/>
        </w:rPr>
        <w:t xml:space="preserve"> </w:t>
      </w:r>
      <w:r w:rsidR="00F00405" w:rsidRPr="001E07CA">
        <w:rPr>
          <w:lang w:val="sv-SE"/>
        </w:rPr>
        <w:t xml:space="preserve">på </w:t>
      </w:r>
      <w:r w:rsidR="0073055F" w:rsidRPr="001E07CA">
        <w:rPr>
          <w:lang w:val="sv-SE"/>
        </w:rPr>
        <w:t xml:space="preserve">det </w:t>
      </w:r>
      <w:r w:rsidR="00F00405" w:rsidRPr="001E07CA">
        <w:rPr>
          <w:lang w:val="sv-SE"/>
        </w:rPr>
        <w:t xml:space="preserve">att användningen av gasanordningar i Finland är koncentrerad till fritiden och </w:t>
      </w:r>
      <w:r w:rsidR="0073055F" w:rsidRPr="001E07CA">
        <w:rPr>
          <w:lang w:val="sv-SE"/>
        </w:rPr>
        <w:t>tillämpning</w:t>
      </w:r>
      <w:r w:rsidR="007C15E8" w:rsidRPr="001E07CA">
        <w:rPr>
          <w:lang w:val="sv-SE"/>
        </w:rPr>
        <w:t xml:space="preserve">ar som är anpassade därefter </w:t>
      </w:r>
      <w:r w:rsidR="004E0426" w:rsidRPr="001E07CA">
        <w:rPr>
          <w:lang w:val="sv-SE"/>
        </w:rPr>
        <w:t xml:space="preserve">och </w:t>
      </w:r>
      <w:r w:rsidR="00F00405" w:rsidRPr="001E07CA">
        <w:rPr>
          <w:lang w:val="sv-SE"/>
        </w:rPr>
        <w:t>används i stugor, husvagnar och fritidsbåtar.</w:t>
      </w:r>
      <w:r w:rsidR="00DA16A6" w:rsidRPr="001E07CA">
        <w:rPr>
          <w:lang w:val="sv-SE"/>
        </w:rPr>
        <w:t xml:space="preserve"> </w:t>
      </w:r>
      <w:r w:rsidR="0073055F" w:rsidRPr="001E07CA">
        <w:rPr>
          <w:lang w:val="sv-SE"/>
        </w:rPr>
        <w:t xml:space="preserve">Till denna del avviker användningen av gasanordningar i Finland betydligt från praxisen i Centraleuropa där gasanordningar är viktiga element i uppvärmningen av bostäder och </w:t>
      </w:r>
      <w:r w:rsidR="00042979" w:rsidRPr="001E07CA">
        <w:rPr>
          <w:lang w:val="sv-SE"/>
        </w:rPr>
        <w:t>av vatten för hushållsbruk</w:t>
      </w:r>
      <w:r w:rsidR="0073055F" w:rsidRPr="001E07CA">
        <w:rPr>
          <w:lang w:val="sv-SE"/>
        </w:rPr>
        <w:t>.</w:t>
      </w:r>
      <w:r w:rsidR="004108CE" w:rsidRPr="001E07CA">
        <w:rPr>
          <w:lang w:val="sv-SE"/>
        </w:rPr>
        <w:t xml:space="preserve"> </w:t>
      </w:r>
    </w:p>
    <w:p w:rsidR="00B95C3F" w:rsidRPr="001E07CA" w:rsidRDefault="00B95C3F">
      <w:pPr>
        <w:rPr>
          <w:lang w:val="sv-SE"/>
        </w:rPr>
      </w:pPr>
    </w:p>
    <w:p w:rsidR="00B95C3F" w:rsidRPr="001E07CA" w:rsidRDefault="00042979" w:rsidP="00B95C3F">
      <w:pPr>
        <w:rPr>
          <w:b/>
          <w:lang w:val="sv-SE"/>
        </w:rPr>
      </w:pPr>
      <w:r w:rsidRPr="001E07CA">
        <w:rPr>
          <w:b/>
          <w:lang w:val="sv-SE"/>
        </w:rPr>
        <w:t>3.2 Konsekvenser för myndigheterna</w:t>
      </w:r>
    </w:p>
    <w:p w:rsidR="00B95C3F" w:rsidRPr="001E07CA" w:rsidRDefault="00B95C3F" w:rsidP="00B95C3F">
      <w:pPr>
        <w:rPr>
          <w:lang w:val="sv-SE"/>
        </w:rPr>
      </w:pPr>
    </w:p>
    <w:p w:rsidR="00B95C3F" w:rsidRPr="001E07CA" w:rsidRDefault="00AB32F4" w:rsidP="00B95C3F">
      <w:pPr>
        <w:rPr>
          <w:lang w:val="sv-SE"/>
        </w:rPr>
      </w:pPr>
      <w:r w:rsidRPr="001E07CA">
        <w:rPr>
          <w:lang w:val="sv-SE"/>
        </w:rPr>
        <w:t xml:space="preserve">Säkerhets- och kemikalieverket ska också fortsättningsvis </w:t>
      </w:r>
      <w:r w:rsidR="006F770C" w:rsidRPr="001E07CA">
        <w:rPr>
          <w:lang w:val="sv-SE"/>
        </w:rPr>
        <w:t>utföra marknadskontroller</w:t>
      </w:r>
      <w:r w:rsidRPr="001E07CA">
        <w:rPr>
          <w:lang w:val="sv-SE"/>
        </w:rPr>
        <w:t xml:space="preserve"> av gasanordningar.</w:t>
      </w:r>
      <w:r w:rsidR="00B95C3F" w:rsidRPr="001E07CA">
        <w:rPr>
          <w:lang w:val="sv-SE"/>
        </w:rPr>
        <w:t xml:space="preserve"> </w:t>
      </w:r>
      <w:r w:rsidR="0085038A" w:rsidRPr="001E07CA">
        <w:rPr>
          <w:lang w:val="sv-SE"/>
        </w:rPr>
        <w:t xml:space="preserve">Tullens roll baserar sig på marknadskontrollagen och på NLF-förordningen om ackreditering och marknadskontroll. </w:t>
      </w:r>
      <w:r w:rsidRPr="001E07CA">
        <w:rPr>
          <w:lang w:val="sv-SE"/>
        </w:rPr>
        <w:t>Tullen ska utföra sådana yttre gränskontroller i samband med gasanordningarnas överensstämmelse med kraven som avses i EU-lagstiftningen.</w:t>
      </w:r>
      <w:r w:rsidR="0053189B" w:rsidRPr="001E07CA">
        <w:rPr>
          <w:lang w:val="sv-SE"/>
        </w:rPr>
        <w:t xml:space="preserve"> </w:t>
      </w:r>
      <w:r w:rsidRPr="001E07CA">
        <w:rPr>
          <w:lang w:val="sv-SE"/>
        </w:rPr>
        <w:t xml:space="preserve">Den nationella gasanordningsförordningen har trätt i kraft före NLF-lagstiftningen, och i den hade Tullens ställning </w:t>
      </w:r>
      <w:r w:rsidRPr="001E07CA">
        <w:rPr>
          <w:lang w:val="sv-SE"/>
        </w:rPr>
        <w:lastRenderedPageBreak/>
        <w:t xml:space="preserve">inte definierats på samma sätt som nuförtiden </w:t>
      </w:r>
      <w:r w:rsidR="005F1F64" w:rsidRPr="001E07CA">
        <w:rPr>
          <w:lang w:val="sv-SE"/>
        </w:rPr>
        <w:t xml:space="preserve">gjorts </w:t>
      </w:r>
      <w:r w:rsidRPr="001E07CA">
        <w:rPr>
          <w:lang w:val="sv-SE"/>
        </w:rPr>
        <w:t>med tanke på NLF-förordningen i de lagar som baserar sig på harmoniserade produktsäkerhetsdirektiv.</w:t>
      </w:r>
    </w:p>
    <w:p w:rsidR="00B95C3F" w:rsidRPr="001E07CA" w:rsidRDefault="00B95C3F" w:rsidP="00B95C3F">
      <w:pPr>
        <w:rPr>
          <w:lang w:val="sv-SE"/>
        </w:rPr>
      </w:pPr>
    </w:p>
    <w:p w:rsidR="00B95C3F" w:rsidRPr="001E07CA" w:rsidRDefault="00440859" w:rsidP="00B95C3F">
      <w:pPr>
        <w:rPr>
          <w:lang w:val="sv-SE"/>
        </w:rPr>
      </w:pPr>
      <w:r w:rsidRPr="001E07CA">
        <w:rPr>
          <w:lang w:val="sv-SE"/>
        </w:rPr>
        <w:t>I och med att effektiva tillsynsmetoder möjliggörs säkerställs en effektiv tillsyn över att kraven uppfylls.</w:t>
      </w:r>
      <w:r w:rsidR="00B95C3F" w:rsidRPr="001E07CA">
        <w:rPr>
          <w:lang w:val="sv-SE"/>
        </w:rPr>
        <w:t xml:space="preserve"> </w:t>
      </w:r>
      <w:r w:rsidR="00B2233C" w:rsidRPr="001E07CA">
        <w:rPr>
          <w:lang w:val="sv-SE"/>
        </w:rPr>
        <w:t>Best</w:t>
      </w:r>
      <w:r w:rsidR="006735D2" w:rsidRPr="001E07CA">
        <w:rPr>
          <w:lang w:val="sv-SE"/>
        </w:rPr>
        <w:t>ämmelser om tillsynen finns</w:t>
      </w:r>
      <w:r w:rsidR="00B2233C" w:rsidRPr="001E07CA">
        <w:rPr>
          <w:lang w:val="sv-SE"/>
        </w:rPr>
        <w:t xml:space="preserve"> i marknadskontrollagen</w:t>
      </w:r>
      <w:r w:rsidR="002213B4" w:rsidRPr="001E07CA">
        <w:rPr>
          <w:lang w:val="sv-SE"/>
        </w:rPr>
        <w:t>, gasanordningsförordningen och</w:t>
      </w:r>
      <w:r w:rsidR="00B2233C" w:rsidRPr="001E07CA">
        <w:rPr>
          <w:lang w:val="sv-SE"/>
        </w:rPr>
        <w:t xml:space="preserve"> i NLF-förordningen.</w:t>
      </w:r>
      <w:r w:rsidR="00B95C3F" w:rsidRPr="001E07CA">
        <w:rPr>
          <w:lang w:val="sv-SE"/>
        </w:rPr>
        <w:t xml:space="preserve"> </w:t>
      </w:r>
      <w:r w:rsidR="00B2233C" w:rsidRPr="001E07CA">
        <w:rPr>
          <w:lang w:val="sv-SE"/>
        </w:rPr>
        <w:t>Den föreslagna regleringen kommer således inte att medföra några konsekvenser av betydelse för myndigheternas nuvarande verksamhet.</w:t>
      </w:r>
    </w:p>
    <w:p w:rsidR="00B95C3F" w:rsidRPr="001E07CA" w:rsidRDefault="00B95C3F" w:rsidP="00B95C3F">
      <w:pPr>
        <w:rPr>
          <w:lang w:val="sv-SE"/>
        </w:rPr>
      </w:pPr>
    </w:p>
    <w:p w:rsidR="003F6A73" w:rsidRPr="001E07CA" w:rsidRDefault="00B2233C" w:rsidP="00B95C3F">
      <w:pPr>
        <w:rPr>
          <w:lang w:val="sv-SE"/>
        </w:rPr>
      </w:pPr>
      <w:r w:rsidRPr="001E07CA">
        <w:rPr>
          <w:lang w:val="sv-SE"/>
        </w:rPr>
        <w:t>Säkerhets- och kemikalieverket har utfört marknadskontroller i den omfattning som anges i årsplanerna.</w:t>
      </w:r>
      <w:r w:rsidR="003F6A73" w:rsidRPr="001E07CA">
        <w:rPr>
          <w:lang w:val="sv-SE"/>
        </w:rPr>
        <w:t xml:space="preserve"> </w:t>
      </w:r>
      <w:r w:rsidR="00EF3F74" w:rsidRPr="001E07CA">
        <w:rPr>
          <w:lang w:val="sv-SE"/>
        </w:rPr>
        <w:t>Inom ramen för planen har några tiotals kontrollbesök per år gjorts hos affärer som säljer gasanordningar.</w:t>
      </w:r>
      <w:r w:rsidR="003F6A73" w:rsidRPr="001E07CA">
        <w:rPr>
          <w:lang w:val="sv-SE"/>
        </w:rPr>
        <w:t xml:space="preserve"> </w:t>
      </w:r>
      <w:r w:rsidR="00EF3F74" w:rsidRPr="001E07CA">
        <w:rPr>
          <w:lang w:val="sv-SE"/>
        </w:rPr>
        <w:t>Några tillsynsmetoder inom marknadskontrollen har tillgripits årligen.</w:t>
      </w:r>
    </w:p>
    <w:p w:rsidR="00F11D3F" w:rsidRPr="001E07CA" w:rsidRDefault="00F11D3F" w:rsidP="00B95C3F">
      <w:pPr>
        <w:rPr>
          <w:lang w:val="sv-SE"/>
        </w:rPr>
      </w:pPr>
    </w:p>
    <w:p w:rsidR="00F11D3F" w:rsidRPr="001E07CA" w:rsidRDefault="00FC1083" w:rsidP="00B95C3F">
      <w:pPr>
        <w:rPr>
          <w:lang w:val="sv-SE"/>
        </w:rPr>
      </w:pPr>
      <w:r w:rsidRPr="001E07CA">
        <w:rPr>
          <w:lang w:val="sv-SE"/>
        </w:rPr>
        <w:t>Säkerhets- och kemikalieverket har deltagit i samnordiska tillsynsprojekt under flera år.</w:t>
      </w:r>
      <w:r w:rsidR="00F11D3F" w:rsidRPr="001E07CA">
        <w:rPr>
          <w:lang w:val="sv-SE"/>
        </w:rPr>
        <w:t xml:space="preserve"> </w:t>
      </w:r>
      <w:r w:rsidRPr="001E07CA">
        <w:rPr>
          <w:lang w:val="sv-SE"/>
        </w:rPr>
        <w:t>Produktsortimentet i Sverige och Norge liknar det i Finland och en del av importörerna är samma företag.</w:t>
      </w:r>
      <w:r w:rsidR="00F11D3F" w:rsidRPr="001E07CA">
        <w:rPr>
          <w:lang w:val="sv-SE"/>
        </w:rPr>
        <w:t xml:space="preserve"> </w:t>
      </w:r>
      <w:r w:rsidR="00554F0D" w:rsidRPr="001E07CA">
        <w:rPr>
          <w:lang w:val="sv-SE"/>
        </w:rPr>
        <w:t xml:space="preserve">Inom ramen för </w:t>
      </w:r>
      <w:r w:rsidR="00B355B2" w:rsidRPr="001E07CA">
        <w:rPr>
          <w:lang w:val="sv-SE"/>
        </w:rPr>
        <w:t xml:space="preserve">gasanordningarnas </w:t>
      </w:r>
      <w:r w:rsidR="00554F0D" w:rsidRPr="001E07CA">
        <w:rPr>
          <w:lang w:val="sv-SE"/>
        </w:rPr>
        <w:t>AdCo (</w:t>
      </w:r>
      <w:r w:rsidR="00B355B2" w:rsidRPr="001E07CA">
        <w:rPr>
          <w:lang w:val="sv-SE"/>
        </w:rPr>
        <w:t xml:space="preserve">samarbetsorgan för EU-medlemsstaternas marknadskontrollmyndigheter som övervakar gasanordningar) har </w:t>
      </w:r>
      <w:r w:rsidR="00286BA3" w:rsidRPr="001E07CA">
        <w:rPr>
          <w:lang w:val="sv-SE"/>
        </w:rPr>
        <w:t xml:space="preserve">det </w:t>
      </w:r>
      <w:r w:rsidR="00B355B2" w:rsidRPr="001E07CA">
        <w:rPr>
          <w:lang w:val="sv-SE"/>
        </w:rPr>
        <w:t>också inletts flera länders gemensamma kontrollprojekt som också Finland har deltagit i.</w:t>
      </w:r>
      <w:r w:rsidR="00F11D3F" w:rsidRPr="001E07CA">
        <w:rPr>
          <w:lang w:val="sv-SE"/>
        </w:rPr>
        <w:t xml:space="preserve"> </w:t>
      </w:r>
      <w:r w:rsidR="00C67E02" w:rsidRPr="001E07CA">
        <w:rPr>
          <w:lang w:val="sv-SE"/>
        </w:rPr>
        <w:t>Syftet med det internationellt samarbetet är att göra marknadskontrollen av gasanordningar ekonomisk och effektiv.</w:t>
      </w:r>
      <w:r w:rsidR="0042681A" w:rsidRPr="001E07CA">
        <w:rPr>
          <w:lang w:val="sv-SE"/>
        </w:rPr>
        <w:t xml:space="preserve"> </w:t>
      </w:r>
      <w:r w:rsidR="00C67E02" w:rsidRPr="001E07CA">
        <w:rPr>
          <w:lang w:val="sv-SE"/>
        </w:rPr>
        <w:t>Ett ytterligare syfte med samarbetet är att förenhetliga förfarandena för marknadskontroll i olika medlemsstater.</w:t>
      </w:r>
    </w:p>
    <w:p w:rsidR="003F6A73" w:rsidRPr="001E07CA" w:rsidRDefault="003F6A73" w:rsidP="00B95C3F">
      <w:pPr>
        <w:rPr>
          <w:lang w:val="sv-SE"/>
        </w:rPr>
      </w:pPr>
    </w:p>
    <w:p w:rsidR="00B95C3F" w:rsidRPr="001E07CA" w:rsidRDefault="00B66AF5" w:rsidP="00B95C3F">
      <w:pPr>
        <w:rPr>
          <w:lang w:val="sv-SE"/>
        </w:rPr>
      </w:pPr>
      <w:r w:rsidRPr="001E07CA">
        <w:rPr>
          <w:lang w:val="sv-SE"/>
        </w:rPr>
        <w:t xml:space="preserve">Installationen av gasanordningar omfattas </w:t>
      </w:r>
      <w:r w:rsidR="00C74851" w:rsidRPr="001E07CA">
        <w:rPr>
          <w:lang w:val="sv-SE"/>
        </w:rPr>
        <w:t xml:space="preserve">inte </w:t>
      </w:r>
      <w:r w:rsidRPr="001E07CA">
        <w:rPr>
          <w:lang w:val="sv-SE"/>
        </w:rPr>
        <w:t xml:space="preserve">av gasanordningsförordningens tillämpningsområde, och bestämmelser om den </w:t>
      </w:r>
      <w:r w:rsidR="00BE46EE" w:rsidRPr="001E07CA">
        <w:rPr>
          <w:lang w:val="sv-SE"/>
        </w:rPr>
        <w:t xml:space="preserve">har </w:t>
      </w:r>
      <w:r w:rsidRPr="001E07CA">
        <w:rPr>
          <w:lang w:val="sv-SE"/>
        </w:rPr>
        <w:t>utfärda</w:t>
      </w:r>
      <w:r w:rsidR="00BE46EE" w:rsidRPr="001E07CA">
        <w:rPr>
          <w:lang w:val="sv-SE"/>
        </w:rPr>
        <w:t>t</w:t>
      </w:r>
      <w:r w:rsidRPr="001E07CA">
        <w:rPr>
          <w:lang w:val="sv-SE"/>
        </w:rPr>
        <w:t>s nationellt.</w:t>
      </w:r>
      <w:r w:rsidR="00235508" w:rsidRPr="001E07CA">
        <w:rPr>
          <w:lang w:val="sv-SE"/>
        </w:rPr>
        <w:t xml:space="preserve"> </w:t>
      </w:r>
      <w:r w:rsidRPr="001E07CA">
        <w:rPr>
          <w:lang w:val="sv-SE"/>
        </w:rPr>
        <w:t xml:space="preserve">I Finland </w:t>
      </w:r>
      <w:r w:rsidR="003A44BC" w:rsidRPr="001E07CA">
        <w:rPr>
          <w:lang w:val="sv-SE"/>
        </w:rPr>
        <w:t xml:space="preserve">utgör </w:t>
      </w:r>
      <w:r w:rsidR="002213BE" w:rsidRPr="001E07CA">
        <w:rPr>
          <w:lang w:val="sv-SE"/>
        </w:rPr>
        <w:t>sådan</w:t>
      </w:r>
      <w:r w:rsidR="003A44BC" w:rsidRPr="001E07CA">
        <w:rPr>
          <w:lang w:val="sv-SE"/>
        </w:rPr>
        <w:t xml:space="preserve"> </w:t>
      </w:r>
      <w:r w:rsidRPr="001E07CA">
        <w:rPr>
          <w:lang w:val="sv-SE"/>
        </w:rPr>
        <w:t>affärs</w:t>
      </w:r>
      <w:r w:rsidR="003A44BC" w:rsidRPr="001E07CA">
        <w:rPr>
          <w:lang w:val="sv-SE"/>
        </w:rPr>
        <w:t xml:space="preserve">verksamhet som </w:t>
      </w:r>
      <w:r w:rsidR="00470759" w:rsidRPr="001E07CA">
        <w:rPr>
          <w:lang w:val="sv-SE"/>
        </w:rPr>
        <w:t>inbegriper</w:t>
      </w:r>
      <w:r w:rsidRPr="001E07CA">
        <w:rPr>
          <w:lang w:val="sv-SE"/>
        </w:rPr>
        <w:t xml:space="preserve"> installation av gasanordning</w:t>
      </w:r>
      <w:r w:rsidR="00295D47" w:rsidRPr="001E07CA">
        <w:rPr>
          <w:lang w:val="sv-SE"/>
        </w:rPr>
        <w:t>ar</w:t>
      </w:r>
      <w:r w:rsidRPr="001E07CA">
        <w:rPr>
          <w:lang w:val="sv-SE"/>
        </w:rPr>
        <w:t xml:space="preserve"> anmälningsplikt</w:t>
      </w:r>
      <w:r w:rsidR="003A44BC" w:rsidRPr="001E07CA">
        <w:rPr>
          <w:lang w:val="sv-SE"/>
        </w:rPr>
        <w:t>ig verksamhet enligt kemikaliesäkerhetslagen.</w:t>
      </w:r>
      <w:r w:rsidR="00235508" w:rsidRPr="001E07CA">
        <w:rPr>
          <w:lang w:val="sv-SE"/>
        </w:rPr>
        <w:t xml:space="preserve"> </w:t>
      </w:r>
      <w:r w:rsidR="00295D47" w:rsidRPr="001E07CA">
        <w:rPr>
          <w:lang w:val="sv-SE"/>
        </w:rPr>
        <w:t>En gasinstallationsrörelse som visat sin kompetens i enlighet med kemikaliesäkerhetslagen gör en anmälan om sin verksamhet till Säkerhets- och kemikalieverket och registrerar sig.</w:t>
      </w:r>
      <w:r w:rsidR="00235508" w:rsidRPr="001E07CA">
        <w:rPr>
          <w:lang w:val="sv-SE"/>
        </w:rPr>
        <w:t xml:space="preserve"> </w:t>
      </w:r>
      <w:r w:rsidR="005971FF" w:rsidRPr="001E07CA">
        <w:rPr>
          <w:lang w:val="sv-SE"/>
        </w:rPr>
        <w:t xml:space="preserve">Skyldigheten för en användare av </w:t>
      </w:r>
      <w:r w:rsidR="00CB6A9D" w:rsidRPr="001E07CA">
        <w:rPr>
          <w:lang w:val="sv-SE"/>
        </w:rPr>
        <w:t xml:space="preserve">en </w:t>
      </w:r>
      <w:r w:rsidR="005971FF" w:rsidRPr="001E07CA">
        <w:rPr>
          <w:lang w:val="sv-SE"/>
        </w:rPr>
        <w:t>g</w:t>
      </w:r>
      <w:r w:rsidR="00866787" w:rsidRPr="001E07CA">
        <w:rPr>
          <w:lang w:val="sv-SE"/>
        </w:rPr>
        <w:t>asanordning att anlita behörig</w:t>
      </w:r>
      <w:r w:rsidR="005971FF" w:rsidRPr="001E07CA">
        <w:rPr>
          <w:lang w:val="sv-SE"/>
        </w:rPr>
        <w:t xml:space="preserve"> gasinstallationsrörelse för andra installationer än de allra enklaste som är tillåtna för konsumenter bidrar för sin del till användningen av </w:t>
      </w:r>
      <w:r w:rsidR="00BA0AA0" w:rsidRPr="001E07CA">
        <w:rPr>
          <w:lang w:val="sv-SE"/>
        </w:rPr>
        <w:t xml:space="preserve">sådana </w:t>
      </w:r>
      <w:r w:rsidR="005971FF" w:rsidRPr="001E07CA">
        <w:rPr>
          <w:lang w:val="sv-SE"/>
        </w:rPr>
        <w:t>gasanordningar som överensstämmer med kraven.</w:t>
      </w:r>
    </w:p>
    <w:p w:rsidR="00B95C3F" w:rsidRPr="001E07CA" w:rsidRDefault="00B95C3F" w:rsidP="00B95C3F">
      <w:pPr>
        <w:rPr>
          <w:lang w:val="sv-SE"/>
        </w:rPr>
      </w:pPr>
    </w:p>
    <w:p w:rsidR="003D549C" w:rsidRDefault="003D549C" w:rsidP="00364F10">
      <w:pPr>
        <w:rPr>
          <w:b/>
          <w:lang w:val="sv-SE"/>
        </w:rPr>
      </w:pPr>
    </w:p>
    <w:p w:rsidR="00364F10" w:rsidRPr="001E07CA" w:rsidRDefault="005971FF" w:rsidP="00364F10">
      <w:pPr>
        <w:rPr>
          <w:b/>
          <w:lang w:val="sv-SE"/>
        </w:rPr>
      </w:pPr>
      <w:r w:rsidRPr="001E07CA">
        <w:rPr>
          <w:b/>
          <w:lang w:val="sv-SE"/>
        </w:rPr>
        <w:t>4 Beredningen av propositionen</w:t>
      </w:r>
    </w:p>
    <w:p w:rsidR="00364F10" w:rsidRPr="001E07CA" w:rsidRDefault="00364F10" w:rsidP="00364F10">
      <w:pPr>
        <w:rPr>
          <w:b/>
          <w:lang w:val="sv-SE"/>
        </w:rPr>
      </w:pPr>
    </w:p>
    <w:p w:rsidR="00364F10" w:rsidRPr="001E07CA" w:rsidRDefault="002B6274" w:rsidP="00364F10">
      <w:pPr>
        <w:rPr>
          <w:lang w:val="sv-SE"/>
        </w:rPr>
      </w:pPr>
      <w:r w:rsidRPr="001E07CA">
        <w:rPr>
          <w:lang w:val="sv-SE"/>
        </w:rPr>
        <w:t>Propositionen har beretts som tjänsteuppdrag vid arbets- och näringsministeriet.</w:t>
      </w:r>
    </w:p>
    <w:p w:rsidR="00364F10" w:rsidRPr="001E07CA" w:rsidRDefault="00364F10" w:rsidP="00364F10">
      <w:pPr>
        <w:rPr>
          <w:lang w:val="sv-SE"/>
        </w:rPr>
      </w:pPr>
    </w:p>
    <w:p w:rsidR="004B204D" w:rsidRPr="001E07CA" w:rsidRDefault="002B6274" w:rsidP="00364F10">
      <w:pPr>
        <w:rPr>
          <w:lang w:val="sv-SE"/>
        </w:rPr>
      </w:pPr>
      <w:r w:rsidRPr="001E07CA">
        <w:rPr>
          <w:lang w:val="sv-SE"/>
        </w:rPr>
        <w:t>Propositionen har behandlats i både delegationen för säkerhetsteknik och dess gassektion, vars uppgift är bl.a. att främja den tekniska säkerheten samt att bistå vid beredningen av bestämmelser och anvisningar om teknisk säkerhet.</w:t>
      </w:r>
    </w:p>
    <w:p w:rsidR="00872AC1" w:rsidRPr="001E07CA" w:rsidRDefault="00872AC1" w:rsidP="00364F10">
      <w:pPr>
        <w:rPr>
          <w:lang w:val="sv-SE"/>
        </w:rPr>
      </w:pPr>
    </w:p>
    <w:p w:rsidR="00F00CAF" w:rsidRPr="001E07CA" w:rsidRDefault="002B6274" w:rsidP="00364F10">
      <w:pPr>
        <w:rPr>
          <w:lang w:val="sv-SE"/>
        </w:rPr>
      </w:pPr>
      <w:r w:rsidRPr="001E07CA">
        <w:rPr>
          <w:lang w:val="sv-SE"/>
        </w:rPr>
        <w:t>I delegationen finns representanter för de administrativa sektorer som är centrala ur den tekniska säkerhetens synpunkt samt för näringslivet, arbetsgivarna, arbetstagarna och konsumenterna samt för kontroll-, provnings-, forsknings- oc</w:t>
      </w:r>
      <w:r w:rsidR="0048647D" w:rsidRPr="001E07CA">
        <w:rPr>
          <w:lang w:val="sv-SE"/>
        </w:rPr>
        <w:t>h standardiseringsverksamheten.</w:t>
      </w:r>
      <w:r w:rsidR="00364F10" w:rsidRPr="001E07CA">
        <w:rPr>
          <w:lang w:val="sv-SE"/>
        </w:rPr>
        <w:t xml:space="preserve"> </w:t>
      </w:r>
    </w:p>
    <w:p w:rsidR="00F00CAF" w:rsidRPr="001E07CA" w:rsidRDefault="00F00CAF" w:rsidP="00364F10">
      <w:pPr>
        <w:rPr>
          <w:lang w:val="sv-SE"/>
        </w:rPr>
      </w:pPr>
    </w:p>
    <w:p w:rsidR="00364F10" w:rsidRPr="001E07CA" w:rsidRDefault="00364F10" w:rsidP="00364F10">
      <w:pPr>
        <w:rPr>
          <w:lang w:val="sv-SE"/>
        </w:rPr>
      </w:pPr>
    </w:p>
    <w:p w:rsidR="00364F10" w:rsidRPr="001E07CA" w:rsidRDefault="002B6274" w:rsidP="00364F10">
      <w:pPr>
        <w:rPr>
          <w:lang w:val="sv-SE"/>
        </w:rPr>
      </w:pPr>
      <w:r w:rsidRPr="001E07CA">
        <w:rPr>
          <w:lang w:val="sv-SE"/>
        </w:rPr>
        <w:t>Utlåtande över propositionsutkastet har begärts av …..</w:t>
      </w:r>
    </w:p>
    <w:p w:rsidR="00364F10" w:rsidRPr="001E07CA" w:rsidRDefault="00364F10" w:rsidP="00364F10">
      <w:pPr>
        <w:rPr>
          <w:b/>
          <w:lang w:val="sv-SE"/>
        </w:rPr>
      </w:pPr>
    </w:p>
    <w:p w:rsidR="00364F10" w:rsidRPr="001E07CA" w:rsidRDefault="00C405F4" w:rsidP="00364F10">
      <w:pPr>
        <w:rPr>
          <w:lang w:val="sv-SE"/>
        </w:rPr>
      </w:pPr>
      <w:r w:rsidRPr="001E07CA">
        <w:rPr>
          <w:lang w:val="sv-SE"/>
        </w:rPr>
        <w:t xml:space="preserve">Propositionen har </w:t>
      </w:r>
      <w:r w:rsidR="002B6274" w:rsidRPr="001E07CA">
        <w:rPr>
          <w:lang w:val="sv-SE"/>
        </w:rPr>
        <w:t>granskats vid justitieministeriets laggranskningsenhet</w:t>
      </w:r>
      <w:r w:rsidRPr="001E07CA">
        <w:rPr>
          <w:lang w:val="sv-SE"/>
        </w:rPr>
        <w:t>.</w:t>
      </w:r>
    </w:p>
    <w:p w:rsidR="00C405F4" w:rsidRPr="001E07CA" w:rsidRDefault="00C405F4">
      <w:pPr>
        <w:spacing w:after="200" w:line="276" w:lineRule="auto"/>
        <w:rPr>
          <w:b/>
          <w:lang w:val="sv-SE"/>
        </w:rPr>
      </w:pPr>
      <w:r w:rsidRPr="001E07CA">
        <w:rPr>
          <w:b/>
          <w:lang w:val="sv-SE"/>
        </w:rPr>
        <w:br w:type="page"/>
      </w:r>
    </w:p>
    <w:p w:rsidR="00364F10" w:rsidRPr="001E07CA" w:rsidRDefault="00364F10" w:rsidP="00364F10">
      <w:pPr>
        <w:rPr>
          <w:b/>
          <w:lang w:val="sv-SE"/>
        </w:rPr>
      </w:pPr>
    </w:p>
    <w:p w:rsidR="00364F10" w:rsidRPr="001E07CA" w:rsidRDefault="00C630BC" w:rsidP="00364F10">
      <w:pPr>
        <w:rPr>
          <w:b/>
          <w:lang w:val="sv-SE"/>
        </w:rPr>
      </w:pPr>
      <w:r w:rsidRPr="001E07CA">
        <w:rPr>
          <w:b/>
          <w:lang w:val="sv-SE"/>
        </w:rPr>
        <w:t>DETALJMOTIVERING</w:t>
      </w:r>
    </w:p>
    <w:p w:rsidR="00364F10" w:rsidRPr="001E07CA" w:rsidRDefault="00364F10" w:rsidP="00364F10">
      <w:pPr>
        <w:rPr>
          <w:b/>
          <w:lang w:val="sv-SE"/>
        </w:rPr>
      </w:pPr>
    </w:p>
    <w:p w:rsidR="00364F10" w:rsidRPr="001E07CA" w:rsidRDefault="00C630BC" w:rsidP="00364F10">
      <w:pPr>
        <w:rPr>
          <w:b/>
          <w:lang w:val="sv-SE"/>
        </w:rPr>
      </w:pPr>
      <w:r w:rsidRPr="001E07CA">
        <w:rPr>
          <w:b/>
          <w:lang w:val="sv-SE"/>
        </w:rPr>
        <w:t>1 Lagförslag</w:t>
      </w:r>
    </w:p>
    <w:p w:rsidR="00D957FD" w:rsidRPr="001E07CA" w:rsidRDefault="00D957FD" w:rsidP="00364F10">
      <w:pPr>
        <w:rPr>
          <w:b/>
          <w:lang w:val="sv-SE"/>
        </w:rPr>
      </w:pPr>
    </w:p>
    <w:p w:rsidR="00D957FD" w:rsidRPr="001E07CA" w:rsidRDefault="00C630BC" w:rsidP="00D957FD">
      <w:pPr>
        <w:rPr>
          <w:b/>
          <w:lang w:val="sv-SE"/>
        </w:rPr>
      </w:pPr>
      <w:r w:rsidRPr="001E07CA">
        <w:rPr>
          <w:b/>
          <w:lang w:val="sv-SE"/>
        </w:rPr>
        <w:t>1.1 Gasanordningslag</w:t>
      </w:r>
      <w:r w:rsidR="00D957FD" w:rsidRPr="001E07CA" w:rsidDel="009A3656">
        <w:rPr>
          <w:b/>
          <w:lang w:val="sv-SE"/>
        </w:rPr>
        <w:t xml:space="preserve"> </w:t>
      </w:r>
    </w:p>
    <w:p w:rsidR="00D957FD" w:rsidRPr="001E07CA" w:rsidRDefault="00D957FD" w:rsidP="00D957FD">
      <w:pPr>
        <w:rPr>
          <w:lang w:val="sv-SE"/>
        </w:rPr>
      </w:pPr>
    </w:p>
    <w:p w:rsidR="00D957FD" w:rsidRPr="001E07CA" w:rsidRDefault="00616E72" w:rsidP="00D957FD">
      <w:pPr>
        <w:rPr>
          <w:lang w:val="sv-SE"/>
        </w:rPr>
      </w:pPr>
      <w:r w:rsidRPr="001E07CA">
        <w:rPr>
          <w:lang w:val="sv-SE"/>
        </w:rPr>
        <w:t>1 kap. Allmänna bestämmelser</w:t>
      </w:r>
    </w:p>
    <w:p w:rsidR="00D957FD" w:rsidRPr="001E07CA" w:rsidRDefault="00D957FD" w:rsidP="00D957FD">
      <w:pPr>
        <w:rPr>
          <w:lang w:val="sv-SE"/>
        </w:rPr>
      </w:pPr>
    </w:p>
    <w:p w:rsidR="00B04CEE" w:rsidRPr="001E07CA" w:rsidRDefault="00BD6B80" w:rsidP="00D957FD">
      <w:pPr>
        <w:rPr>
          <w:lang w:val="sv-SE"/>
        </w:rPr>
      </w:pPr>
      <w:r w:rsidRPr="001E07CA">
        <w:rPr>
          <w:b/>
          <w:lang w:val="sv-SE"/>
        </w:rPr>
        <w:t>1</w:t>
      </w:r>
      <w:r w:rsidR="00350240" w:rsidRPr="001E07CA">
        <w:rPr>
          <w:b/>
          <w:lang w:val="sv-SE"/>
        </w:rPr>
        <w:t xml:space="preserve"> §</w:t>
      </w:r>
      <w:r w:rsidR="00900619" w:rsidRPr="001E07CA">
        <w:rPr>
          <w:b/>
          <w:lang w:val="sv-SE"/>
        </w:rPr>
        <w:t>.</w:t>
      </w:r>
      <w:r w:rsidR="00350240" w:rsidRPr="001E07CA">
        <w:rPr>
          <w:lang w:val="sv-SE"/>
        </w:rPr>
        <w:t xml:space="preserve"> </w:t>
      </w:r>
      <w:r w:rsidR="00616E72" w:rsidRPr="001E07CA">
        <w:rPr>
          <w:i/>
          <w:lang w:val="sv-SE"/>
        </w:rPr>
        <w:t>Tillämpningsområde.</w:t>
      </w:r>
      <w:r w:rsidR="00350240" w:rsidRPr="001E07CA">
        <w:rPr>
          <w:i/>
          <w:lang w:val="sv-SE"/>
        </w:rPr>
        <w:t xml:space="preserve"> </w:t>
      </w:r>
      <w:r w:rsidR="00973185" w:rsidRPr="001E07CA">
        <w:rPr>
          <w:lang w:val="sv-SE"/>
        </w:rPr>
        <w:t>Lagen</w:t>
      </w:r>
      <w:r w:rsidR="00616E72" w:rsidRPr="001E07CA">
        <w:rPr>
          <w:lang w:val="sv-SE"/>
        </w:rPr>
        <w:t xml:space="preserve"> ska tillämpas på tillsynen över efterlevnaden av Europaparlamentets och rådets förordning (EU) 2016/426 av den 9 mars 2016 om anordningar för förbränning av gasformiga bränslen och om upphävande av direktiv 2009/142/EG i Finland.</w:t>
      </w:r>
      <w:r w:rsidR="00350240" w:rsidRPr="001E07CA">
        <w:rPr>
          <w:lang w:val="sv-SE"/>
        </w:rPr>
        <w:t xml:space="preserve"> </w:t>
      </w:r>
      <w:r w:rsidR="00616E72" w:rsidRPr="001E07CA">
        <w:rPr>
          <w:lang w:val="sv-SE"/>
        </w:rPr>
        <w:t>I förordningen finns bes</w:t>
      </w:r>
      <w:r w:rsidR="0004309C" w:rsidRPr="001E07CA">
        <w:rPr>
          <w:lang w:val="sv-SE"/>
        </w:rPr>
        <w:t>tämmelser om säkerhetskraven på</w:t>
      </w:r>
      <w:r w:rsidR="00616E72" w:rsidRPr="001E07CA">
        <w:rPr>
          <w:lang w:val="sv-SE"/>
        </w:rPr>
        <w:t xml:space="preserve"> gasanordningar, om visande av </w:t>
      </w:r>
      <w:r w:rsidR="002D62BA" w:rsidRPr="001E07CA">
        <w:rPr>
          <w:lang w:val="sv-SE"/>
        </w:rPr>
        <w:t xml:space="preserve">gasanordningarnas </w:t>
      </w:r>
      <w:r w:rsidR="00616E72" w:rsidRPr="001E07CA">
        <w:rPr>
          <w:lang w:val="sv-SE"/>
        </w:rPr>
        <w:t xml:space="preserve">överensstämmelse med kraven, om </w:t>
      </w:r>
      <w:r w:rsidR="002D62BA" w:rsidRPr="001E07CA">
        <w:rPr>
          <w:lang w:val="sv-SE"/>
        </w:rPr>
        <w:t>märkningar på och anvisningar för</w:t>
      </w:r>
      <w:r w:rsidR="00616E72" w:rsidRPr="001E07CA">
        <w:rPr>
          <w:lang w:val="sv-SE"/>
        </w:rPr>
        <w:t xml:space="preserve"> gasanordningar samt om marknadskontrollen av gasanordningar.</w:t>
      </w:r>
      <w:r w:rsidR="00350240" w:rsidRPr="001E07CA">
        <w:rPr>
          <w:lang w:val="sv-SE"/>
        </w:rPr>
        <w:t xml:space="preserve"> </w:t>
      </w:r>
    </w:p>
    <w:p w:rsidR="00B04CEE" w:rsidRPr="001E07CA" w:rsidRDefault="00B04CEE" w:rsidP="00D957FD">
      <w:pPr>
        <w:rPr>
          <w:lang w:val="sv-SE"/>
        </w:rPr>
      </w:pPr>
    </w:p>
    <w:p w:rsidR="00B2726E" w:rsidRPr="001E07CA" w:rsidRDefault="00AE02A3" w:rsidP="00D957FD">
      <w:pPr>
        <w:rPr>
          <w:lang w:val="sv-SE"/>
        </w:rPr>
      </w:pPr>
      <w:r w:rsidRPr="001E07CA">
        <w:rPr>
          <w:lang w:val="sv-SE"/>
        </w:rPr>
        <w:t>Lagen</w:t>
      </w:r>
      <w:r w:rsidR="00C602CF" w:rsidRPr="001E07CA">
        <w:rPr>
          <w:lang w:val="sv-SE"/>
        </w:rPr>
        <w:t xml:space="preserve"> ska tillämpas också </w:t>
      </w:r>
      <w:r w:rsidR="00D724C8" w:rsidRPr="001E07CA">
        <w:rPr>
          <w:lang w:val="sv-SE"/>
        </w:rPr>
        <w:t>på sådan utrustning</w:t>
      </w:r>
      <w:r w:rsidR="00C602CF" w:rsidRPr="001E07CA">
        <w:rPr>
          <w:lang w:val="sv-SE"/>
        </w:rPr>
        <w:t xml:space="preserve"> i anslutning ti</w:t>
      </w:r>
      <w:r w:rsidR="00E44E86" w:rsidRPr="001E07CA">
        <w:rPr>
          <w:lang w:val="sv-SE"/>
        </w:rPr>
        <w:t>ll gasanordningar som är avsedd</w:t>
      </w:r>
      <w:r w:rsidR="004D6543" w:rsidRPr="001E07CA">
        <w:rPr>
          <w:lang w:val="sv-SE"/>
        </w:rPr>
        <w:t>a</w:t>
      </w:r>
      <w:r w:rsidR="00C602CF" w:rsidRPr="001E07CA">
        <w:rPr>
          <w:lang w:val="sv-SE"/>
        </w:rPr>
        <w:t xml:space="preserve"> </w:t>
      </w:r>
      <w:r w:rsidR="0004237A" w:rsidRPr="001E07CA">
        <w:rPr>
          <w:lang w:val="sv-SE"/>
        </w:rPr>
        <w:t>att användas</w:t>
      </w:r>
      <w:r w:rsidR="00C602CF" w:rsidRPr="001E07CA">
        <w:rPr>
          <w:lang w:val="sv-SE"/>
        </w:rPr>
        <w:t xml:space="preserve"> nationell</w:t>
      </w:r>
      <w:r w:rsidR="0004237A" w:rsidRPr="001E07CA">
        <w:rPr>
          <w:lang w:val="sv-SE"/>
        </w:rPr>
        <w:t>t a</w:t>
      </w:r>
      <w:r w:rsidR="00C602CF" w:rsidRPr="001E07CA">
        <w:rPr>
          <w:lang w:val="sv-SE"/>
        </w:rPr>
        <w:t>v konsumenter och vars överensstämmelse med kraven inte visas enligt gasanordningsförordningen.</w:t>
      </w:r>
      <w:r w:rsidR="00B04CEE" w:rsidRPr="001E07CA">
        <w:rPr>
          <w:lang w:val="sv-SE"/>
        </w:rPr>
        <w:t xml:space="preserve"> </w:t>
      </w:r>
      <w:r w:rsidR="00F63B49" w:rsidRPr="001E07CA">
        <w:rPr>
          <w:lang w:val="sv-SE"/>
        </w:rPr>
        <w:t>Till sådan utrustning hör</w:t>
      </w:r>
      <w:r w:rsidR="00C81F57" w:rsidRPr="001E07CA">
        <w:rPr>
          <w:lang w:val="sv-SE"/>
        </w:rPr>
        <w:t xml:space="preserve"> bl.a.</w:t>
      </w:r>
      <w:r w:rsidR="00C602CF" w:rsidRPr="001E07CA">
        <w:rPr>
          <w:lang w:val="sv-SE"/>
        </w:rPr>
        <w:t xml:space="preserve"> fla</w:t>
      </w:r>
      <w:r w:rsidR="00C81F57" w:rsidRPr="001E07CA">
        <w:rPr>
          <w:lang w:val="sv-SE"/>
        </w:rPr>
        <w:t>sk</w:t>
      </w:r>
      <w:r w:rsidR="00C602CF" w:rsidRPr="001E07CA">
        <w:rPr>
          <w:lang w:val="sv-SE"/>
        </w:rPr>
        <w:t xml:space="preserve">ventil och gasslang med hjälp </w:t>
      </w:r>
      <w:r w:rsidR="007A4BD8" w:rsidRPr="001E07CA">
        <w:rPr>
          <w:lang w:val="sv-SE"/>
        </w:rPr>
        <w:t>av vilka en gasanordning ansluts</w:t>
      </w:r>
      <w:r w:rsidR="00C602CF" w:rsidRPr="001E07CA">
        <w:rPr>
          <w:lang w:val="sv-SE"/>
        </w:rPr>
        <w:t xml:space="preserve"> till en gasflaska.</w:t>
      </w:r>
      <w:r w:rsidR="00B04CEE" w:rsidRPr="001E07CA">
        <w:rPr>
          <w:lang w:val="sv-SE"/>
        </w:rPr>
        <w:t xml:space="preserve"> </w:t>
      </w:r>
      <w:r w:rsidR="00B44F8F" w:rsidRPr="001E07CA">
        <w:rPr>
          <w:lang w:val="sv-SE"/>
        </w:rPr>
        <w:t>Dylik utrustning</w:t>
      </w:r>
      <w:r w:rsidR="00D21CF1" w:rsidRPr="001E07CA">
        <w:rPr>
          <w:lang w:val="sv-SE"/>
        </w:rPr>
        <w:t xml:space="preserve"> kan utgöra en del av en CE-märkt gasanordning</w:t>
      </w:r>
      <w:r w:rsidR="00B44F8F" w:rsidRPr="001E07CA">
        <w:rPr>
          <w:lang w:val="sv-SE"/>
        </w:rPr>
        <w:t>, om den</w:t>
      </w:r>
      <w:r w:rsidR="00610A39" w:rsidRPr="001E07CA">
        <w:rPr>
          <w:lang w:val="sv-SE"/>
        </w:rPr>
        <w:t xml:space="preserve"> </w:t>
      </w:r>
      <w:r w:rsidR="002468A4" w:rsidRPr="001E07CA">
        <w:rPr>
          <w:lang w:val="sv-SE"/>
        </w:rPr>
        <w:t xml:space="preserve">vid bedömningen av överensstämmelse med kraven </w:t>
      </w:r>
      <w:r w:rsidR="00610A39" w:rsidRPr="001E07CA">
        <w:rPr>
          <w:lang w:val="sv-SE"/>
        </w:rPr>
        <w:t>har besiktigats uttrycklig</w:t>
      </w:r>
      <w:r w:rsidR="002468A4" w:rsidRPr="001E07CA">
        <w:rPr>
          <w:lang w:val="sv-SE"/>
        </w:rPr>
        <w:t>en som en del av gasanordningen</w:t>
      </w:r>
      <w:r w:rsidR="00610A39" w:rsidRPr="001E07CA">
        <w:rPr>
          <w:lang w:val="sv-SE"/>
        </w:rPr>
        <w:t>.</w:t>
      </w:r>
      <w:r w:rsidR="00B04CEE" w:rsidRPr="001E07CA">
        <w:rPr>
          <w:lang w:val="sv-SE"/>
        </w:rPr>
        <w:t xml:space="preserve"> </w:t>
      </w:r>
      <w:r w:rsidR="00614C5B" w:rsidRPr="001E07CA">
        <w:rPr>
          <w:lang w:val="sv-SE"/>
        </w:rPr>
        <w:t>Utrustningen</w:t>
      </w:r>
      <w:r w:rsidR="00102142" w:rsidRPr="001E07CA">
        <w:rPr>
          <w:lang w:val="sv-SE"/>
        </w:rPr>
        <w:t xml:space="preserve"> av denna typ</w:t>
      </w:r>
      <w:r w:rsidR="002468A4" w:rsidRPr="001E07CA">
        <w:rPr>
          <w:lang w:val="sv-SE"/>
        </w:rPr>
        <w:t xml:space="preserve"> </w:t>
      </w:r>
      <w:r w:rsidR="00614C5B" w:rsidRPr="001E07CA">
        <w:rPr>
          <w:lang w:val="sv-SE"/>
        </w:rPr>
        <w:t>slits dock vid användning och</w:t>
      </w:r>
      <w:r w:rsidR="00607296" w:rsidRPr="001E07CA">
        <w:rPr>
          <w:lang w:val="sv-SE"/>
        </w:rPr>
        <w:t xml:space="preserve"> behöver bytas ut mot ny</w:t>
      </w:r>
      <w:r w:rsidR="002468A4" w:rsidRPr="001E07CA">
        <w:rPr>
          <w:lang w:val="sv-SE"/>
        </w:rPr>
        <w:t xml:space="preserve"> då och då.</w:t>
      </w:r>
      <w:r w:rsidR="00B04CEE" w:rsidRPr="001E07CA">
        <w:rPr>
          <w:lang w:val="sv-SE"/>
        </w:rPr>
        <w:t xml:space="preserve"> </w:t>
      </w:r>
      <w:r w:rsidR="004758D9" w:rsidRPr="001E07CA">
        <w:rPr>
          <w:lang w:val="sv-SE"/>
        </w:rPr>
        <w:t xml:space="preserve">Eftersom </w:t>
      </w:r>
      <w:r w:rsidR="00642388" w:rsidRPr="001E07CA">
        <w:rPr>
          <w:lang w:val="sv-SE"/>
        </w:rPr>
        <w:t>utrustningens</w:t>
      </w:r>
      <w:r w:rsidR="00A7573C" w:rsidRPr="001E07CA">
        <w:rPr>
          <w:lang w:val="sv-SE"/>
        </w:rPr>
        <w:t xml:space="preserve"> överensstämmelse med kraven inte kan bedömas skilt genom iakttagande av förfaranden enligt gasanordningsförordningen, är det ur produktsäkerhetssynvinkel och med tanke på tillsynen över den ändamålsenligt att nationella be</w:t>
      </w:r>
      <w:r w:rsidR="0023467D" w:rsidRPr="001E07CA">
        <w:rPr>
          <w:lang w:val="sv-SE"/>
        </w:rPr>
        <w:t xml:space="preserve">stämmelser </w:t>
      </w:r>
      <w:r w:rsidR="00F076FC" w:rsidRPr="001E07CA">
        <w:rPr>
          <w:lang w:val="sv-SE"/>
        </w:rPr>
        <w:t>utfärdas om den</w:t>
      </w:r>
      <w:r w:rsidR="00F03D54" w:rsidRPr="001E07CA">
        <w:rPr>
          <w:lang w:val="sv-SE"/>
        </w:rPr>
        <w:t>.</w:t>
      </w:r>
      <w:r w:rsidR="00B04CEE" w:rsidRPr="001E07CA">
        <w:rPr>
          <w:lang w:val="sv-SE"/>
        </w:rPr>
        <w:t xml:space="preserve"> </w:t>
      </w:r>
      <w:r w:rsidR="00AB69A8" w:rsidRPr="001E07CA">
        <w:rPr>
          <w:lang w:val="sv-SE"/>
        </w:rPr>
        <w:t>I</w:t>
      </w:r>
      <w:r w:rsidR="007769FC" w:rsidRPr="001E07CA">
        <w:rPr>
          <w:lang w:val="sv-SE"/>
        </w:rPr>
        <w:t xml:space="preserve"> </w:t>
      </w:r>
      <w:r w:rsidR="005A7BBD" w:rsidRPr="001E07CA">
        <w:rPr>
          <w:lang w:val="sv-SE"/>
        </w:rPr>
        <w:t>ifråga om säkerhet</w:t>
      </w:r>
      <w:r w:rsidR="00A7573C" w:rsidRPr="001E07CA">
        <w:rPr>
          <w:lang w:val="sv-SE"/>
        </w:rPr>
        <w:t xml:space="preserve"> </w:t>
      </w:r>
      <w:r w:rsidR="00AB69A8" w:rsidRPr="001E07CA">
        <w:rPr>
          <w:lang w:val="sv-SE"/>
        </w:rPr>
        <w:t xml:space="preserve">ska utrustningen </w:t>
      </w:r>
      <w:r w:rsidR="00A7573C" w:rsidRPr="001E07CA">
        <w:rPr>
          <w:lang w:val="sv-SE"/>
        </w:rPr>
        <w:t>uppfylla kraven i en nationell eller europe</w:t>
      </w:r>
      <w:r w:rsidR="00E738D4" w:rsidRPr="001E07CA">
        <w:rPr>
          <w:lang w:val="sv-SE"/>
        </w:rPr>
        <w:t>isk standard som beskriver de</w:t>
      </w:r>
      <w:r w:rsidR="006270DF" w:rsidRPr="001E07CA">
        <w:rPr>
          <w:lang w:val="sv-SE"/>
        </w:rPr>
        <w:t>n</w:t>
      </w:r>
      <w:r w:rsidR="00A7573C" w:rsidRPr="001E07CA">
        <w:rPr>
          <w:lang w:val="sv-SE"/>
        </w:rPr>
        <w:t xml:space="preserve"> och dessutom lämpa sig för användning i de tidvis kalla förhållanden som råder i Finland.</w:t>
      </w:r>
      <w:r w:rsidR="00345BE3" w:rsidRPr="001E07CA">
        <w:rPr>
          <w:lang w:val="sv-SE"/>
        </w:rPr>
        <w:t xml:space="preserve"> </w:t>
      </w:r>
      <w:r w:rsidR="00A7573C" w:rsidRPr="001E07CA">
        <w:rPr>
          <w:lang w:val="sv-SE"/>
        </w:rPr>
        <w:t>Me</w:t>
      </w:r>
      <w:r w:rsidR="001614D2" w:rsidRPr="001E07CA">
        <w:rPr>
          <w:lang w:val="sv-SE"/>
        </w:rPr>
        <w:t xml:space="preserve">d stöd av paragrafens 2 mom. har tillsynsmyndigheten </w:t>
      </w:r>
      <w:r w:rsidR="00A7573C" w:rsidRPr="001E07CA">
        <w:rPr>
          <w:lang w:val="sv-SE"/>
        </w:rPr>
        <w:t>möjlighet att ingripa mot försäljni</w:t>
      </w:r>
      <w:r w:rsidR="00355FA4" w:rsidRPr="001E07CA">
        <w:rPr>
          <w:lang w:val="sv-SE"/>
        </w:rPr>
        <w:t>ngen av sådan utrustning</w:t>
      </w:r>
      <w:r w:rsidR="00A7573C" w:rsidRPr="001E07CA">
        <w:rPr>
          <w:lang w:val="sv-SE"/>
        </w:rPr>
        <w:t xml:space="preserve"> </w:t>
      </w:r>
      <w:r w:rsidR="001614D2" w:rsidRPr="001E07CA">
        <w:rPr>
          <w:lang w:val="sv-SE"/>
        </w:rPr>
        <w:t xml:space="preserve">i Finland </w:t>
      </w:r>
      <w:r w:rsidR="00A7573C" w:rsidRPr="001E07CA">
        <w:rPr>
          <w:lang w:val="sv-SE"/>
        </w:rPr>
        <w:t>som inte överensstämmer med kraven.</w:t>
      </w:r>
    </w:p>
    <w:p w:rsidR="00B2726E" w:rsidRPr="001E07CA" w:rsidRDefault="00B2726E" w:rsidP="00D957FD">
      <w:pPr>
        <w:rPr>
          <w:lang w:val="sv-SE"/>
        </w:rPr>
      </w:pPr>
    </w:p>
    <w:p w:rsidR="00345BE3" w:rsidRPr="001E07CA" w:rsidRDefault="00815EE4" w:rsidP="00D957FD">
      <w:pPr>
        <w:rPr>
          <w:lang w:val="sv-SE"/>
        </w:rPr>
      </w:pPr>
      <w:r w:rsidRPr="001E07CA">
        <w:rPr>
          <w:lang w:val="sv-SE"/>
        </w:rPr>
        <w:t xml:space="preserve">Gasanordningsförordningen tillämpas inte på anordningar som förbränner gas </w:t>
      </w:r>
      <w:r w:rsidR="00272B31" w:rsidRPr="001E07CA">
        <w:rPr>
          <w:lang w:val="sv-SE"/>
        </w:rPr>
        <w:t xml:space="preserve">inom industriella processer eller </w:t>
      </w:r>
      <w:r w:rsidRPr="001E07CA">
        <w:rPr>
          <w:lang w:val="sv-SE"/>
        </w:rPr>
        <w:t>energiproduktionen.</w:t>
      </w:r>
      <w:r w:rsidR="00B2726E" w:rsidRPr="001E07CA">
        <w:rPr>
          <w:lang w:val="sv-SE"/>
        </w:rPr>
        <w:t xml:space="preserve"> </w:t>
      </w:r>
      <w:r w:rsidRPr="001E07CA">
        <w:rPr>
          <w:lang w:val="sv-SE"/>
        </w:rPr>
        <w:t>Säkerheten hos dylika anordningar övervakas med stöd av kemikaliesäkerhetslagen och lagen om tryckbärande anordningar (1144/2016).</w:t>
      </w:r>
    </w:p>
    <w:p w:rsidR="00345BE3" w:rsidRPr="001E07CA" w:rsidRDefault="00345BE3" w:rsidP="00D957FD">
      <w:pPr>
        <w:rPr>
          <w:lang w:val="sv-SE"/>
        </w:rPr>
      </w:pPr>
    </w:p>
    <w:p w:rsidR="00D957FD" w:rsidRPr="001E07CA" w:rsidRDefault="00815EE4" w:rsidP="00D957FD">
      <w:pPr>
        <w:rPr>
          <w:lang w:val="sv-SE"/>
        </w:rPr>
      </w:pPr>
      <w:r w:rsidRPr="001E07CA">
        <w:rPr>
          <w:lang w:val="sv-SE"/>
        </w:rPr>
        <w:t xml:space="preserve">Bestämmelser om installationen av gasanordningar eller installatörens behörighet ingår inte i </w:t>
      </w:r>
      <w:r w:rsidR="0057208E" w:rsidRPr="001E07CA">
        <w:rPr>
          <w:lang w:val="sv-SE"/>
        </w:rPr>
        <w:t xml:space="preserve">gasanordningsförordningen och inte heller </w:t>
      </w:r>
      <w:r w:rsidRPr="001E07CA">
        <w:rPr>
          <w:lang w:val="sv-SE"/>
        </w:rPr>
        <w:t>i denna lag.</w:t>
      </w:r>
      <w:r w:rsidR="00166AC4" w:rsidRPr="001E07CA">
        <w:rPr>
          <w:lang w:val="sv-SE"/>
        </w:rPr>
        <w:t xml:space="preserve"> </w:t>
      </w:r>
      <w:r w:rsidR="00A06A7F" w:rsidRPr="001E07CA">
        <w:rPr>
          <w:lang w:val="sv-SE"/>
        </w:rPr>
        <w:t>Om dessa saker föreskrivs</w:t>
      </w:r>
      <w:r w:rsidRPr="001E07CA">
        <w:rPr>
          <w:lang w:val="sv-SE"/>
        </w:rPr>
        <w:t xml:space="preserve"> nationellt genom kemikaliesäkerhetslagens bestämmelser.</w:t>
      </w:r>
    </w:p>
    <w:p w:rsidR="00350240" w:rsidRPr="001E07CA" w:rsidRDefault="00350240" w:rsidP="00D957FD">
      <w:pPr>
        <w:rPr>
          <w:lang w:val="sv-SE"/>
        </w:rPr>
      </w:pPr>
    </w:p>
    <w:p w:rsidR="00D957FD" w:rsidRPr="001E07CA" w:rsidRDefault="00BD6B80" w:rsidP="00D957FD">
      <w:pPr>
        <w:rPr>
          <w:lang w:val="sv-SE"/>
        </w:rPr>
      </w:pPr>
      <w:r w:rsidRPr="001E07CA">
        <w:rPr>
          <w:b/>
          <w:lang w:val="sv-SE"/>
        </w:rPr>
        <w:t>2</w:t>
      </w:r>
      <w:r w:rsidR="00D957FD" w:rsidRPr="001E07CA">
        <w:rPr>
          <w:b/>
          <w:lang w:val="sv-SE"/>
        </w:rPr>
        <w:t xml:space="preserve"> §.</w:t>
      </w:r>
      <w:r w:rsidR="00D957FD" w:rsidRPr="001E07CA">
        <w:rPr>
          <w:lang w:val="sv-SE"/>
        </w:rPr>
        <w:t xml:space="preserve"> </w:t>
      </w:r>
      <w:r w:rsidR="00815EE4" w:rsidRPr="001E07CA">
        <w:rPr>
          <w:i/>
          <w:lang w:val="sv-SE"/>
        </w:rPr>
        <w:t>Definitioner.</w:t>
      </w:r>
      <w:r w:rsidR="00D957FD" w:rsidRPr="001E07CA">
        <w:rPr>
          <w:lang w:val="sv-SE"/>
        </w:rPr>
        <w:t xml:space="preserve"> </w:t>
      </w:r>
      <w:r w:rsidR="00815EE4" w:rsidRPr="001E07CA">
        <w:rPr>
          <w:lang w:val="sv-SE"/>
        </w:rPr>
        <w:t>I</w:t>
      </w:r>
      <w:r w:rsidR="008250C4" w:rsidRPr="001E07CA">
        <w:rPr>
          <w:lang w:val="sv-SE"/>
        </w:rPr>
        <w:t xml:space="preserve"> paragrafen ingår definitioner</w:t>
      </w:r>
      <w:r w:rsidR="00815EE4" w:rsidRPr="001E07CA">
        <w:rPr>
          <w:lang w:val="sv-SE"/>
        </w:rPr>
        <w:t xml:space="preserve"> på </w:t>
      </w:r>
      <w:r w:rsidR="008250C4" w:rsidRPr="001E07CA">
        <w:rPr>
          <w:lang w:val="sv-SE"/>
        </w:rPr>
        <w:t>sådana centrala begrepp i gasan</w:t>
      </w:r>
      <w:r w:rsidR="00815EE4" w:rsidRPr="001E07CA">
        <w:rPr>
          <w:lang w:val="sv-SE"/>
        </w:rPr>
        <w:t>o</w:t>
      </w:r>
      <w:r w:rsidR="008250C4" w:rsidRPr="001E07CA">
        <w:rPr>
          <w:lang w:val="sv-SE"/>
        </w:rPr>
        <w:t>r</w:t>
      </w:r>
      <w:r w:rsidR="00815EE4" w:rsidRPr="001E07CA">
        <w:rPr>
          <w:lang w:val="sv-SE"/>
        </w:rPr>
        <w:t>dningsförordningen som behövs vid tillämpningen av förordningen i Finland.</w:t>
      </w:r>
      <w:r w:rsidR="00345BE3" w:rsidRPr="001E07CA">
        <w:rPr>
          <w:lang w:val="sv-SE"/>
        </w:rPr>
        <w:t xml:space="preserve"> </w:t>
      </w:r>
      <w:r w:rsidR="003102D7" w:rsidRPr="001E07CA">
        <w:rPr>
          <w:lang w:val="sv-SE"/>
        </w:rPr>
        <w:t>Till definitionerna fogas dessutom d</w:t>
      </w:r>
      <w:r w:rsidR="00A34404" w:rsidRPr="001E07CA">
        <w:rPr>
          <w:lang w:val="sv-SE"/>
        </w:rPr>
        <w:t xml:space="preserve">efinitionen på </w:t>
      </w:r>
      <w:r w:rsidR="00AF2BD8" w:rsidRPr="001E07CA">
        <w:rPr>
          <w:lang w:val="sv-SE"/>
        </w:rPr>
        <w:t>utrustning</w:t>
      </w:r>
      <w:r w:rsidR="003102D7" w:rsidRPr="001E07CA">
        <w:rPr>
          <w:lang w:val="sv-SE"/>
        </w:rPr>
        <w:t xml:space="preserve"> som behövs för </w:t>
      </w:r>
      <w:r w:rsidR="00AF2BD8" w:rsidRPr="001E07CA">
        <w:rPr>
          <w:lang w:val="sv-SE"/>
        </w:rPr>
        <w:t>att</w:t>
      </w:r>
      <w:r w:rsidR="003102D7" w:rsidRPr="001E07CA">
        <w:rPr>
          <w:lang w:val="sv-SE"/>
        </w:rPr>
        <w:t xml:space="preserve"> tillämpningsområdet för 1 §</w:t>
      </w:r>
      <w:r w:rsidR="00AF2BD8" w:rsidRPr="001E07CA">
        <w:rPr>
          <w:lang w:val="sv-SE"/>
        </w:rPr>
        <w:t xml:space="preserve"> ska kunna preciseras</w:t>
      </w:r>
      <w:r w:rsidR="003102D7" w:rsidRPr="001E07CA">
        <w:rPr>
          <w:lang w:val="sv-SE"/>
        </w:rPr>
        <w:t>.</w:t>
      </w:r>
    </w:p>
    <w:p w:rsidR="00D957FD" w:rsidRPr="001E07CA" w:rsidRDefault="00D957FD" w:rsidP="00D957FD">
      <w:pPr>
        <w:rPr>
          <w:lang w:val="sv-SE"/>
        </w:rPr>
      </w:pPr>
    </w:p>
    <w:p w:rsidR="00D957FD" w:rsidRPr="001E07CA" w:rsidRDefault="00900619" w:rsidP="00D957FD">
      <w:pPr>
        <w:rPr>
          <w:lang w:val="sv-SE"/>
        </w:rPr>
      </w:pPr>
      <w:r w:rsidRPr="001E07CA">
        <w:rPr>
          <w:b/>
          <w:lang w:val="sv-SE"/>
        </w:rPr>
        <w:t>3</w:t>
      </w:r>
      <w:r w:rsidR="00D957FD" w:rsidRPr="001E07CA">
        <w:rPr>
          <w:b/>
          <w:lang w:val="sv-SE"/>
        </w:rPr>
        <w:t xml:space="preserve"> §.</w:t>
      </w:r>
      <w:r w:rsidR="00D957FD" w:rsidRPr="001E07CA">
        <w:rPr>
          <w:lang w:val="sv-SE"/>
        </w:rPr>
        <w:t xml:space="preserve"> </w:t>
      </w:r>
      <w:r w:rsidR="00687651" w:rsidRPr="001E07CA">
        <w:rPr>
          <w:i/>
          <w:lang w:val="sv-SE"/>
        </w:rPr>
        <w:t>Förhållande till annan lagstiftning.</w:t>
      </w:r>
      <w:r w:rsidR="00D957FD" w:rsidRPr="001E07CA">
        <w:rPr>
          <w:lang w:val="sv-SE"/>
        </w:rPr>
        <w:t xml:space="preserve"> </w:t>
      </w:r>
      <w:r w:rsidR="00687651" w:rsidRPr="001E07CA">
        <w:rPr>
          <w:lang w:val="sv-SE"/>
        </w:rPr>
        <w:t>I 1 mom. finns en påminnelse av närmast informativ art om EU:s NLF-förordningens roll vid tillsynen över efterlevnaden av gasanordningsförordningen.</w:t>
      </w:r>
      <w:r w:rsidR="00CB6295" w:rsidRPr="001E07CA">
        <w:rPr>
          <w:lang w:val="sv-SE"/>
        </w:rPr>
        <w:t xml:space="preserve"> </w:t>
      </w:r>
      <w:r w:rsidR="00687651" w:rsidRPr="001E07CA">
        <w:rPr>
          <w:lang w:val="sv-SE"/>
        </w:rPr>
        <w:t>Principerna i NLF-för</w:t>
      </w:r>
      <w:r w:rsidR="00764F6D" w:rsidRPr="001E07CA">
        <w:rPr>
          <w:lang w:val="sv-SE"/>
        </w:rPr>
        <w:t>ordningen utgör grunden för såväl gasanordningsförordningen som</w:t>
      </w:r>
      <w:r w:rsidR="00687651" w:rsidRPr="001E07CA">
        <w:rPr>
          <w:lang w:val="sv-SE"/>
        </w:rPr>
        <w:t xml:space="preserve"> marknadskontrollagen</w:t>
      </w:r>
      <w:r w:rsidR="002C3DEE" w:rsidRPr="001E07CA">
        <w:rPr>
          <w:lang w:val="sv-SE"/>
        </w:rPr>
        <w:t xml:space="preserve"> </w:t>
      </w:r>
      <w:r w:rsidR="004B771B" w:rsidRPr="001E07CA">
        <w:rPr>
          <w:lang w:val="sv-SE"/>
        </w:rPr>
        <w:t>och lagen om anmälda</w:t>
      </w:r>
      <w:r w:rsidR="00687651" w:rsidRPr="001E07CA">
        <w:rPr>
          <w:lang w:val="sv-SE"/>
        </w:rPr>
        <w:t xml:space="preserve"> organ</w:t>
      </w:r>
      <w:r w:rsidR="002C3DEE" w:rsidRPr="001E07CA">
        <w:rPr>
          <w:lang w:val="sv-SE"/>
        </w:rPr>
        <w:t xml:space="preserve"> till vilka det hänvisas senare i lagen</w:t>
      </w:r>
      <w:r w:rsidR="005167FF" w:rsidRPr="001E07CA">
        <w:rPr>
          <w:lang w:val="sv-SE"/>
        </w:rPr>
        <w:t>. De två sistnämnda</w:t>
      </w:r>
      <w:r w:rsidR="00687651" w:rsidRPr="001E07CA">
        <w:rPr>
          <w:lang w:val="sv-SE"/>
        </w:rPr>
        <w:t xml:space="preserve"> är nationell</w:t>
      </w:r>
      <w:r w:rsidR="00B403D6" w:rsidRPr="001E07CA">
        <w:rPr>
          <w:lang w:val="sv-SE"/>
        </w:rPr>
        <w:t>a författningar</w:t>
      </w:r>
      <w:r w:rsidR="00687651" w:rsidRPr="001E07CA">
        <w:rPr>
          <w:lang w:val="sv-SE"/>
        </w:rPr>
        <w:t>.</w:t>
      </w:r>
      <w:r w:rsidR="00CB6295" w:rsidRPr="001E07CA">
        <w:rPr>
          <w:lang w:val="sv-SE"/>
        </w:rPr>
        <w:t xml:space="preserve"> </w:t>
      </w:r>
      <w:r w:rsidR="00687651" w:rsidRPr="001E07CA">
        <w:rPr>
          <w:lang w:val="sv-SE"/>
        </w:rPr>
        <w:t>I 2 mom. finns en hänvisning till kemikaliesäkerhetslagens bestämmelser om installationen av gasanordningar och behörigheten i samband med den.</w:t>
      </w:r>
      <w:r w:rsidR="00D957FD" w:rsidRPr="001E07CA">
        <w:rPr>
          <w:lang w:val="sv-SE"/>
        </w:rPr>
        <w:t xml:space="preserve"> </w:t>
      </w:r>
    </w:p>
    <w:p w:rsidR="00D957FD" w:rsidRPr="001E07CA" w:rsidRDefault="00D957FD" w:rsidP="00D957FD">
      <w:pPr>
        <w:rPr>
          <w:lang w:val="sv-SE"/>
        </w:rPr>
      </w:pPr>
    </w:p>
    <w:p w:rsidR="00D957FD" w:rsidRPr="001E07CA" w:rsidRDefault="00801726" w:rsidP="00D957FD">
      <w:pPr>
        <w:rPr>
          <w:lang w:val="sv-SE"/>
        </w:rPr>
      </w:pPr>
      <w:r w:rsidRPr="001E07CA">
        <w:rPr>
          <w:lang w:val="sv-SE"/>
        </w:rPr>
        <w:t>2 kap. Gasanordningarnas överensstämmelse med kraven</w:t>
      </w:r>
    </w:p>
    <w:p w:rsidR="00D957FD" w:rsidRPr="001E07CA" w:rsidRDefault="00D957FD" w:rsidP="00D957FD">
      <w:pPr>
        <w:rPr>
          <w:lang w:val="sv-SE"/>
        </w:rPr>
      </w:pPr>
    </w:p>
    <w:p w:rsidR="00D957FD" w:rsidRPr="001E07CA" w:rsidRDefault="00900619" w:rsidP="00D957FD">
      <w:pPr>
        <w:rPr>
          <w:lang w:val="sv-SE"/>
        </w:rPr>
      </w:pPr>
      <w:r w:rsidRPr="001E07CA">
        <w:rPr>
          <w:b/>
          <w:lang w:val="sv-SE"/>
        </w:rPr>
        <w:t>4</w:t>
      </w:r>
      <w:r w:rsidR="00D957FD" w:rsidRPr="001E07CA">
        <w:rPr>
          <w:b/>
          <w:lang w:val="sv-SE"/>
        </w:rPr>
        <w:t xml:space="preserve"> §.</w:t>
      </w:r>
      <w:r w:rsidR="00D957FD" w:rsidRPr="001E07CA">
        <w:rPr>
          <w:lang w:val="sv-SE"/>
        </w:rPr>
        <w:t xml:space="preserve"> </w:t>
      </w:r>
      <w:r w:rsidR="00801726" w:rsidRPr="001E07CA">
        <w:rPr>
          <w:i/>
          <w:lang w:val="sv-SE"/>
        </w:rPr>
        <w:t>Krav på gasanordningar.</w:t>
      </w:r>
      <w:r w:rsidR="00D957FD" w:rsidRPr="001E07CA">
        <w:rPr>
          <w:i/>
          <w:lang w:val="sv-SE"/>
        </w:rPr>
        <w:t xml:space="preserve"> </w:t>
      </w:r>
      <w:r w:rsidR="00AD5373" w:rsidRPr="001E07CA">
        <w:rPr>
          <w:lang w:val="sv-SE"/>
        </w:rPr>
        <w:t xml:space="preserve">I fråga om </w:t>
      </w:r>
      <w:r w:rsidR="00707000" w:rsidRPr="001E07CA">
        <w:rPr>
          <w:lang w:val="sv-SE"/>
        </w:rPr>
        <w:t>krav som tillämpas på gasanordningar och de ansvariga aktörernas skyldigheter görs i 1 mom. en hänvisning till kapitel III i gasanordningsförordningen.</w:t>
      </w:r>
      <w:r w:rsidR="00D957FD" w:rsidRPr="001E07CA">
        <w:rPr>
          <w:lang w:val="sv-SE"/>
        </w:rPr>
        <w:t xml:space="preserve"> </w:t>
      </w:r>
      <w:r w:rsidR="00707000" w:rsidRPr="001E07CA">
        <w:rPr>
          <w:lang w:val="sv-SE"/>
        </w:rPr>
        <w:t>Innehållet i paragrafen är således begränsat med beaktande av att EU-förordningen utgör direkt tillämplig rätt och att innehållet i EU-förordningen i princip inte ska upprepas i den nationella lagstiftningen.</w:t>
      </w:r>
      <w:r w:rsidR="00D957FD" w:rsidRPr="001E07CA">
        <w:rPr>
          <w:lang w:val="sv-SE"/>
        </w:rPr>
        <w:t xml:space="preserve"> </w:t>
      </w:r>
    </w:p>
    <w:p w:rsidR="00D957FD" w:rsidRPr="001E07CA" w:rsidRDefault="00D957FD" w:rsidP="00D957FD">
      <w:pPr>
        <w:rPr>
          <w:lang w:val="sv-SE"/>
        </w:rPr>
      </w:pPr>
    </w:p>
    <w:p w:rsidR="00A917E0" w:rsidRPr="001E07CA" w:rsidRDefault="001A1C61" w:rsidP="00D957FD">
      <w:pPr>
        <w:rPr>
          <w:lang w:val="sv-SE"/>
        </w:rPr>
      </w:pPr>
      <w:r w:rsidRPr="001E07CA">
        <w:rPr>
          <w:lang w:val="sv-SE"/>
        </w:rPr>
        <w:t xml:space="preserve">I 2 mom. finns bestämmelser om de </w:t>
      </w:r>
      <w:r w:rsidR="0004099E" w:rsidRPr="001E07CA">
        <w:rPr>
          <w:lang w:val="sv-SE"/>
        </w:rPr>
        <w:t>grundläggande</w:t>
      </w:r>
      <w:r w:rsidRPr="001E07CA">
        <w:rPr>
          <w:lang w:val="sv-SE"/>
        </w:rPr>
        <w:t xml:space="preserve"> </w:t>
      </w:r>
      <w:r w:rsidR="00327F1C" w:rsidRPr="001E07CA">
        <w:rPr>
          <w:lang w:val="sv-SE"/>
        </w:rPr>
        <w:t xml:space="preserve">kraven på </w:t>
      </w:r>
      <w:r w:rsidR="00721DA0" w:rsidRPr="001E07CA">
        <w:rPr>
          <w:lang w:val="sv-SE"/>
        </w:rPr>
        <w:t>utrustning till</w:t>
      </w:r>
      <w:r w:rsidRPr="001E07CA">
        <w:rPr>
          <w:lang w:val="sv-SE"/>
        </w:rPr>
        <w:t xml:space="preserve"> gasanordni</w:t>
      </w:r>
      <w:r w:rsidR="0031067E" w:rsidRPr="001E07CA">
        <w:rPr>
          <w:lang w:val="sv-SE"/>
        </w:rPr>
        <w:t>ng</w:t>
      </w:r>
      <w:r w:rsidRPr="001E07CA">
        <w:rPr>
          <w:lang w:val="sv-SE"/>
        </w:rPr>
        <w:t>ar som är avsedda att användas av konsumenter.</w:t>
      </w:r>
      <w:r w:rsidR="00E118C3" w:rsidRPr="001E07CA">
        <w:rPr>
          <w:lang w:val="sv-SE"/>
        </w:rPr>
        <w:t xml:space="preserve"> </w:t>
      </w:r>
      <w:r w:rsidR="00E36EE7" w:rsidRPr="001E07CA">
        <w:rPr>
          <w:lang w:val="sv-SE"/>
        </w:rPr>
        <w:t>Utrustningen</w:t>
      </w:r>
      <w:r w:rsidR="0004099E" w:rsidRPr="001E07CA">
        <w:rPr>
          <w:lang w:val="sv-SE"/>
        </w:rPr>
        <w:t xml:space="preserve"> ska ha konstaterats vara säker</w:t>
      </w:r>
      <w:r w:rsidRPr="001E07CA">
        <w:rPr>
          <w:lang w:val="sv-SE"/>
        </w:rPr>
        <w:t>.</w:t>
      </w:r>
      <w:r w:rsidR="00CF10BF" w:rsidRPr="001E07CA">
        <w:rPr>
          <w:lang w:val="sv-SE"/>
        </w:rPr>
        <w:t xml:space="preserve"> </w:t>
      </w:r>
      <w:r w:rsidR="009A4D61" w:rsidRPr="001E07CA">
        <w:rPr>
          <w:lang w:val="sv-SE"/>
        </w:rPr>
        <w:t>Konstaterandet kan basera sig på sådana t</w:t>
      </w:r>
      <w:r w:rsidR="004465F3" w:rsidRPr="001E07CA">
        <w:rPr>
          <w:lang w:val="sv-SE"/>
        </w:rPr>
        <w:t>este</w:t>
      </w:r>
      <w:r w:rsidR="00CC5BA0" w:rsidRPr="001E07CA">
        <w:rPr>
          <w:lang w:val="sv-SE"/>
        </w:rPr>
        <w:t>r på utrustningen som anges</w:t>
      </w:r>
      <w:r w:rsidR="009A4D61" w:rsidRPr="001E07CA">
        <w:rPr>
          <w:lang w:val="sv-SE"/>
        </w:rPr>
        <w:t xml:space="preserve"> i en standard, men konstateran</w:t>
      </w:r>
      <w:r w:rsidR="004465F3" w:rsidRPr="001E07CA">
        <w:rPr>
          <w:lang w:val="sv-SE"/>
        </w:rPr>
        <w:t>det förutsätter dock inte någon oberoende</w:t>
      </w:r>
      <w:r w:rsidR="009A4D61" w:rsidRPr="001E07CA">
        <w:rPr>
          <w:lang w:val="sv-SE"/>
        </w:rPr>
        <w:t xml:space="preserve"> tredje part.</w:t>
      </w:r>
      <w:r w:rsidR="00E118C3" w:rsidRPr="001E07CA">
        <w:rPr>
          <w:lang w:val="sv-SE"/>
        </w:rPr>
        <w:t xml:space="preserve"> </w:t>
      </w:r>
      <w:r w:rsidR="009A4D61" w:rsidRPr="001E07CA">
        <w:rPr>
          <w:lang w:val="sv-SE"/>
        </w:rPr>
        <w:t xml:space="preserve">Det är inte obligatoriskt att följa standarden, men en nationell eller europeisk standard </w:t>
      </w:r>
      <w:r w:rsidR="004C0F08" w:rsidRPr="001E07CA">
        <w:rPr>
          <w:lang w:val="sv-SE"/>
        </w:rPr>
        <w:t xml:space="preserve">om </w:t>
      </w:r>
      <w:r w:rsidR="003F2C9C" w:rsidRPr="001E07CA">
        <w:rPr>
          <w:lang w:val="sv-SE"/>
        </w:rPr>
        <w:t>utrustningen</w:t>
      </w:r>
      <w:r w:rsidR="009A4D61" w:rsidRPr="001E07CA">
        <w:rPr>
          <w:lang w:val="sv-SE"/>
        </w:rPr>
        <w:t xml:space="preserve"> fastställer de säkerhetskrav som </w:t>
      </w:r>
      <w:r w:rsidR="00631C6F" w:rsidRPr="001E07CA">
        <w:rPr>
          <w:lang w:val="sv-SE"/>
        </w:rPr>
        <w:t>utrustningen</w:t>
      </w:r>
      <w:r w:rsidR="009A4D61" w:rsidRPr="001E07CA">
        <w:rPr>
          <w:lang w:val="sv-SE"/>
        </w:rPr>
        <w:t xml:space="preserve"> antas upp</w:t>
      </w:r>
      <w:r w:rsidR="00B11F80" w:rsidRPr="001E07CA">
        <w:rPr>
          <w:lang w:val="sv-SE"/>
        </w:rPr>
        <w:t>fy</w:t>
      </w:r>
      <w:r w:rsidR="009A4D61" w:rsidRPr="001E07CA">
        <w:rPr>
          <w:lang w:val="sv-SE"/>
        </w:rPr>
        <w:t>lla.</w:t>
      </w:r>
      <w:r w:rsidR="00E118C3" w:rsidRPr="001E07CA">
        <w:rPr>
          <w:lang w:val="sv-SE"/>
        </w:rPr>
        <w:t xml:space="preserve"> </w:t>
      </w:r>
      <w:r w:rsidR="00EB6505" w:rsidRPr="001E07CA">
        <w:rPr>
          <w:lang w:val="sv-SE"/>
        </w:rPr>
        <w:t>Dessutom s</w:t>
      </w:r>
      <w:r w:rsidR="003103A6" w:rsidRPr="001E07CA">
        <w:rPr>
          <w:lang w:val="sv-SE"/>
        </w:rPr>
        <w:t>ka utrustningen</w:t>
      </w:r>
      <w:r w:rsidR="00184C7D" w:rsidRPr="001E07CA">
        <w:rPr>
          <w:lang w:val="sv-SE"/>
        </w:rPr>
        <w:t xml:space="preserve"> vara använd</w:t>
      </w:r>
      <w:r w:rsidR="00EB6505" w:rsidRPr="001E07CA">
        <w:rPr>
          <w:lang w:val="sv-SE"/>
        </w:rPr>
        <w:t>bar</w:t>
      </w:r>
      <w:r w:rsidR="00E51060" w:rsidRPr="001E07CA">
        <w:rPr>
          <w:lang w:val="sv-SE"/>
        </w:rPr>
        <w:t xml:space="preserve"> och säker</w:t>
      </w:r>
      <w:r w:rsidR="00EB6505" w:rsidRPr="001E07CA">
        <w:rPr>
          <w:lang w:val="sv-SE"/>
        </w:rPr>
        <w:t xml:space="preserve"> under</w:t>
      </w:r>
      <w:r w:rsidR="004C0F08" w:rsidRPr="001E07CA">
        <w:rPr>
          <w:lang w:val="sv-SE"/>
        </w:rPr>
        <w:t xml:space="preserve"> alla förhållanden som kan tänkas</w:t>
      </w:r>
      <w:r w:rsidR="00EB6505" w:rsidRPr="001E07CA">
        <w:rPr>
          <w:lang w:val="sv-SE"/>
        </w:rPr>
        <w:t xml:space="preserve"> råda i Finland.</w:t>
      </w:r>
      <w:r w:rsidR="001616B1" w:rsidRPr="001E07CA">
        <w:rPr>
          <w:lang w:val="sv-SE"/>
        </w:rPr>
        <w:t xml:space="preserve"> </w:t>
      </w:r>
      <w:r w:rsidR="00EB6505" w:rsidRPr="001E07CA">
        <w:rPr>
          <w:lang w:val="sv-SE"/>
        </w:rPr>
        <w:t>Man bör särskilt försäkra sig om att</w:t>
      </w:r>
      <w:r w:rsidR="00323DE2" w:rsidRPr="001E07CA">
        <w:rPr>
          <w:lang w:val="sv-SE"/>
        </w:rPr>
        <w:t xml:space="preserve"> utrustningen tål kyla vilken är en kritisk egenskap exempelvis hos gummislangar.</w:t>
      </w:r>
      <w:r w:rsidR="001616B1" w:rsidRPr="001E07CA">
        <w:rPr>
          <w:lang w:val="sv-SE"/>
        </w:rPr>
        <w:t xml:space="preserve"> </w:t>
      </w:r>
      <w:r w:rsidR="0089525E" w:rsidRPr="001E07CA">
        <w:rPr>
          <w:lang w:val="sv-SE"/>
        </w:rPr>
        <w:t>I paragrafen föreslås</w:t>
      </w:r>
      <w:r w:rsidR="00AD7A2C" w:rsidRPr="001E07CA">
        <w:rPr>
          <w:lang w:val="sv-SE"/>
        </w:rPr>
        <w:t xml:space="preserve"> en bestämmelse om bemyndigande, på basis av vilken närmare bestämmelser om de tek</w:t>
      </w:r>
      <w:r w:rsidR="00B407E1" w:rsidRPr="001E07CA">
        <w:rPr>
          <w:lang w:val="sv-SE"/>
        </w:rPr>
        <w:t>niska kraven på utrustningen utfärdas</w:t>
      </w:r>
      <w:r w:rsidR="00AD7A2C" w:rsidRPr="001E07CA">
        <w:rPr>
          <w:lang w:val="sv-SE"/>
        </w:rPr>
        <w:t xml:space="preserve"> genom förordning av statsrådet.</w:t>
      </w:r>
    </w:p>
    <w:p w:rsidR="00A917E0" w:rsidRPr="001E07CA" w:rsidRDefault="00A917E0" w:rsidP="00D957FD">
      <w:pPr>
        <w:rPr>
          <w:lang w:val="sv-SE"/>
        </w:rPr>
      </w:pPr>
    </w:p>
    <w:p w:rsidR="00443A52" w:rsidRDefault="00F846CF" w:rsidP="00D957FD">
      <w:pPr>
        <w:rPr>
          <w:lang w:val="sv-SE"/>
        </w:rPr>
      </w:pPr>
      <w:r w:rsidRPr="001E07CA">
        <w:rPr>
          <w:b/>
          <w:lang w:val="sv-SE"/>
        </w:rPr>
        <w:t>5 §.</w:t>
      </w:r>
      <w:r w:rsidR="00D957FD" w:rsidRPr="001E07CA">
        <w:rPr>
          <w:lang w:val="sv-SE"/>
        </w:rPr>
        <w:t xml:space="preserve"> </w:t>
      </w:r>
      <w:r w:rsidR="00C26C7A" w:rsidRPr="001E07CA">
        <w:rPr>
          <w:i/>
          <w:lang w:val="sv-SE"/>
        </w:rPr>
        <w:t>Språkkrav</w:t>
      </w:r>
      <w:r w:rsidR="00EA4345" w:rsidRPr="001E07CA">
        <w:rPr>
          <w:i/>
          <w:lang w:val="sv-SE"/>
        </w:rPr>
        <w:t xml:space="preserve"> i fråga om</w:t>
      </w:r>
      <w:r w:rsidR="00D71CC7" w:rsidRPr="001E07CA">
        <w:rPr>
          <w:i/>
          <w:lang w:val="sv-SE"/>
        </w:rPr>
        <w:t xml:space="preserve"> märkningar</w:t>
      </w:r>
      <w:r w:rsidR="00C26C7A" w:rsidRPr="001E07CA">
        <w:rPr>
          <w:i/>
          <w:lang w:val="sv-SE"/>
        </w:rPr>
        <w:t>na på</w:t>
      </w:r>
      <w:r w:rsidR="00D71CC7" w:rsidRPr="001E07CA">
        <w:rPr>
          <w:i/>
          <w:lang w:val="sv-SE"/>
        </w:rPr>
        <w:t xml:space="preserve"> och anvisningar</w:t>
      </w:r>
      <w:r w:rsidR="00C26C7A" w:rsidRPr="001E07CA">
        <w:rPr>
          <w:i/>
          <w:lang w:val="sv-SE"/>
        </w:rPr>
        <w:t>na</w:t>
      </w:r>
      <w:r w:rsidR="00D71CC7" w:rsidRPr="001E07CA">
        <w:rPr>
          <w:i/>
          <w:lang w:val="sv-SE"/>
        </w:rPr>
        <w:t xml:space="preserve"> för gasanordningar.</w:t>
      </w:r>
      <w:r w:rsidR="00D957FD" w:rsidRPr="001E07CA">
        <w:rPr>
          <w:lang w:val="sv-SE"/>
        </w:rPr>
        <w:t xml:space="preserve"> </w:t>
      </w:r>
      <w:r w:rsidR="005E6A13" w:rsidRPr="001E07CA">
        <w:rPr>
          <w:lang w:val="sv-SE"/>
        </w:rPr>
        <w:t>I gasanordningsförordni</w:t>
      </w:r>
      <w:r w:rsidR="00292A87">
        <w:rPr>
          <w:lang w:val="sv-SE"/>
        </w:rPr>
        <w:t>ngen lämnas handlings</w:t>
      </w:r>
      <w:r w:rsidR="005E6A13" w:rsidRPr="001E07CA">
        <w:rPr>
          <w:lang w:val="sv-SE"/>
        </w:rPr>
        <w:t>utrymme när det gäller kraven på språ</w:t>
      </w:r>
      <w:r w:rsidR="0049012E" w:rsidRPr="001E07CA">
        <w:rPr>
          <w:lang w:val="sv-SE"/>
        </w:rPr>
        <w:t>ket i de uppgifter som lämnas om</w:t>
      </w:r>
      <w:r w:rsidR="005E6A13" w:rsidRPr="001E07CA">
        <w:rPr>
          <w:lang w:val="sv-SE"/>
        </w:rPr>
        <w:t xml:space="preserve"> produkterna.</w:t>
      </w:r>
      <w:r w:rsidR="00E76B52" w:rsidRPr="001E07CA">
        <w:rPr>
          <w:lang w:val="sv-SE"/>
        </w:rPr>
        <w:t xml:space="preserve"> </w:t>
      </w:r>
      <w:r w:rsidR="007C654F" w:rsidRPr="001E07CA">
        <w:rPr>
          <w:lang w:val="sv-SE"/>
        </w:rPr>
        <w:t xml:space="preserve">Det nationella genomförandet förutsätter att i fråga om de uppgifter som avses i artiklarna 7 och 9 </w:t>
      </w:r>
      <w:r w:rsidR="00975606" w:rsidRPr="001E07CA">
        <w:rPr>
          <w:lang w:val="sv-SE"/>
        </w:rPr>
        <w:t xml:space="preserve">i gasanordningsförordningen </w:t>
      </w:r>
      <w:r w:rsidR="00A8382D" w:rsidRPr="001E07CA">
        <w:rPr>
          <w:lang w:val="sv-SE"/>
        </w:rPr>
        <w:t>har språkkraven fastställts i mera detalj</w:t>
      </w:r>
      <w:r w:rsidR="001A08B8" w:rsidRPr="001E07CA">
        <w:rPr>
          <w:lang w:val="sv-SE"/>
        </w:rPr>
        <w:t xml:space="preserve"> nationellt.</w:t>
      </w:r>
      <w:r w:rsidR="00E76B52" w:rsidRPr="001E07CA">
        <w:rPr>
          <w:lang w:val="sv-SE"/>
        </w:rPr>
        <w:t xml:space="preserve"> </w:t>
      </w:r>
      <w:r w:rsidR="001A08B8" w:rsidRPr="001E07CA">
        <w:rPr>
          <w:lang w:val="sv-SE"/>
        </w:rPr>
        <w:t>I paragrafen föreskrivs att de uppgifter om gasanordningar som förutsätts i artiklarna ska lämnas på finska och svenska.</w:t>
      </w:r>
      <w:r w:rsidR="00D957FD" w:rsidRPr="001E07CA">
        <w:rPr>
          <w:lang w:val="sv-SE"/>
        </w:rPr>
        <w:t xml:space="preserve"> </w:t>
      </w:r>
      <w:r w:rsidR="00C95433" w:rsidRPr="001E07CA">
        <w:rPr>
          <w:lang w:val="sv-SE"/>
        </w:rPr>
        <w:t xml:space="preserve">De gasanordningar som saluförs här härstammar från utlandet och </w:t>
      </w:r>
      <w:r w:rsidR="00B46335" w:rsidRPr="001E07CA">
        <w:rPr>
          <w:lang w:val="sv-SE"/>
        </w:rPr>
        <w:t>de säljs inte bara</w:t>
      </w:r>
      <w:r w:rsidR="00C95433" w:rsidRPr="001E07CA">
        <w:rPr>
          <w:lang w:val="sv-SE"/>
        </w:rPr>
        <w:t xml:space="preserve"> på sådana orter att man skulle kunna dra slutsatsen att enbart det ena nationalspråket räcker när det gäller uppgifter.</w:t>
      </w:r>
      <w:r w:rsidR="00D957FD" w:rsidRPr="001E07CA">
        <w:rPr>
          <w:lang w:val="sv-SE"/>
        </w:rPr>
        <w:t xml:space="preserve"> </w:t>
      </w:r>
      <w:r w:rsidR="00C95433" w:rsidRPr="001E07CA">
        <w:rPr>
          <w:lang w:val="sv-SE"/>
        </w:rPr>
        <w:t>När uppgifter som avses i lagrummet lämnas på finska och svenska behandlas båda språkgrupperna jämlikt.</w:t>
      </w:r>
      <w:r w:rsidR="00B41716" w:rsidRPr="001E07CA">
        <w:rPr>
          <w:lang w:val="sv-SE"/>
        </w:rPr>
        <w:t xml:space="preserve"> </w:t>
      </w:r>
    </w:p>
    <w:p w:rsidR="00443A52" w:rsidRDefault="00443A52" w:rsidP="00D957FD">
      <w:pPr>
        <w:rPr>
          <w:lang w:val="sv-SE"/>
        </w:rPr>
      </w:pPr>
    </w:p>
    <w:p w:rsidR="00B41716" w:rsidRPr="001E07CA" w:rsidRDefault="00C95433" w:rsidP="00D957FD">
      <w:pPr>
        <w:rPr>
          <w:lang w:val="sv-SE"/>
        </w:rPr>
      </w:pPr>
      <w:r w:rsidRPr="001E07CA">
        <w:rPr>
          <w:lang w:val="sv-SE"/>
        </w:rPr>
        <w:t xml:space="preserve">I </w:t>
      </w:r>
      <w:r w:rsidR="00B06411" w:rsidRPr="001E07CA">
        <w:rPr>
          <w:lang w:val="sv-SE"/>
        </w:rPr>
        <w:t>gasanordnings</w:t>
      </w:r>
      <w:r w:rsidRPr="001E07CA">
        <w:rPr>
          <w:lang w:val="sv-SE"/>
        </w:rPr>
        <w:t>förordningen föreskrivs också om annan information, exempelvis sådan som ska lämnas till tillsynsmyndigheten på dennes begäran.</w:t>
      </w:r>
      <w:r w:rsidR="00EA3FFA" w:rsidRPr="001E07CA">
        <w:rPr>
          <w:lang w:val="sv-SE"/>
        </w:rPr>
        <w:t xml:space="preserve"> </w:t>
      </w:r>
      <w:r w:rsidR="003E0C70" w:rsidRPr="001E07CA">
        <w:rPr>
          <w:lang w:val="sv-SE"/>
        </w:rPr>
        <w:t>Enligt artiklarna 7, 9, 10 och 15 i gasanordningsförordningen ska tillverkare, importörer och distribut</w:t>
      </w:r>
      <w:r w:rsidR="00740C45" w:rsidRPr="001E07CA">
        <w:rPr>
          <w:lang w:val="sv-SE"/>
        </w:rPr>
        <w:t xml:space="preserve">örer på motiverad begäran av </w:t>
      </w:r>
      <w:r w:rsidR="003E0C70" w:rsidRPr="001E07CA">
        <w:rPr>
          <w:lang w:val="sv-SE"/>
        </w:rPr>
        <w:t xml:space="preserve">behörig nationell myndighet ge </w:t>
      </w:r>
      <w:r w:rsidR="00740C45" w:rsidRPr="001E07CA">
        <w:rPr>
          <w:lang w:val="sv-SE"/>
        </w:rPr>
        <w:t>myndigheten</w:t>
      </w:r>
      <w:r w:rsidR="003E0C70" w:rsidRPr="001E07CA">
        <w:rPr>
          <w:lang w:val="sv-SE"/>
        </w:rPr>
        <w:t>, i pappersform eller i elektronisk form, all information och dokumentation som behövs för att visa att gasanordningen överensstämmer med kraven, på ett språk som lätt kan förstås av myndigheten.</w:t>
      </w:r>
      <w:r w:rsidR="00D957FD" w:rsidRPr="001E07CA">
        <w:rPr>
          <w:lang w:val="sv-SE"/>
        </w:rPr>
        <w:t xml:space="preserve"> </w:t>
      </w:r>
      <w:r w:rsidR="00832ECC" w:rsidRPr="001E07CA">
        <w:rPr>
          <w:lang w:val="sv-SE"/>
        </w:rPr>
        <w:t xml:space="preserve">Sådan information och dokumentation omfattar exempelvis den tekniska dokumentationen och </w:t>
      </w:r>
      <w:r w:rsidR="00393EC4" w:rsidRPr="001E07CA">
        <w:rPr>
          <w:lang w:val="sv-SE"/>
        </w:rPr>
        <w:t>EU-typ</w:t>
      </w:r>
      <w:r w:rsidR="00AD233A" w:rsidRPr="001E07CA">
        <w:rPr>
          <w:lang w:val="sv-SE"/>
        </w:rPr>
        <w:t>intyg</w:t>
      </w:r>
      <w:r w:rsidR="00D969E7" w:rsidRPr="001E07CA">
        <w:rPr>
          <w:lang w:val="sv-SE"/>
        </w:rPr>
        <w:t>et</w:t>
      </w:r>
      <w:r w:rsidR="00832ECC" w:rsidRPr="001E07CA">
        <w:rPr>
          <w:lang w:val="sv-SE"/>
        </w:rPr>
        <w:t>.</w:t>
      </w:r>
      <w:r w:rsidR="00D957FD" w:rsidRPr="001E07CA">
        <w:rPr>
          <w:lang w:val="sv-SE"/>
        </w:rPr>
        <w:t xml:space="preserve"> </w:t>
      </w:r>
      <w:r w:rsidR="00832ECC" w:rsidRPr="001E07CA">
        <w:rPr>
          <w:lang w:val="sv-SE"/>
        </w:rPr>
        <w:t>Avsikten är att dessa inte behöver översättas till finska eller svenska, om marknadskontrollmyndigheten anser att detta inte behövs.</w:t>
      </w:r>
      <w:r w:rsidR="00D957FD" w:rsidRPr="001E07CA">
        <w:rPr>
          <w:lang w:val="sv-SE"/>
        </w:rPr>
        <w:t xml:space="preserve"> </w:t>
      </w:r>
      <w:r w:rsidR="009F0F95" w:rsidRPr="001E07CA">
        <w:rPr>
          <w:lang w:val="sv-SE"/>
        </w:rPr>
        <w:t>När det gäller sådana handlingar som tillställs myndigheten endast på begäran ska tillsynsmyndigheten också från fall till fall bedöma om det är fråga om en handling som innehåller sådana affärshemligheter som avses i 24 § 1 mom. 20 punkten i lagen om offentlighet i myndigheternas verksamhet (621/1999).</w:t>
      </w:r>
    </w:p>
    <w:p w:rsidR="00B41716" w:rsidRDefault="00B41716" w:rsidP="00D957FD">
      <w:pPr>
        <w:rPr>
          <w:lang w:val="sv-SE"/>
        </w:rPr>
      </w:pPr>
    </w:p>
    <w:p w:rsidR="00016584" w:rsidRDefault="00016584" w:rsidP="00D957FD">
      <w:pPr>
        <w:rPr>
          <w:lang w:val="sv-SE"/>
        </w:rPr>
      </w:pPr>
      <w:r>
        <w:rPr>
          <w:lang w:val="sv-SE"/>
        </w:rPr>
        <w:t>3 kap. Anmälda organ</w:t>
      </w:r>
    </w:p>
    <w:p w:rsidR="00016584" w:rsidRPr="001E07CA" w:rsidRDefault="00016584" w:rsidP="00D957FD">
      <w:pPr>
        <w:rPr>
          <w:lang w:val="sv-SE"/>
        </w:rPr>
      </w:pPr>
    </w:p>
    <w:p w:rsidR="009368B7" w:rsidRPr="001E07CA" w:rsidRDefault="00900619" w:rsidP="00D957FD">
      <w:pPr>
        <w:rPr>
          <w:lang w:val="sv-SE"/>
        </w:rPr>
      </w:pPr>
      <w:r w:rsidRPr="001E07CA">
        <w:rPr>
          <w:b/>
          <w:lang w:val="sv-SE"/>
        </w:rPr>
        <w:t>6</w:t>
      </w:r>
      <w:r w:rsidR="009368B7" w:rsidRPr="001E07CA">
        <w:rPr>
          <w:b/>
          <w:lang w:val="sv-SE"/>
        </w:rPr>
        <w:t xml:space="preserve"> §</w:t>
      </w:r>
      <w:r w:rsidRPr="001E07CA">
        <w:rPr>
          <w:b/>
          <w:lang w:val="sv-SE"/>
        </w:rPr>
        <w:t>.</w:t>
      </w:r>
      <w:r w:rsidR="009368B7" w:rsidRPr="001E07CA">
        <w:rPr>
          <w:lang w:val="sv-SE"/>
        </w:rPr>
        <w:t xml:space="preserve"> </w:t>
      </w:r>
      <w:r w:rsidR="00D4774C" w:rsidRPr="001E07CA">
        <w:rPr>
          <w:i/>
          <w:lang w:val="sv-SE"/>
        </w:rPr>
        <w:t>Anmälan.</w:t>
      </w:r>
      <w:r w:rsidR="009368B7" w:rsidRPr="001E07CA">
        <w:rPr>
          <w:lang w:val="sv-SE"/>
        </w:rPr>
        <w:t xml:space="preserve"> </w:t>
      </w:r>
      <w:r w:rsidR="00D4774C" w:rsidRPr="001E07CA">
        <w:rPr>
          <w:lang w:val="sv-SE"/>
        </w:rPr>
        <w:t>I paragrafen föreskrivs om ett förfarande för bedömning och godkännande av ett i Finland verksamt bedömningsorgan för att som tredje part utföra bedömningar</w:t>
      </w:r>
      <w:r w:rsidR="006A684F" w:rsidRPr="001E07CA">
        <w:rPr>
          <w:lang w:val="sv-SE"/>
        </w:rPr>
        <w:t xml:space="preserve"> av</w:t>
      </w:r>
      <w:r w:rsidR="00D4774C" w:rsidRPr="001E07CA">
        <w:rPr>
          <w:lang w:val="sv-SE"/>
        </w:rPr>
        <w:t xml:space="preserve"> gasanordningars överensstämmelse med kraven i enlighet med gasanordningsförordningen samt </w:t>
      </w:r>
      <w:r w:rsidR="002864B2" w:rsidRPr="001E07CA">
        <w:rPr>
          <w:lang w:val="sv-SE"/>
        </w:rPr>
        <w:t>för</w:t>
      </w:r>
      <w:r w:rsidR="006A684F" w:rsidRPr="001E07CA">
        <w:rPr>
          <w:lang w:val="sv-SE"/>
        </w:rPr>
        <w:t xml:space="preserve"> anmälan om</w:t>
      </w:r>
      <w:r w:rsidR="00D4774C" w:rsidRPr="001E07CA">
        <w:rPr>
          <w:lang w:val="sv-SE"/>
        </w:rPr>
        <w:t xml:space="preserve"> organ för bedömning av överensstämmelse till Europeiska kommissionen.</w:t>
      </w:r>
      <w:r w:rsidR="009368B7" w:rsidRPr="001E07CA">
        <w:rPr>
          <w:lang w:val="sv-SE"/>
        </w:rPr>
        <w:t xml:space="preserve"> </w:t>
      </w:r>
      <w:r w:rsidR="00D4774C" w:rsidRPr="001E07CA">
        <w:rPr>
          <w:lang w:val="sv-SE"/>
        </w:rPr>
        <w:t>I gasanordningsför</w:t>
      </w:r>
      <w:r w:rsidR="00287089" w:rsidRPr="001E07CA">
        <w:rPr>
          <w:lang w:val="sv-SE"/>
        </w:rPr>
        <w:t>ordningens kapitel IV åläggs medlemsstaterna</w:t>
      </w:r>
      <w:r w:rsidR="00D4774C" w:rsidRPr="001E07CA">
        <w:rPr>
          <w:lang w:val="sv-SE"/>
        </w:rPr>
        <w:t xml:space="preserve"> uppgifter i fråga om anmälda organ.</w:t>
      </w:r>
      <w:r w:rsidR="001D23C1" w:rsidRPr="001E07CA">
        <w:rPr>
          <w:lang w:val="sv-SE"/>
        </w:rPr>
        <w:t xml:space="preserve"> </w:t>
      </w:r>
      <w:r w:rsidR="00D4774C" w:rsidRPr="001E07CA">
        <w:rPr>
          <w:lang w:val="sv-SE"/>
        </w:rPr>
        <w:lastRenderedPageBreak/>
        <w:t>På godkännande</w:t>
      </w:r>
      <w:r w:rsidR="006A684F" w:rsidRPr="001E07CA">
        <w:rPr>
          <w:lang w:val="sv-SE"/>
        </w:rPr>
        <w:t>t av</w:t>
      </w:r>
      <w:r w:rsidR="00D4774C" w:rsidRPr="001E07CA">
        <w:rPr>
          <w:lang w:val="sv-SE"/>
        </w:rPr>
        <w:t xml:space="preserve"> och anmälan </w:t>
      </w:r>
      <w:r w:rsidR="006A684F" w:rsidRPr="001E07CA">
        <w:rPr>
          <w:lang w:val="sv-SE"/>
        </w:rPr>
        <w:t>om</w:t>
      </w:r>
      <w:r w:rsidR="00D4774C" w:rsidRPr="001E07CA">
        <w:rPr>
          <w:lang w:val="sv-SE"/>
        </w:rPr>
        <w:t xml:space="preserve"> samt på tillsynen över organ för bedömning av överensstämmelse tillämpas gasanordningsförordningen och lagen om anmälda organ.</w:t>
      </w:r>
      <w:r w:rsidR="00912D61" w:rsidRPr="001E07CA">
        <w:rPr>
          <w:lang w:val="sv-SE"/>
        </w:rPr>
        <w:t xml:space="preserve"> </w:t>
      </w:r>
      <w:r w:rsidR="00D4774C" w:rsidRPr="001E07CA">
        <w:rPr>
          <w:lang w:val="sv-SE"/>
        </w:rPr>
        <w:t>Bestämmelser om innehållet i bedömningen finns i artiklarna 23.2−23.11 i gasanordningsförordningen.</w:t>
      </w:r>
      <w:r w:rsidR="001D23C1" w:rsidRPr="001E07CA">
        <w:rPr>
          <w:lang w:val="sv-SE"/>
        </w:rPr>
        <w:t xml:space="preserve"> </w:t>
      </w:r>
      <w:r w:rsidR="006A684F" w:rsidRPr="001E07CA">
        <w:rPr>
          <w:lang w:val="sv-SE"/>
        </w:rPr>
        <w:t xml:space="preserve">Till övriga delar tillämpas </w:t>
      </w:r>
      <w:r w:rsidR="00026601" w:rsidRPr="001E07CA">
        <w:rPr>
          <w:lang w:val="sv-SE"/>
        </w:rPr>
        <w:t xml:space="preserve">lagen om anmälda organ </w:t>
      </w:r>
      <w:r w:rsidR="006A684F" w:rsidRPr="001E07CA">
        <w:rPr>
          <w:lang w:val="sv-SE"/>
        </w:rPr>
        <w:t>p</w:t>
      </w:r>
      <w:r w:rsidR="00026601" w:rsidRPr="001E07CA">
        <w:rPr>
          <w:lang w:val="sv-SE"/>
        </w:rPr>
        <w:t>å godkännandet av och anmälan om organ</w:t>
      </w:r>
      <w:r w:rsidR="00282B80" w:rsidRPr="001E07CA">
        <w:rPr>
          <w:lang w:val="sv-SE"/>
        </w:rPr>
        <w:t>.</w:t>
      </w:r>
      <w:r w:rsidR="001D23C1" w:rsidRPr="001E07CA">
        <w:rPr>
          <w:lang w:val="sv-SE"/>
        </w:rPr>
        <w:t xml:space="preserve"> </w:t>
      </w:r>
      <w:r w:rsidR="00282B80" w:rsidRPr="001E07CA">
        <w:rPr>
          <w:lang w:val="sv-SE"/>
        </w:rPr>
        <w:t>Den lagen är ny och den har beretts så att den är förenlig med EU:</w:t>
      </w:r>
      <w:r w:rsidR="00895DC0" w:rsidRPr="001E07CA">
        <w:rPr>
          <w:lang w:val="sv-SE"/>
        </w:rPr>
        <w:t xml:space="preserve">s NLF-förordning, och därför </w:t>
      </w:r>
      <w:r w:rsidR="00203775" w:rsidRPr="001E07CA">
        <w:rPr>
          <w:lang w:val="sv-SE"/>
        </w:rPr>
        <w:t>tillgodoser</w:t>
      </w:r>
      <w:r w:rsidR="00282B80" w:rsidRPr="001E07CA">
        <w:rPr>
          <w:lang w:val="sv-SE"/>
        </w:rPr>
        <w:t xml:space="preserve"> den också</w:t>
      </w:r>
      <w:r w:rsidR="00895DC0" w:rsidRPr="001E07CA">
        <w:rPr>
          <w:lang w:val="sv-SE"/>
        </w:rPr>
        <w:t xml:space="preserve"> </w:t>
      </w:r>
      <w:r w:rsidR="00282B80" w:rsidRPr="001E07CA">
        <w:rPr>
          <w:lang w:val="sv-SE"/>
        </w:rPr>
        <w:t>gasanordningsförordningens behov i fråga om godkännandet av anmälda organ.</w:t>
      </w:r>
      <w:r w:rsidR="00275995" w:rsidRPr="001E07CA">
        <w:rPr>
          <w:lang w:val="sv-SE"/>
        </w:rPr>
        <w:t xml:space="preserve"> </w:t>
      </w:r>
      <w:r w:rsidR="00282B80" w:rsidRPr="001E07CA">
        <w:rPr>
          <w:lang w:val="sv-SE"/>
        </w:rPr>
        <w:t>Nationella bestämmelser ska utfärdas om sådana aktörer som utser anmä</w:t>
      </w:r>
      <w:r w:rsidR="00A93B22" w:rsidRPr="001E07CA">
        <w:rPr>
          <w:lang w:val="sv-SE"/>
        </w:rPr>
        <w:t>lda organ som etablerat sig på</w:t>
      </w:r>
      <w:r w:rsidR="00282B80" w:rsidRPr="001E07CA">
        <w:rPr>
          <w:lang w:val="sv-SE"/>
        </w:rPr>
        <w:t xml:space="preserve"> dess territorium och utövar tillsyn över deras verksamhet.</w:t>
      </w:r>
      <w:r w:rsidR="00912D61" w:rsidRPr="001E07CA">
        <w:rPr>
          <w:lang w:val="sv-SE"/>
        </w:rPr>
        <w:t xml:space="preserve"> </w:t>
      </w:r>
      <w:r w:rsidR="00282B80" w:rsidRPr="001E07CA">
        <w:rPr>
          <w:lang w:val="sv-SE"/>
        </w:rPr>
        <w:t>Enligt den nationella lagen om anmälda organ</w:t>
      </w:r>
      <w:r w:rsidR="00C03B1C" w:rsidRPr="001E07CA">
        <w:rPr>
          <w:lang w:val="sv-SE"/>
        </w:rPr>
        <w:t xml:space="preserve"> för vissa produktgrupper</w:t>
      </w:r>
      <w:r w:rsidR="00282B80" w:rsidRPr="001E07CA">
        <w:rPr>
          <w:lang w:val="sv-SE"/>
        </w:rPr>
        <w:t xml:space="preserve"> är arbets- och näringsministeriet </w:t>
      </w:r>
      <w:r w:rsidR="00C03B1C" w:rsidRPr="001E07CA">
        <w:rPr>
          <w:lang w:val="sv-SE"/>
        </w:rPr>
        <w:t xml:space="preserve">sådan </w:t>
      </w:r>
      <w:r w:rsidR="00282B80" w:rsidRPr="001E07CA">
        <w:rPr>
          <w:lang w:val="sv-SE"/>
        </w:rPr>
        <w:t>behörig myndighet</w:t>
      </w:r>
      <w:r w:rsidR="00C03B1C" w:rsidRPr="001E07CA">
        <w:rPr>
          <w:lang w:val="sv-SE"/>
        </w:rPr>
        <w:t>,</w:t>
      </w:r>
      <w:r w:rsidR="00282B80" w:rsidRPr="001E07CA">
        <w:rPr>
          <w:lang w:val="sv-SE"/>
        </w:rPr>
        <w:t xml:space="preserve"> och i fråga om radioanordningar är Kommunikationsverket behörig myndighet.</w:t>
      </w:r>
    </w:p>
    <w:p w:rsidR="009368B7" w:rsidRPr="001E07CA" w:rsidRDefault="009368B7" w:rsidP="00D957FD">
      <w:pPr>
        <w:rPr>
          <w:lang w:val="sv-SE"/>
        </w:rPr>
      </w:pPr>
    </w:p>
    <w:p w:rsidR="001E1478" w:rsidRPr="001E07CA" w:rsidRDefault="00900619" w:rsidP="00D957FD">
      <w:pPr>
        <w:rPr>
          <w:lang w:val="sv-SE"/>
        </w:rPr>
      </w:pPr>
      <w:r w:rsidRPr="001E07CA">
        <w:rPr>
          <w:b/>
          <w:lang w:val="sv-SE"/>
        </w:rPr>
        <w:t>7</w:t>
      </w:r>
      <w:r w:rsidR="001E1478" w:rsidRPr="001E07CA">
        <w:rPr>
          <w:b/>
          <w:lang w:val="sv-SE"/>
        </w:rPr>
        <w:t xml:space="preserve"> §</w:t>
      </w:r>
      <w:r w:rsidRPr="001E07CA">
        <w:rPr>
          <w:b/>
          <w:lang w:val="sv-SE"/>
        </w:rPr>
        <w:t>.</w:t>
      </w:r>
      <w:r w:rsidR="001E1478" w:rsidRPr="001E07CA">
        <w:rPr>
          <w:lang w:val="sv-SE"/>
        </w:rPr>
        <w:t xml:space="preserve"> </w:t>
      </w:r>
      <w:r w:rsidR="00282B80" w:rsidRPr="001E07CA">
        <w:rPr>
          <w:i/>
          <w:lang w:val="sv-SE"/>
        </w:rPr>
        <w:t>Intyg om överensstämmelse.</w:t>
      </w:r>
      <w:r w:rsidR="001E1478" w:rsidRPr="001E07CA">
        <w:rPr>
          <w:lang w:val="sv-SE"/>
        </w:rPr>
        <w:t xml:space="preserve"> </w:t>
      </w:r>
      <w:r w:rsidR="00282B80" w:rsidRPr="001E07CA">
        <w:rPr>
          <w:lang w:val="sv-SE"/>
        </w:rPr>
        <w:t xml:space="preserve">I paragrafen </w:t>
      </w:r>
      <w:r w:rsidR="00630B67" w:rsidRPr="001E07CA">
        <w:rPr>
          <w:lang w:val="sv-SE"/>
        </w:rPr>
        <w:t>föreslås</w:t>
      </w:r>
      <w:r w:rsidR="00282B80" w:rsidRPr="001E07CA">
        <w:rPr>
          <w:lang w:val="sv-SE"/>
        </w:rPr>
        <w:t xml:space="preserve"> bestämmelser om anmälda organs skyldighe</w:t>
      </w:r>
      <w:r w:rsidR="00A3502A" w:rsidRPr="001E07CA">
        <w:rPr>
          <w:lang w:val="sv-SE"/>
        </w:rPr>
        <w:t>t att ge tillverkaren ett EU-typ</w:t>
      </w:r>
      <w:r w:rsidR="00282B80" w:rsidRPr="001E07CA">
        <w:rPr>
          <w:lang w:val="sv-SE"/>
        </w:rPr>
        <w:t>intyg, om en gasanordning uppfyller kraven i denna lag.</w:t>
      </w:r>
      <w:r w:rsidR="001E1478" w:rsidRPr="001E07CA">
        <w:rPr>
          <w:lang w:val="sv-SE"/>
        </w:rPr>
        <w:t xml:space="preserve"> </w:t>
      </w:r>
      <w:r w:rsidR="00282B80" w:rsidRPr="001E07CA">
        <w:rPr>
          <w:lang w:val="sv-SE"/>
        </w:rPr>
        <w:t>Det anmälda organet ska också bevara kopior på intyg som avses i 1 mom. och tillägg till dem samt den tekniska dokumentationen, inklusive dokumentationen från tillverkaren, så länge som intyget är giltigt.</w:t>
      </w:r>
      <w:r w:rsidR="001E1478" w:rsidRPr="001E07CA">
        <w:rPr>
          <w:lang w:val="sv-SE"/>
        </w:rPr>
        <w:t xml:space="preserve"> </w:t>
      </w:r>
      <w:r w:rsidR="003E5447" w:rsidRPr="001E07CA">
        <w:rPr>
          <w:lang w:val="sv-SE"/>
        </w:rPr>
        <w:t>Det är viktigt att de produktspecifika handlingarna bevaras hos besiktningsorganet för att det kan säkerställas att handlingarna finns bevarade också i det fall att den tillverkare som handlingarna sänts till skulle upphöra med sin verksamhet.</w:t>
      </w:r>
    </w:p>
    <w:p w:rsidR="00BD31B8" w:rsidRPr="001E07CA" w:rsidRDefault="00BD31B8" w:rsidP="00D957FD">
      <w:pPr>
        <w:rPr>
          <w:lang w:val="sv-SE"/>
        </w:rPr>
      </w:pPr>
    </w:p>
    <w:p w:rsidR="00BD31B8" w:rsidRPr="001E07CA" w:rsidRDefault="00900619" w:rsidP="00D957FD">
      <w:pPr>
        <w:rPr>
          <w:lang w:val="sv-SE"/>
        </w:rPr>
      </w:pPr>
      <w:r w:rsidRPr="001E07CA">
        <w:rPr>
          <w:b/>
          <w:lang w:val="sv-SE"/>
        </w:rPr>
        <w:t>8</w:t>
      </w:r>
      <w:r w:rsidR="00BD31B8" w:rsidRPr="001E07CA">
        <w:rPr>
          <w:b/>
          <w:lang w:val="sv-SE"/>
        </w:rPr>
        <w:t xml:space="preserve"> §</w:t>
      </w:r>
      <w:r w:rsidRPr="001E07CA">
        <w:rPr>
          <w:b/>
          <w:lang w:val="sv-SE"/>
        </w:rPr>
        <w:t>.</w:t>
      </w:r>
      <w:r w:rsidR="00BD31B8" w:rsidRPr="001E07CA">
        <w:rPr>
          <w:lang w:val="sv-SE"/>
        </w:rPr>
        <w:t xml:space="preserve"> </w:t>
      </w:r>
      <w:r w:rsidR="003E5447" w:rsidRPr="001E07CA">
        <w:rPr>
          <w:i/>
          <w:lang w:val="sv-SE"/>
        </w:rPr>
        <w:t>Avslag och återkallande av intyg.</w:t>
      </w:r>
      <w:r w:rsidR="00BD31B8" w:rsidRPr="001E07CA">
        <w:rPr>
          <w:lang w:val="sv-SE"/>
        </w:rPr>
        <w:t xml:space="preserve"> </w:t>
      </w:r>
      <w:r w:rsidR="003E5447" w:rsidRPr="001E07CA">
        <w:rPr>
          <w:lang w:val="sv-SE"/>
        </w:rPr>
        <w:t xml:space="preserve">I </w:t>
      </w:r>
      <w:r w:rsidR="003758CD" w:rsidRPr="001E07CA">
        <w:rPr>
          <w:lang w:val="sv-SE"/>
        </w:rPr>
        <w:t>denna paragraf</w:t>
      </w:r>
      <w:r w:rsidR="0089457D" w:rsidRPr="001E07CA">
        <w:rPr>
          <w:lang w:val="sv-SE"/>
        </w:rPr>
        <w:t xml:space="preserve"> finns</w:t>
      </w:r>
      <w:r w:rsidR="003E5447" w:rsidRPr="001E07CA">
        <w:rPr>
          <w:lang w:val="sv-SE"/>
        </w:rPr>
        <w:t xml:space="preserve"> bestämmelser om anmälda organs skyldighet att låta bli att utfärda intyg och skyldighet att återkalla intyg.</w:t>
      </w:r>
      <w:r w:rsidR="00BD31B8" w:rsidRPr="001E07CA">
        <w:rPr>
          <w:lang w:val="sv-SE"/>
        </w:rPr>
        <w:t xml:space="preserve"> </w:t>
      </w:r>
      <w:r w:rsidR="00630B67" w:rsidRPr="001E07CA">
        <w:rPr>
          <w:lang w:val="sv-SE"/>
        </w:rPr>
        <w:t>Om ett anmäl</w:t>
      </w:r>
      <w:r w:rsidR="002E5306" w:rsidRPr="001E07CA">
        <w:rPr>
          <w:lang w:val="sv-SE"/>
        </w:rPr>
        <w:t>t organ upptäcker att en gasanordning</w:t>
      </w:r>
      <w:r w:rsidR="00630B67" w:rsidRPr="001E07CA">
        <w:rPr>
          <w:lang w:val="sv-SE"/>
        </w:rPr>
        <w:t xml:space="preserve"> inte uppfyller de </w:t>
      </w:r>
      <w:r w:rsidR="002E5306" w:rsidRPr="001E07CA">
        <w:rPr>
          <w:lang w:val="sv-SE"/>
        </w:rPr>
        <w:t>grundläggande</w:t>
      </w:r>
      <w:r w:rsidR="00630B67" w:rsidRPr="001E07CA">
        <w:rPr>
          <w:lang w:val="sv-SE"/>
        </w:rPr>
        <w:t xml:space="preserve"> säkerhetskrav som gäller den, ska organet ålägga tillverkaren att avhjälpa bristen, och organet får inte ge tillverkaren något intyg över överensstämmelse med kraven.</w:t>
      </w:r>
      <w:r w:rsidR="00BD31B8" w:rsidRPr="001E07CA">
        <w:rPr>
          <w:lang w:val="sv-SE"/>
        </w:rPr>
        <w:t xml:space="preserve"> </w:t>
      </w:r>
      <w:r w:rsidR="002E5306" w:rsidRPr="001E07CA">
        <w:rPr>
          <w:lang w:val="sv-SE"/>
        </w:rPr>
        <w:t>Om ett anmält organ efter det att ett intyg utfärdats anser att gasanordningen inte längre överensstämmer med kraven, ska organet ålägga tillverkaren att avhjälpa bristen och vid b</w:t>
      </w:r>
      <w:r w:rsidR="005E4156" w:rsidRPr="001E07CA">
        <w:rPr>
          <w:lang w:val="sv-SE"/>
        </w:rPr>
        <w:t>ehov återkalla intyget tillfälligt eller slutgiltigt</w:t>
      </w:r>
      <w:r w:rsidR="002E5306" w:rsidRPr="001E07CA">
        <w:rPr>
          <w:lang w:val="sv-SE"/>
        </w:rPr>
        <w:t>.</w:t>
      </w:r>
      <w:r w:rsidR="00BD31B8" w:rsidRPr="001E07CA">
        <w:rPr>
          <w:lang w:val="sv-SE"/>
        </w:rPr>
        <w:t xml:space="preserve"> </w:t>
      </w:r>
      <w:r w:rsidR="002E5306" w:rsidRPr="001E07CA">
        <w:rPr>
          <w:lang w:val="sv-SE"/>
        </w:rPr>
        <w:t>Om bristen inte avhjälps eller åtgärderna inte har önskad verkan, ska det anmälda organet vid behov återk</w:t>
      </w:r>
      <w:r w:rsidR="005E4156" w:rsidRPr="001E07CA">
        <w:rPr>
          <w:lang w:val="sv-SE"/>
        </w:rPr>
        <w:t>alla intyget tillfälligt eller slutgiltigt</w:t>
      </w:r>
      <w:r w:rsidR="002E5306" w:rsidRPr="001E07CA">
        <w:rPr>
          <w:lang w:val="sv-SE"/>
        </w:rPr>
        <w:t xml:space="preserve"> eller utfärda intyget belagt med restriktioner.</w:t>
      </w:r>
    </w:p>
    <w:p w:rsidR="00BD31B8" w:rsidRPr="001E07CA" w:rsidRDefault="00BD31B8" w:rsidP="00D957FD">
      <w:pPr>
        <w:rPr>
          <w:lang w:val="sv-SE"/>
        </w:rPr>
      </w:pPr>
    </w:p>
    <w:p w:rsidR="00BD31B8" w:rsidRPr="001E07CA" w:rsidRDefault="00900619" w:rsidP="00D957FD">
      <w:pPr>
        <w:rPr>
          <w:lang w:val="sv-SE"/>
        </w:rPr>
      </w:pPr>
      <w:r w:rsidRPr="001E07CA">
        <w:rPr>
          <w:b/>
          <w:lang w:val="sv-SE"/>
        </w:rPr>
        <w:t xml:space="preserve">9 </w:t>
      </w:r>
      <w:r w:rsidR="00BD31B8" w:rsidRPr="001E07CA">
        <w:rPr>
          <w:b/>
          <w:lang w:val="sv-SE"/>
        </w:rPr>
        <w:t>§</w:t>
      </w:r>
      <w:r w:rsidRPr="001E07CA">
        <w:rPr>
          <w:b/>
          <w:lang w:val="sv-SE"/>
        </w:rPr>
        <w:t>.</w:t>
      </w:r>
      <w:r w:rsidR="00BD31B8" w:rsidRPr="001E07CA">
        <w:rPr>
          <w:lang w:val="sv-SE"/>
        </w:rPr>
        <w:t xml:space="preserve"> </w:t>
      </w:r>
      <w:r w:rsidR="002E5306" w:rsidRPr="001E07CA">
        <w:rPr>
          <w:i/>
          <w:lang w:val="sv-SE"/>
        </w:rPr>
        <w:t>Ändringssökande.</w:t>
      </w:r>
      <w:r w:rsidR="00BD31B8" w:rsidRPr="001E07CA">
        <w:rPr>
          <w:lang w:val="sv-SE"/>
        </w:rPr>
        <w:t xml:space="preserve"> </w:t>
      </w:r>
      <w:r w:rsidR="006C6421" w:rsidRPr="001E07CA">
        <w:rPr>
          <w:lang w:val="sv-SE"/>
        </w:rPr>
        <w:t>I denna paragraf finns</w:t>
      </w:r>
      <w:r w:rsidR="002E5306" w:rsidRPr="001E07CA">
        <w:rPr>
          <w:lang w:val="sv-SE"/>
        </w:rPr>
        <w:t xml:space="preserve"> bestämmelser om begäran om omprövning av beslut som fattats av anmälda organ och om sökande av ändring i deras beslut.</w:t>
      </w:r>
      <w:r w:rsidR="00BD31B8" w:rsidRPr="001E07CA">
        <w:rPr>
          <w:lang w:val="sv-SE"/>
        </w:rPr>
        <w:t xml:space="preserve"> </w:t>
      </w:r>
      <w:r w:rsidR="002E5306" w:rsidRPr="001E07CA">
        <w:rPr>
          <w:lang w:val="sv-SE"/>
        </w:rPr>
        <w:t>I paragrafen föreslås till denna del hänvisningar till förvaltningslagen och förvaltningsprocesslagen.</w:t>
      </w:r>
      <w:r w:rsidR="00BD31B8" w:rsidRPr="001E07CA">
        <w:rPr>
          <w:lang w:val="sv-SE"/>
        </w:rPr>
        <w:t xml:space="preserve"> </w:t>
      </w:r>
      <w:r w:rsidR="00E5534F" w:rsidRPr="001E07CA">
        <w:rPr>
          <w:lang w:val="sv-SE"/>
        </w:rPr>
        <w:t>I</w:t>
      </w:r>
      <w:r w:rsidR="002E5306" w:rsidRPr="001E07CA">
        <w:rPr>
          <w:lang w:val="sv-SE"/>
        </w:rPr>
        <w:t xml:space="preserve"> </w:t>
      </w:r>
      <w:r w:rsidR="00E5534F" w:rsidRPr="001E07CA">
        <w:rPr>
          <w:lang w:val="sv-SE"/>
        </w:rPr>
        <w:t xml:space="preserve">ett </w:t>
      </w:r>
      <w:r w:rsidR="002E5306" w:rsidRPr="001E07CA">
        <w:rPr>
          <w:lang w:val="sv-SE"/>
        </w:rPr>
        <w:t>beslut som meddelats med anledning av en begäran om omprövning får ändring sökas genom besvär hos förvaltningsdomstolen på det sätt som föreskrivs i förvaltningsprocesslagen.</w:t>
      </w:r>
      <w:r w:rsidR="00BD31B8" w:rsidRPr="001E07CA">
        <w:rPr>
          <w:lang w:val="sv-SE"/>
        </w:rPr>
        <w:t xml:space="preserve"> </w:t>
      </w:r>
      <w:r w:rsidR="006933B5" w:rsidRPr="001E07CA">
        <w:rPr>
          <w:lang w:val="sv-SE"/>
        </w:rPr>
        <w:t>F</w:t>
      </w:r>
      <w:r w:rsidR="002E5306" w:rsidRPr="001E07CA">
        <w:rPr>
          <w:lang w:val="sv-SE"/>
        </w:rPr>
        <w:t>örvaltningsdomstolens beslut få</w:t>
      </w:r>
      <w:r w:rsidR="006933B5" w:rsidRPr="001E07CA">
        <w:rPr>
          <w:lang w:val="sv-SE"/>
        </w:rPr>
        <w:t>r överklagas</w:t>
      </w:r>
      <w:r w:rsidR="002E5306" w:rsidRPr="001E07CA">
        <w:rPr>
          <w:lang w:val="sv-SE"/>
        </w:rPr>
        <w:t xml:space="preserve"> genom besvär hos hög</w:t>
      </w:r>
      <w:r w:rsidR="006933B5" w:rsidRPr="001E07CA">
        <w:rPr>
          <w:lang w:val="sv-SE"/>
        </w:rPr>
        <w:t>sta förvaltningsdomstolen bara</w:t>
      </w:r>
      <w:r w:rsidR="002E5306" w:rsidRPr="001E07CA">
        <w:rPr>
          <w:lang w:val="sv-SE"/>
        </w:rPr>
        <w:t xml:space="preserve"> om högsta förvaltningsdomstolen beviljar besvärstillstånd.</w:t>
      </w:r>
    </w:p>
    <w:p w:rsidR="001E1478" w:rsidRPr="001E07CA" w:rsidRDefault="001E1478" w:rsidP="00D957FD">
      <w:pPr>
        <w:rPr>
          <w:lang w:val="sv-SE"/>
        </w:rPr>
      </w:pPr>
    </w:p>
    <w:p w:rsidR="00121C64" w:rsidRPr="001E07CA" w:rsidRDefault="002E5306" w:rsidP="00121C64">
      <w:pPr>
        <w:rPr>
          <w:lang w:val="sv-SE"/>
        </w:rPr>
      </w:pPr>
      <w:r w:rsidRPr="001E07CA">
        <w:rPr>
          <w:lang w:val="sv-SE"/>
        </w:rPr>
        <w:t>4 kap. Särskilda bestämmelser</w:t>
      </w:r>
    </w:p>
    <w:p w:rsidR="00121C64" w:rsidRPr="001E07CA" w:rsidRDefault="00121C64" w:rsidP="00D957FD">
      <w:pPr>
        <w:rPr>
          <w:lang w:val="sv-SE"/>
        </w:rPr>
      </w:pPr>
    </w:p>
    <w:p w:rsidR="00D957FD" w:rsidRPr="001E07CA" w:rsidRDefault="00116373" w:rsidP="00D957FD">
      <w:pPr>
        <w:rPr>
          <w:lang w:val="sv-SE"/>
        </w:rPr>
      </w:pPr>
      <w:r w:rsidRPr="001E07CA">
        <w:rPr>
          <w:b/>
          <w:lang w:val="sv-SE"/>
        </w:rPr>
        <w:t>1</w:t>
      </w:r>
      <w:r w:rsidR="00900619" w:rsidRPr="001E07CA">
        <w:rPr>
          <w:b/>
          <w:lang w:val="sv-SE"/>
        </w:rPr>
        <w:t>0</w:t>
      </w:r>
      <w:r w:rsidR="00D957FD" w:rsidRPr="001E07CA">
        <w:rPr>
          <w:b/>
          <w:lang w:val="sv-SE"/>
        </w:rPr>
        <w:t xml:space="preserve"> §. </w:t>
      </w:r>
      <w:r w:rsidR="002E5306" w:rsidRPr="001E07CA">
        <w:rPr>
          <w:i/>
          <w:lang w:val="sv-SE"/>
        </w:rPr>
        <w:t>Tillsyn.</w:t>
      </w:r>
      <w:r w:rsidR="00D957FD" w:rsidRPr="001E07CA">
        <w:rPr>
          <w:lang w:val="sv-SE"/>
        </w:rPr>
        <w:t xml:space="preserve"> </w:t>
      </w:r>
      <w:r w:rsidR="002E5306" w:rsidRPr="001E07CA">
        <w:rPr>
          <w:lang w:val="sv-SE"/>
        </w:rPr>
        <w:t xml:space="preserve">I paragrafen hänvisas i fråga om tillsynen över efterlevnaden av lagen till </w:t>
      </w:r>
      <w:r w:rsidR="00826A8A" w:rsidRPr="001E07CA">
        <w:rPr>
          <w:lang w:val="sv-SE"/>
        </w:rPr>
        <w:t xml:space="preserve">gasanordningsförordningens </w:t>
      </w:r>
      <w:r w:rsidR="002E5306" w:rsidRPr="001E07CA">
        <w:rPr>
          <w:lang w:val="sv-SE"/>
        </w:rPr>
        <w:t>kapitel V samt till NLF-förordningen och marknadskontrollagen.</w:t>
      </w:r>
      <w:r w:rsidR="00D957FD" w:rsidRPr="001E07CA">
        <w:rPr>
          <w:lang w:val="sv-SE"/>
        </w:rPr>
        <w:t xml:space="preserve"> </w:t>
      </w:r>
      <w:r w:rsidR="002E5306" w:rsidRPr="001E07CA">
        <w:rPr>
          <w:lang w:val="sv-SE"/>
        </w:rPr>
        <w:t xml:space="preserve">Kapitel V i gasanordningsförordningen </w:t>
      </w:r>
      <w:r w:rsidR="00AB57E7" w:rsidRPr="001E07CA">
        <w:rPr>
          <w:lang w:val="sv-SE"/>
        </w:rPr>
        <w:t>gäller</w:t>
      </w:r>
      <w:r w:rsidR="002E5306" w:rsidRPr="001E07CA">
        <w:rPr>
          <w:lang w:val="sv-SE"/>
        </w:rPr>
        <w:t xml:space="preserve"> marknadskontroll i unionen, kontroll av gasanordningar som förs in på unionsmarknaden och unionens förf</w:t>
      </w:r>
      <w:r w:rsidR="003F5CFE" w:rsidRPr="001E07CA">
        <w:rPr>
          <w:lang w:val="sv-SE"/>
        </w:rPr>
        <w:t>arande i fråga om skyddsåtgärde</w:t>
      </w:r>
      <w:r w:rsidR="00343F80" w:rsidRPr="001E07CA">
        <w:rPr>
          <w:lang w:val="sv-SE"/>
        </w:rPr>
        <w:t>r</w:t>
      </w:r>
      <w:r w:rsidR="003F5CFE" w:rsidRPr="001E07CA">
        <w:rPr>
          <w:lang w:val="sv-SE"/>
        </w:rPr>
        <w:t>. F</w:t>
      </w:r>
      <w:r w:rsidR="002E5306" w:rsidRPr="001E07CA">
        <w:rPr>
          <w:lang w:val="sv-SE"/>
        </w:rPr>
        <w:t>örordningen är den primära rättsakt som ska tillämpas vid kontrollen av gasanordningar.</w:t>
      </w:r>
      <w:r w:rsidR="00D957FD" w:rsidRPr="001E07CA">
        <w:rPr>
          <w:lang w:val="sv-SE"/>
        </w:rPr>
        <w:t xml:space="preserve"> </w:t>
      </w:r>
      <w:r w:rsidR="002E5306" w:rsidRPr="001E07CA">
        <w:rPr>
          <w:lang w:val="sv-SE"/>
        </w:rPr>
        <w:t>I syfte att säkerställa att marknadskontrollen också fortsättningsvis förfogar över tillräckliga metoder och befogenheter, föreslås i paragrafen också bestämmelser om att NLF-förordningen och ma</w:t>
      </w:r>
      <w:r w:rsidR="00575AB0" w:rsidRPr="001E07CA">
        <w:rPr>
          <w:lang w:val="sv-SE"/>
        </w:rPr>
        <w:t>rknadskontrollagen tillämpas på</w:t>
      </w:r>
      <w:r w:rsidR="002E5306" w:rsidRPr="001E07CA">
        <w:rPr>
          <w:lang w:val="sv-SE"/>
        </w:rPr>
        <w:t xml:space="preserve"> marknadskontrollen.</w:t>
      </w:r>
      <w:r w:rsidR="00D957FD" w:rsidRPr="001E07CA">
        <w:rPr>
          <w:lang w:val="sv-SE"/>
        </w:rPr>
        <w:t xml:space="preserve"> </w:t>
      </w:r>
      <w:r w:rsidR="002E5306" w:rsidRPr="001E07CA">
        <w:rPr>
          <w:lang w:val="sv-SE"/>
        </w:rPr>
        <w:t xml:space="preserve">Hänvisningen till NLF-förordningen är sålunda närmast informativ eftersom det </w:t>
      </w:r>
      <w:r w:rsidR="00AB3496" w:rsidRPr="001E07CA">
        <w:rPr>
          <w:lang w:val="sv-SE"/>
        </w:rPr>
        <w:t>i artikel 36</w:t>
      </w:r>
      <w:r w:rsidR="002E5306" w:rsidRPr="001E07CA">
        <w:rPr>
          <w:lang w:val="sv-SE"/>
        </w:rPr>
        <w:t xml:space="preserve"> i </w:t>
      </w:r>
      <w:r w:rsidR="00AB3496" w:rsidRPr="001E07CA">
        <w:rPr>
          <w:lang w:val="sv-SE"/>
        </w:rPr>
        <w:t>gasanordnings</w:t>
      </w:r>
      <w:r w:rsidR="002E5306" w:rsidRPr="001E07CA">
        <w:rPr>
          <w:lang w:val="sv-SE"/>
        </w:rPr>
        <w:t xml:space="preserve">förordningen </w:t>
      </w:r>
      <w:r w:rsidR="00AB3496" w:rsidRPr="001E07CA">
        <w:rPr>
          <w:lang w:val="sv-SE"/>
        </w:rPr>
        <w:t xml:space="preserve">föreskrivs </w:t>
      </w:r>
      <w:r w:rsidR="002E5306" w:rsidRPr="001E07CA">
        <w:rPr>
          <w:lang w:val="sv-SE"/>
        </w:rPr>
        <w:t xml:space="preserve">att artiklarna 15.3 och 16–29 i NLF-förordningen, vilka handlar om marknadskontroll </w:t>
      </w:r>
      <w:r w:rsidR="002E5306" w:rsidRPr="001E07CA">
        <w:rPr>
          <w:lang w:val="sv-SE"/>
        </w:rPr>
        <w:lastRenderedPageBreak/>
        <w:t xml:space="preserve">och s.k. yttre gränskontroll, ska gälla för </w:t>
      </w:r>
      <w:r w:rsidR="00AB3496" w:rsidRPr="001E07CA">
        <w:rPr>
          <w:lang w:val="sv-SE"/>
        </w:rPr>
        <w:t xml:space="preserve">de gasanordningar </w:t>
      </w:r>
      <w:r w:rsidR="00CA1C79" w:rsidRPr="001E07CA">
        <w:rPr>
          <w:lang w:val="sv-SE"/>
        </w:rPr>
        <w:t>som omfattas av gasanordnings</w:t>
      </w:r>
      <w:r w:rsidR="002E5306" w:rsidRPr="001E07CA">
        <w:rPr>
          <w:lang w:val="sv-SE"/>
        </w:rPr>
        <w:t>förordning</w:t>
      </w:r>
      <w:r w:rsidR="00CA1C79" w:rsidRPr="001E07CA">
        <w:rPr>
          <w:lang w:val="sv-SE"/>
        </w:rPr>
        <w:t>en</w:t>
      </w:r>
      <w:r w:rsidR="002E5306" w:rsidRPr="001E07CA">
        <w:rPr>
          <w:lang w:val="sv-SE"/>
        </w:rPr>
        <w:t>.</w:t>
      </w:r>
      <w:r w:rsidR="00D957FD" w:rsidRPr="001E07CA">
        <w:rPr>
          <w:lang w:val="sv-SE"/>
        </w:rPr>
        <w:t xml:space="preserve"> </w:t>
      </w:r>
      <w:r w:rsidR="00AB3496" w:rsidRPr="001E07CA">
        <w:rPr>
          <w:lang w:val="sv-SE"/>
        </w:rPr>
        <w:t xml:space="preserve">I fråga om marknadskontrollagen är avsikten att säkerställa en effektiv tillsyn över iakttagandet av kraven i </w:t>
      </w:r>
      <w:r w:rsidR="008A5392" w:rsidRPr="001E07CA">
        <w:rPr>
          <w:lang w:val="sv-SE"/>
        </w:rPr>
        <w:t>gasanordnings</w:t>
      </w:r>
      <w:r w:rsidR="00AB3496" w:rsidRPr="001E07CA">
        <w:rPr>
          <w:lang w:val="sv-SE"/>
        </w:rPr>
        <w:t>förordningen genom att möjliggöra användningen av tillräckliga åtgärder vid kontrollen.</w:t>
      </w:r>
    </w:p>
    <w:p w:rsidR="00D957FD" w:rsidRPr="001E07CA" w:rsidRDefault="00D957FD" w:rsidP="00D957FD">
      <w:pPr>
        <w:rPr>
          <w:lang w:val="sv-SE"/>
        </w:rPr>
      </w:pPr>
      <w:r w:rsidRPr="001E07CA">
        <w:rPr>
          <w:lang w:val="sv-SE"/>
        </w:rPr>
        <w:t xml:space="preserve"> </w:t>
      </w:r>
    </w:p>
    <w:p w:rsidR="00D957FD" w:rsidRPr="001E07CA" w:rsidRDefault="008A5392" w:rsidP="00D957FD">
      <w:pPr>
        <w:rPr>
          <w:lang w:val="sv-SE"/>
        </w:rPr>
      </w:pPr>
      <w:r w:rsidRPr="001E07CA">
        <w:rPr>
          <w:lang w:val="sv-SE"/>
        </w:rPr>
        <w:t>I 2 mom. föreskrivs att marknadskontrollmyndigheten enligt denna lag och den marknadskontrollmyndighet som avses i gasanordningsförordningen är Säkerhets- och kemikalieverket.</w:t>
      </w:r>
      <w:r w:rsidR="00D957FD" w:rsidRPr="001E07CA">
        <w:rPr>
          <w:lang w:val="sv-SE"/>
        </w:rPr>
        <w:t xml:space="preserve"> </w:t>
      </w:r>
      <w:r w:rsidRPr="001E07CA">
        <w:rPr>
          <w:lang w:val="sv-SE"/>
        </w:rPr>
        <w:t>Avsikten är att Säkerhets- och kemikalieverket ska svara för vidtagandet av samtliga myndighetsåtgärder som avses i kapitel V i gasanordningsförordningen, oberoende av huruvida det i gasanordningsförordningen i fråga om myndighetsåtgärder används termen marknadskontrollmyndighet eller medlemsstat.</w:t>
      </w:r>
      <w:r w:rsidR="00D957FD" w:rsidRPr="001E07CA">
        <w:rPr>
          <w:lang w:val="sv-SE"/>
        </w:rPr>
        <w:t xml:space="preserve"> </w:t>
      </w:r>
    </w:p>
    <w:p w:rsidR="00D957FD" w:rsidRPr="001E07CA" w:rsidRDefault="00D957FD" w:rsidP="00D957FD">
      <w:pPr>
        <w:rPr>
          <w:lang w:val="sv-SE"/>
        </w:rPr>
      </w:pPr>
    </w:p>
    <w:p w:rsidR="00D957FD" w:rsidRPr="001E07CA" w:rsidRDefault="00900619" w:rsidP="00D957FD">
      <w:pPr>
        <w:rPr>
          <w:lang w:val="sv-SE"/>
        </w:rPr>
      </w:pPr>
      <w:r w:rsidRPr="001E07CA">
        <w:rPr>
          <w:b/>
          <w:lang w:val="sv-SE"/>
        </w:rPr>
        <w:t>11</w:t>
      </w:r>
      <w:r w:rsidR="00D957FD" w:rsidRPr="001E07CA">
        <w:rPr>
          <w:b/>
          <w:lang w:val="sv-SE"/>
        </w:rPr>
        <w:t xml:space="preserve"> §.</w:t>
      </w:r>
      <w:r w:rsidR="00D957FD" w:rsidRPr="001E07CA">
        <w:rPr>
          <w:lang w:val="sv-SE"/>
        </w:rPr>
        <w:t xml:space="preserve"> </w:t>
      </w:r>
      <w:r w:rsidR="008A5392" w:rsidRPr="001E07CA">
        <w:rPr>
          <w:i/>
          <w:lang w:val="sv-SE"/>
        </w:rPr>
        <w:t>Straffbestämmelser.</w:t>
      </w:r>
      <w:r w:rsidR="00D957FD" w:rsidRPr="001E07CA">
        <w:rPr>
          <w:i/>
          <w:lang w:val="sv-SE"/>
        </w:rPr>
        <w:t xml:space="preserve"> </w:t>
      </w:r>
      <w:r w:rsidR="008A5392" w:rsidRPr="001E07CA">
        <w:rPr>
          <w:lang w:val="sv-SE"/>
        </w:rPr>
        <w:t>I paragrafen föreslås bestämmelser om gasanordningsförseelse.</w:t>
      </w:r>
      <w:r w:rsidR="00AB6B21" w:rsidRPr="001E07CA">
        <w:rPr>
          <w:lang w:val="sv-SE"/>
        </w:rPr>
        <w:t xml:space="preserve"> </w:t>
      </w:r>
      <w:r w:rsidR="008A5392" w:rsidRPr="001E07CA">
        <w:rPr>
          <w:lang w:val="sv-SE"/>
        </w:rPr>
        <w:t xml:space="preserve">I paragrafen uppräknas de artiklar och underpunkter i gasanordningsförordningen och </w:t>
      </w:r>
      <w:r w:rsidR="00A00BD2" w:rsidRPr="001E07CA">
        <w:rPr>
          <w:lang w:val="sv-SE"/>
        </w:rPr>
        <w:t xml:space="preserve">de </w:t>
      </w:r>
      <w:r w:rsidR="008A5392" w:rsidRPr="001E07CA">
        <w:rPr>
          <w:lang w:val="sv-SE"/>
        </w:rPr>
        <w:t>språkkrav i 6 § i denna lag vars uppsåtliga försummelse eller försummelse av oaktsamhet kan, om inte strängare straff för gärningen föreskrivs n</w:t>
      </w:r>
      <w:r w:rsidR="00501C93" w:rsidRPr="001E07CA">
        <w:rPr>
          <w:lang w:val="sv-SE"/>
        </w:rPr>
        <w:t>ågon annanstans i lag, resultera i</w:t>
      </w:r>
      <w:r w:rsidR="008A5392" w:rsidRPr="001E07CA">
        <w:rPr>
          <w:lang w:val="sv-SE"/>
        </w:rPr>
        <w:t xml:space="preserve"> bötesstraff för gasanordningsförseelse.</w:t>
      </w:r>
      <w:r w:rsidR="00D957FD" w:rsidRPr="001E07CA">
        <w:rPr>
          <w:lang w:val="sv-SE"/>
        </w:rPr>
        <w:t xml:space="preserve"> </w:t>
      </w:r>
      <w:r w:rsidR="005270FD" w:rsidRPr="001E07CA">
        <w:rPr>
          <w:lang w:val="sv-SE"/>
        </w:rPr>
        <w:t xml:space="preserve">När det gäller graden av tillräknande finns det skäl eftersträva en så enhetlig linje som möjligt i fråga om de straffbestämmelser som gäller andra anordningar som </w:t>
      </w:r>
      <w:r w:rsidR="002410F8" w:rsidRPr="001E07CA">
        <w:rPr>
          <w:lang w:val="sv-SE"/>
        </w:rPr>
        <w:t xml:space="preserve">motsvarar </w:t>
      </w:r>
      <w:r w:rsidR="005270FD" w:rsidRPr="001E07CA">
        <w:rPr>
          <w:lang w:val="sv-SE"/>
        </w:rPr>
        <w:t>gasanordningarna och som använder farliga kemikalier.</w:t>
      </w:r>
      <w:r w:rsidR="00D957FD" w:rsidRPr="001E07CA">
        <w:rPr>
          <w:lang w:val="sv-SE"/>
        </w:rPr>
        <w:t xml:space="preserve"> </w:t>
      </w:r>
      <w:r w:rsidR="005270FD" w:rsidRPr="001E07CA">
        <w:rPr>
          <w:lang w:val="sv-SE"/>
        </w:rPr>
        <w:t>En naturlig jämförelsepunkt är användningen av flytgas</w:t>
      </w:r>
      <w:r w:rsidR="00C2588B" w:rsidRPr="001E07CA">
        <w:rPr>
          <w:lang w:val="sv-SE"/>
        </w:rPr>
        <w:t xml:space="preserve"> (gasol)</w:t>
      </w:r>
      <w:r w:rsidR="00450B77" w:rsidRPr="001E07CA">
        <w:rPr>
          <w:lang w:val="sv-SE"/>
        </w:rPr>
        <w:t xml:space="preserve"> eller</w:t>
      </w:r>
      <w:r w:rsidR="005270FD" w:rsidRPr="001E07CA">
        <w:rPr>
          <w:lang w:val="sv-SE"/>
        </w:rPr>
        <w:t xml:space="preserve"> naturgas.</w:t>
      </w:r>
      <w:r w:rsidR="00626622" w:rsidRPr="001E07CA">
        <w:rPr>
          <w:lang w:val="sv-SE"/>
        </w:rPr>
        <w:t xml:space="preserve"> </w:t>
      </w:r>
      <w:r w:rsidR="005270FD" w:rsidRPr="001E07CA">
        <w:rPr>
          <w:lang w:val="sv-SE"/>
        </w:rPr>
        <w:t xml:space="preserve">Det är fråga om </w:t>
      </w:r>
      <w:r w:rsidR="008E464A" w:rsidRPr="001E07CA">
        <w:rPr>
          <w:lang w:val="sv-SE"/>
        </w:rPr>
        <w:t>användningen av brännbara gaser, och</w:t>
      </w:r>
      <w:r w:rsidR="005270FD" w:rsidRPr="001E07CA">
        <w:rPr>
          <w:lang w:val="sv-SE"/>
        </w:rPr>
        <w:t xml:space="preserve"> försummelse av säkerheten vid användningen av dem kan ha allvarliga följder.</w:t>
      </w:r>
      <w:r w:rsidR="00A02FF0" w:rsidRPr="001E07CA">
        <w:rPr>
          <w:lang w:val="sv-SE"/>
        </w:rPr>
        <w:t xml:space="preserve"> </w:t>
      </w:r>
      <w:r w:rsidR="005270FD" w:rsidRPr="001E07CA">
        <w:rPr>
          <w:lang w:val="sv-SE"/>
        </w:rPr>
        <w:t xml:space="preserve">I nuläget grundar sig bestämmelserna om straff för brott mot skyldigheterna i samband med ovan nämnda brännbara gaser samt gasanordningar på 125 § i kemikaliesäkerhetslagen. Enligt den kan för brott mot bestämmelserna om explosiva varor </w:t>
      </w:r>
      <w:r w:rsidR="0088125C" w:rsidRPr="001E07CA">
        <w:rPr>
          <w:lang w:val="sv-SE"/>
        </w:rPr>
        <w:t>dömas till böter.</w:t>
      </w:r>
      <w:r w:rsidR="00947A64" w:rsidRPr="001E07CA">
        <w:rPr>
          <w:lang w:val="sv-SE"/>
        </w:rPr>
        <w:t xml:space="preserve"> </w:t>
      </w:r>
    </w:p>
    <w:p w:rsidR="00521177" w:rsidRPr="001E07CA" w:rsidRDefault="00521177" w:rsidP="00D957FD">
      <w:pPr>
        <w:rPr>
          <w:lang w:val="sv-SE"/>
        </w:rPr>
      </w:pPr>
    </w:p>
    <w:p w:rsidR="0088125C" w:rsidRPr="001E07CA" w:rsidRDefault="0088125C" w:rsidP="00521177">
      <w:pPr>
        <w:rPr>
          <w:lang w:val="sv-SE"/>
        </w:rPr>
      </w:pPr>
      <w:r w:rsidRPr="001E07CA">
        <w:rPr>
          <w:lang w:val="sv-SE"/>
        </w:rPr>
        <w:t xml:space="preserve">I 125 § i kemikaliesäkerhetslagen har graden av tillräknande </w:t>
      </w:r>
      <w:r w:rsidR="008833B9" w:rsidRPr="001E07CA">
        <w:rPr>
          <w:lang w:val="sv-SE"/>
        </w:rPr>
        <w:t xml:space="preserve">vid brott mot bestämmelserna om explosiva varor </w:t>
      </w:r>
      <w:r w:rsidRPr="001E07CA">
        <w:rPr>
          <w:lang w:val="sv-SE"/>
        </w:rPr>
        <w:t>föreskrivits vara uppsåt och oaktsamhet.</w:t>
      </w:r>
      <w:r w:rsidR="00521177" w:rsidRPr="001E07CA">
        <w:rPr>
          <w:lang w:val="sv-SE"/>
        </w:rPr>
        <w:t xml:space="preserve"> </w:t>
      </w:r>
      <w:r w:rsidRPr="001E07CA">
        <w:rPr>
          <w:lang w:val="sv-SE"/>
        </w:rPr>
        <w:t>I 3 kap. 5 § i strafflagen finns bestämmelser om tillräknande.</w:t>
      </w:r>
      <w:r w:rsidR="00521177" w:rsidRPr="001E07CA">
        <w:rPr>
          <w:lang w:val="sv-SE"/>
        </w:rPr>
        <w:t xml:space="preserve"> </w:t>
      </w:r>
      <w:r w:rsidR="004C7C6D" w:rsidRPr="001E07CA">
        <w:rPr>
          <w:lang w:val="sv-SE"/>
        </w:rPr>
        <w:t>Enligt bestämmelsen förutsätter uppkomsten av</w:t>
      </w:r>
      <w:r w:rsidR="00F50D11" w:rsidRPr="001E07CA">
        <w:rPr>
          <w:lang w:val="sv-SE"/>
        </w:rPr>
        <w:t xml:space="preserve"> straffansvar uppsåt eller oaktsamhet.</w:t>
      </w:r>
      <w:r w:rsidR="00521177" w:rsidRPr="001E07CA">
        <w:rPr>
          <w:lang w:val="sv-SE"/>
        </w:rPr>
        <w:t xml:space="preserve"> </w:t>
      </w:r>
      <w:r w:rsidR="00F50D11" w:rsidRPr="001E07CA">
        <w:rPr>
          <w:lang w:val="sv-SE"/>
        </w:rPr>
        <w:t>I 5 § 2 mom. föreskrivs att om inte något annat föreskrivs är en gärning som avses i denna lag straffbar endast när den begås uppsåtligen.</w:t>
      </w:r>
      <w:r w:rsidR="00521177" w:rsidRPr="001E07CA">
        <w:rPr>
          <w:lang w:val="sv-SE"/>
        </w:rPr>
        <w:t xml:space="preserve"> </w:t>
      </w:r>
      <w:r w:rsidR="00F50D11" w:rsidRPr="001E07CA">
        <w:rPr>
          <w:lang w:val="sv-SE"/>
        </w:rPr>
        <w:t>I 3 kap. 7 § i strafflagen finns bestämmelser om oaktsamhet.</w:t>
      </w:r>
      <w:r w:rsidR="00521177" w:rsidRPr="001E07CA">
        <w:rPr>
          <w:lang w:val="sv-SE"/>
        </w:rPr>
        <w:t xml:space="preserve"> </w:t>
      </w:r>
      <w:r w:rsidR="00F50D11" w:rsidRPr="001E07CA">
        <w:rPr>
          <w:lang w:val="sv-SE"/>
        </w:rPr>
        <w:t>Där föreskrivs det att en gärningsmans förfarande är oaktsamt, om gärningsmannen åsidosätter den aktsamhetsplikt som han eller hon under de rådande omständigheterna har, trots att han eller hon hade kunnat rätta sig efter den (oaktsamhet).</w:t>
      </w:r>
      <w:r w:rsidR="00521177" w:rsidRPr="001E07CA">
        <w:rPr>
          <w:lang w:val="sv-SE"/>
        </w:rPr>
        <w:t xml:space="preserve"> </w:t>
      </w:r>
      <w:r w:rsidR="00F50D11" w:rsidRPr="001E07CA">
        <w:rPr>
          <w:lang w:val="sv-SE"/>
        </w:rPr>
        <w:t>I paragrafens 2 mom. föreskrivs om de fall där oaktsamheten anses vara grov.</w:t>
      </w:r>
      <w:r w:rsidR="00521177" w:rsidRPr="001E07CA">
        <w:rPr>
          <w:lang w:val="sv-SE"/>
        </w:rPr>
        <w:t xml:space="preserve"> </w:t>
      </w:r>
      <w:r w:rsidR="00F50D11" w:rsidRPr="001E07CA">
        <w:rPr>
          <w:lang w:val="sv-SE"/>
        </w:rPr>
        <w:t>Frågan om oaktsamheten ska anses vara grov (grov oaktsamhet) avgörs utifrån en helhetsbedömning.</w:t>
      </w:r>
      <w:r w:rsidR="00521177" w:rsidRPr="001E07CA">
        <w:rPr>
          <w:lang w:val="sv-SE"/>
        </w:rPr>
        <w:t xml:space="preserve"> </w:t>
      </w:r>
      <w:r w:rsidR="00F50D11" w:rsidRPr="001E07CA">
        <w:rPr>
          <w:lang w:val="sv-SE"/>
        </w:rPr>
        <w:t>Vid bedömningen beaktas hur betydande den åsidosatta aktsamhetsplikten är, hur viktiga de äventyrade intressena och hur sannolik kränkningen är, hur medveten gärningsmannen är om att han eller hon tar en risk samt övriga omständigheter som påverkar gärningen och gärningsmannen.</w:t>
      </w:r>
      <w:r w:rsidR="00521177" w:rsidRPr="001E07CA">
        <w:rPr>
          <w:lang w:val="sv-SE"/>
        </w:rPr>
        <w:t> </w:t>
      </w:r>
    </w:p>
    <w:p w:rsidR="00521177" w:rsidRPr="001E07CA" w:rsidRDefault="00521177" w:rsidP="00521177">
      <w:pPr>
        <w:rPr>
          <w:lang w:val="sv-SE"/>
        </w:rPr>
      </w:pPr>
    </w:p>
    <w:p w:rsidR="00521177" w:rsidRPr="001E07CA" w:rsidRDefault="00055F1C" w:rsidP="00521177">
      <w:pPr>
        <w:rPr>
          <w:lang w:val="sv-SE"/>
        </w:rPr>
      </w:pPr>
      <w:r w:rsidRPr="001E07CA">
        <w:rPr>
          <w:lang w:val="sv-SE"/>
        </w:rPr>
        <w:t>De försummelser av skyldigheter som enligt den föreslagna lagen ska vara sanktionerade gäller tillverkare, importörer och distributörer av gasanordningar.</w:t>
      </w:r>
      <w:r w:rsidR="00521177" w:rsidRPr="001E07CA">
        <w:rPr>
          <w:lang w:val="sv-SE"/>
        </w:rPr>
        <w:t xml:space="preserve"> </w:t>
      </w:r>
      <w:r w:rsidRPr="001E07CA">
        <w:rPr>
          <w:lang w:val="sv-SE"/>
        </w:rPr>
        <w:t>Av nämnda aktörer krävs specialkunnande och speciell yrkeskompetens som framhäver särskild aktsamhetsplikt för att gasanordningarnas säkerhets ska kunna säkerställas.</w:t>
      </w:r>
      <w:r w:rsidR="00521177" w:rsidRPr="001E07CA">
        <w:rPr>
          <w:lang w:val="sv-SE"/>
        </w:rPr>
        <w:t xml:space="preserve"> </w:t>
      </w:r>
      <w:r w:rsidR="00FF688A" w:rsidRPr="001E07CA">
        <w:rPr>
          <w:lang w:val="sv-SE"/>
        </w:rPr>
        <w:t>Kraven i den föreslagna lagen gäller gasanordningarnas säkerhet och förebyggande av faror.</w:t>
      </w:r>
      <w:r w:rsidR="00521177" w:rsidRPr="001E07CA">
        <w:rPr>
          <w:lang w:val="sv-SE"/>
        </w:rPr>
        <w:t xml:space="preserve"> </w:t>
      </w:r>
      <w:r w:rsidR="00FF688A" w:rsidRPr="001E07CA">
        <w:rPr>
          <w:lang w:val="sv-SE"/>
        </w:rPr>
        <w:t>Följderna av ett oaktsamt förfarande kan vara mycket allvarliga och av denna anledning kan särskild aktsamhet krävas av ekonomiska aktörer vid skötseln av uppgifterna.</w:t>
      </w:r>
      <w:r w:rsidR="00521177" w:rsidRPr="001E07CA">
        <w:rPr>
          <w:lang w:val="sv-SE"/>
        </w:rPr>
        <w:t xml:space="preserve"> </w:t>
      </w:r>
      <w:r w:rsidR="00FF688A" w:rsidRPr="001E07CA">
        <w:rPr>
          <w:lang w:val="sv-SE"/>
        </w:rPr>
        <w:t>Av denna anledning föreslås det att brott mot bestämmelserna om gasanordningar ska vara straffbart, förutom genom uppsåt men också genom vållande (oaktsamhet).</w:t>
      </w:r>
      <w:r w:rsidR="00521177" w:rsidRPr="001E07CA">
        <w:rPr>
          <w:lang w:val="sv-SE"/>
        </w:rPr>
        <w:t xml:space="preserve"> </w:t>
      </w:r>
      <w:r w:rsidR="00FF688A" w:rsidRPr="001E07CA">
        <w:rPr>
          <w:lang w:val="sv-SE"/>
        </w:rPr>
        <w:t>Eftersom avsikten är att också en oaktsam gärning föreslås vara straffbar, ska bestämmelser därom utfärdas uttryckligen i lag.</w:t>
      </w:r>
      <w:r w:rsidR="00521177" w:rsidRPr="001E07CA">
        <w:rPr>
          <w:lang w:val="sv-SE"/>
        </w:rPr>
        <w:t xml:space="preserve"> </w:t>
      </w:r>
      <w:r w:rsidR="00FF688A" w:rsidRPr="001E07CA">
        <w:rPr>
          <w:lang w:val="sv-SE"/>
        </w:rPr>
        <w:t>Såled</w:t>
      </w:r>
      <w:r w:rsidR="005E1929" w:rsidRPr="001E07CA">
        <w:rPr>
          <w:lang w:val="sv-SE"/>
        </w:rPr>
        <w:t>es motsvarar</w:t>
      </w:r>
      <w:r w:rsidR="00FF688A" w:rsidRPr="001E07CA">
        <w:rPr>
          <w:lang w:val="sv-SE"/>
        </w:rPr>
        <w:t xml:space="preserve"> graden av tillräknande den som nuförtiden föreskrivs i 125 § i kemikaliesäkerhetslagen.</w:t>
      </w:r>
      <w:r w:rsidR="00521177" w:rsidRPr="001E07CA">
        <w:rPr>
          <w:lang w:val="sv-SE"/>
        </w:rPr>
        <w:t> </w:t>
      </w:r>
    </w:p>
    <w:p w:rsidR="00C87482" w:rsidRPr="001E07CA" w:rsidRDefault="00C87482" w:rsidP="00521177">
      <w:pPr>
        <w:rPr>
          <w:lang w:val="sv-SE"/>
        </w:rPr>
      </w:pPr>
    </w:p>
    <w:p w:rsidR="00C87482" w:rsidRPr="001E07CA" w:rsidRDefault="005E1929" w:rsidP="00521177">
      <w:pPr>
        <w:rPr>
          <w:lang w:val="sv-SE"/>
        </w:rPr>
      </w:pPr>
      <w:r w:rsidRPr="001E07CA">
        <w:rPr>
          <w:lang w:val="sv-SE"/>
        </w:rPr>
        <w:t>För att</w:t>
      </w:r>
      <w:r w:rsidR="00FF688A" w:rsidRPr="001E07CA">
        <w:rPr>
          <w:lang w:val="sv-SE"/>
        </w:rPr>
        <w:t xml:space="preserve"> gasanordningarnas säkerhet</w:t>
      </w:r>
      <w:r w:rsidRPr="001E07CA">
        <w:rPr>
          <w:lang w:val="sv-SE"/>
        </w:rPr>
        <w:t xml:space="preserve"> ska kunna säkerställas</w:t>
      </w:r>
      <w:r w:rsidR="00FF688A" w:rsidRPr="001E07CA">
        <w:rPr>
          <w:lang w:val="sv-SE"/>
        </w:rPr>
        <w:t xml:space="preserve"> är det motiverat att föreskriva straff för brott mot vissa bestämmelser i den föreslagna lagen.</w:t>
      </w:r>
      <w:r w:rsidR="00521177" w:rsidRPr="001E07CA">
        <w:rPr>
          <w:lang w:val="sv-SE"/>
        </w:rPr>
        <w:t xml:space="preserve"> </w:t>
      </w:r>
      <w:r w:rsidR="00FF61D2" w:rsidRPr="001E07CA">
        <w:rPr>
          <w:lang w:val="sv-SE"/>
        </w:rPr>
        <w:t xml:space="preserve">Skyldigheterna gäller säkerställande av </w:t>
      </w:r>
      <w:r w:rsidR="009A4C41" w:rsidRPr="001E07CA">
        <w:rPr>
          <w:lang w:val="sv-SE"/>
        </w:rPr>
        <w:t xml:space="preserve">att </w:t>
      </w:r>
      <w:r w:rsidR="00FF61D2" w:rsidRPr="001E07CA">
        <w:rPr>
          <w:lang w:val="sv-SE"/>
        </w:rPr>
        <w:t>gasanordni</w:t>
      </w:r>
      <w:r w:rsidR="008E5AA9" w:rsidRPr="001E07CA">
        <w:rPr>
          <w:lang w:val="sv-SE"/>
        </w:rPr>
        <w:t>ng</w:t>
      </w:r>
      <w:r w:rsidR="00FF61D2" w:rsidRPr="001E07CA">
        <w:rPr>
          <w:lang w:val="sv-SE"/>
        </w:rPr>
        <w:t>arna</w:t>
      </w:r>
      <w:r w:rsidR="009A4C41" w:rsidRPr="001E07CA">
        <w:rPr>
          <w:lang w:val="sv-SE"/>
        </w:rPr>
        <w:t xml:space="preserve"> överensstämmer</w:t>
      </w:r>
      <w:r w:rsidR="00FF61D2" w:rsidRPr="001E07CA">
        <w:rPr>
          <w:lang w:val="sv-SE"/>
        </w:rPr>
        <w:t xml:space="preserve"> med kraven </w:t>
      </w:r>
      <w:r w:rsidR="009A4C41" w:rsidRPr="001E07CA">
        <w:rPr>
          <w:lang w:val="sv-SE"/>
        </w:rPr>
        <w:t xml:space="preserve">när de släpps ut </w:t>
      </w:r>
      <w:r w:rsidR="00FF61D2" w:rsidRPr="001E07CA">
        <w:rPr>
          <w:lang w:val="sv-SE"/>
        </w:rPr>
        <w:t>p</w:t>
      </w:r>
      <w:r w:rsidR="009A4C41" w:rsidRPr="001E07CA">
        <w:rPr>
          <w:lang w:val="sv-SE"/>
        </w:rPr>
        <w:t>å marknaden och tillhandhålls</w:t>
      </w:r>
      <w:r w:rsidR="00FF61D2" w:rsidRPr="001E07CA">
        <w:rPr>
          <w:lang w:val="sv-SE"/>
        </w:rPr>
        <w:t xml:space="preserve"> på marknaden och tillverkarnas, importörernas och distributörernas skyldigheter i anslutning därtill.</w:t>
      </w:r>
      <w:r w:rsidR="00521177" w:rsidRPr="001E07CA">
        <w:rPr>
          <w:lang w:val="sv-SE"/>
        </w:rPr>
        <w:t xml:space="preserve"> </w:t>
      </w:r>
      <w:r w:rsidR="00FF61D2" w:rsidRPr="001E07CA">
        <w:rPr>
          <w:lang w:val="sv-SE"/>
        </w:rPr>
        <w:t>Skyldigheterna omfattar dessutom i vissa fall ovan nämnda ekonomiska aktörers skyldighet att underrätta om risker och vidta korrigerande åtgärder.</w:t>
      </w:r>
      <w:r w:rsidR="00521177" w:rsidRPr="001E07CA">
        <w:rPr>
          <w:lang w:val="sv-SE"/>
        </w:rPr>
        <w:t xml:space="preserve"> </w:t>
      </w:r>
      <w:r w:rsidR="00FF61D2" w:rsidRPr="001E07CA">
        <w:rPr>
          <w:lang w:val="sv-SE"/>
        </w:rPr>
        <w:t>I 2 mom. föreslås bestämmelser om de förseelser som ska vara straffbara antingen som uppsåtliga gärningar eller gärningar av oaktsamhet.</w:t>
      </w:r>
    </w:p>
    <w:p w:rsidR="00521177" w:rsidRPr="001E07CA" w:rsidRDefault="00521177" w:rsidP="00521177">
      <w:pPr>
        <w:rPr>
          <w:lang w:val="sv-SE"/>
        </w:rPr>
      </w:pPr>
      <w:r w:rsidRPr="001E07CA">
        <w:rPr>
          <w:lang w:val="sv-SE"/>
        </w:rPr>
        <w:t> </w:t>
      </w:r>
    </w:p>
    <w:p w:rsidR="00C87482" w:rsidRPr="001E07CA" w:rsidRDefault="00FF61D2" w:rsidP="00521177">
      <w:pPr>
        <w:rPr>
          <w:lang w:val="sv-SE"/>
        </w:rPr>
      </w:pPr>
      <w:r w:rsidRPr="001E07CA">
        <w:rPr>
          <w:lang w:val="sv-SE"/>
        </w:rPr>
        <w:t xml:space="preserve">Målet är att vid brott mot denna lag </w:t>
      </w:r>
      <w:r w:rsidR="00CF4249" w:rsidRPr="001E07CA">
        <w:rPr>
          <w:lang w:val="sv-SE"/>
        </w:rPr>
        <w:t xml:space="preserve">ska administrativa tvångsmedel användas i första hand </w:t>
      </w:r>
      <w:r w:rsidRPr="001E07CA">
        <w:rPr>
          <w:lang w:val="sv-SE"/>
        </w:rPr>
        <w:t>och att bötesstraff enligt denna paragraf ska bli aktuellt endast vid de allra allvarligaste överträdelserna.</w:t>
      </w:r>
      <w:r w:rsidR="00521177" w:rsidRPr="001E07CA">
        <w:rPr>
          <w:lang w:val="sv-SE"/>
        </w:rPr>
        <w:t xml:space="preserve"> </w:t>
      </w:r>
      <w:r w:rsidRPr="001E07CA">
        <w:rPr>
          <w:lang w:val="sv-SE"/>
        </w:rPr>
        <w:t>Bestämmelser om de tvångsmedel som tillsynsmyndigheten har till sitt förfogande vid övervakningen av gasanordningar finns i lagen om marknadskontroll av vissa produkter.</w:t>
      </w:r>
      <w:r w:rsidR="00521177" w:rsidRPr="001E07CA">
        <w:rPr>
          <w:lang w:val="sv-SE"/>
        </w:rPr>
        <w:t xml:space="preserve"> </w:t>
      </w:r>
      <w:r w:rsidR="00060B7B" w:rsidRPr="001E07CA">
        <w:rPr>
          <w:lang w:val="sv-SE"/>
        </w:rPr>
        <w:t>I</w:t>
      </w:r>
      <w:r w:rsidRPr="001E07CA">
        <w:rPr>
          <w:lang w:val="sv-SE"/>
        </w:rPr>
        <w:t xml:space="preserve"> motsvarande fall med förseelser </w:t>
      </w:r>
      <w:r w:rsidR="00060B7B" w:rsidRPr="001E07CA">
        <w:rPr>
          <w:lang w:val="sv-SE"/>
        </w:rPr>
        <w:t xml:space="preserve">har också hittills administrativa tvångsmedel </w:t>
      </w:r>
      <w:r w:rsidRPr="001E07CA">
        <w:rPr>
          <w:lang w:val="sv-SE"/>
        </w:rPr>
        <w:t xml:space="preserve">huvudsakligen </w:t>
      </w:r>
      <w:r w:rsidR="00060B7B" w:rsidRPr="001E07CA">
        <w:rPr>
          <w:lang w:val="sv-SE"/>
        </w:rPr>
        <w:t>tillämpats</w:t>
      </w:r>
      <w:r w:rsidRPr="001E07CA">
        <w:rPr>
          <w:lang w:val="sv-SE"/>
        </w:rPr>
        <w:t>.</w:t>
      </w:r>
      <w:r w:rsidR="00521177" w:rsidRPr="001E07CA">
        <w:rPr>
          <w:lang w:val="sv-SE"/>
        </w:rPr>
        <w:t xml:space="preserve"> </w:t>
      </w:r>
      <w:r w:rsidR="00661FFC" w:rsidRPr="001E07CA">
        <w:rPr>
          <w:lang w:val="sv-SE"/>
        </w:rPr>
        <w:t xml:space="preserve">Betydelsen av straffbestämmelser ska </w:t>
      </w:r>
      <w:r w:rsidR="00060B7B" w:rsidRPr="001E07CA">
        <w:rPr>
          <w:lang w:val="sv-SE"/>
        </w:rPr>
        <w:t>ju också i första hand anses</w:t>
      </w:r>
      <w:r w:rsidR="00661FFC" w:rsidRPr="001E07CA">
        <w:rPr>
          <w:lang w:val="sv-SE"/>
        </w:rPr>
        <w:t xml:space="preserve"> vara förebyggande och varnande.</w:t>
      </w:r>
    </w:p>
    <w:p w:rsidR="00521177" w:rsidRPr="001E07CA" w:rsidRDefault="00521177" w:rsidP="00521177">
      <w:pPr>
        <w:rPr>
          <w:lang w:val="sv-SE"/>
        </w:rPr>
      </w:pPr>
      <w:r w:rsidRPr="001E07CA">
        <w:rPr>
          <w:lang w:val="sv-SE"/>
        </w:rPr>
        <w:t> </w:t>
      </w:r>
    </w:p>
    <w:p w:rsidR="00521177" w:rsidRPr="001E07CA" w:rsidRDefault="001D6E53" w:rsidP="00521177">
      <w:pPr>
        <w:rPr>
          <w:lang w:val="sv-SE"/>
        </w:rPr>
      </w:pPr>
      <w:r w:rsidRPr="001E07CA">
        <w:rPr>
          <w:lang w:val="sv-SE"/>
        </w:rPr>
        <w:t>I den föreslagna paragrafen ingår en su</w:t>
      </w:r>
      <w:r w:rsidR="00D81526" w:rsidRPr="001E07CA">
        <w:rPr>
          <w:lang w:val="sv-SE"/>
        </w:rPr>
        <w:t>bsidiaritetsklausul på samma sätt som</w:t>
      </w:r>
      <w:r w:rsidRPr="001E07CA">
        <w:rPr>
          <w:lang w:val="sv-SE"/>
        </w:rPr>
        <w:t xml:space="preserve"> i 125 § i den gällande kemikaliesäkerhetslagen.</w:t>
      </w:r>
      <w:r w:rsidR="00521177" w:rsidRPr="001E07CA">
        <w:rPr>
          <w:lang w:val="sv-SE"/>
        </w:rPr>
        <w:t xml:space="preserve"> </w:t>
      </w:r>
      <w:r w:rsidR="00805A6E" w:rsidRPr="001E07CA">
        <w:rPr>
          <w:lang w:val="sv-SE"/>
        </w:rPr>
        <w:t>På</w:t>
      </w:r>
      <w:r w:rsidR="004E5EAD" w:rsidRPr="001E07CA">
        <w:rPr>
          <w:lang w:val="sv-SE"/>
        </w:rPr>
        <w:t xml:space="preserve"> </w:t>
      </w:r>
      <w:r w:rsidR="00805A6E" w:rsidRPr="001E07CA">
        <w:rPr>
          <w:lang w:val="sv-SE"/>
        </w:rPr>
        <w:t xml:space="preserve">straffbar försummelse av </w:t>
      </w:r>
      <w:r w:rsidR="004E5EAD" w:rsidRPr="001E07CA">
        <w:rPr>
          <w:lang w:val="sv-SE"/>
        </w:rPr>
        <w:t xml:space="preserve">skyldigheterna enligt den föreslagna lagen skulle också bestämmelserna om ingivande av osant intyg till myndighet enligt 16 kap. 8 § i strafflagen, strafflagens 33 kap. om förfalskningsbrott samt bestämmelserna om allmänfarliga brott i 34 kap. i strafflagen </w:t>
      </w:r>
      <w:r w:rsidR="00805A6E" w:rsidRPr="001E07CA">
        <w:rPr>
          <w:lang w:val="sv-SE"/>
        </w:rPr>
        <w:t xml:space="preserve">kunna </w:t>
      </w:r>
      <w:r w:rsidR="004E5EAD" w:rsidRPr="001E07CA">
        <w:rPr>
          <w:lang w:val="sv-SE"/>
        </w:rPr>
        <w:t>äga tillämpning.</w:t>
      </w:r>
    </w:p>
    <w:p w:rsidR="00E95A06" w:rsidRPr="001E07CA" w:rsidRDefault="00E95A06" w:rsidP="00521177">
      <w:pPr>
        <w:rPr>
          <w:lang w:val="sv-SE"/>
        </w:rPr>
      </w:pPr>
    </w:p>
    <w:p w:rsidR="00521177" w:rsidRPr="001E07CA" w:rsidRDefault="004E5EAD" w:rsidP="00521177">
      <w:pPr>
        <w:rPr>
          <w:lang w:val="sv-SE"/>
        </w:rPr>
      </w:pPr>
      <w:r w:rsidRPr="001E07CA">
        <w:rPr>
          <w:lang w:val="sv-SE"/>
        </w:rPr>
        <w:t>I 2 mom. föreskrivs att den som bryter mot ett förbud eller ett föreläggande som förstärkts med vite får inte dömas till straff för samma gärning.</w:t>
      </w:r>
      <w:r w:rsidR="00521177" w:rsidRPr="001E07CA">
        <w:rPr>
          <w:lang w:val="sv-SE"/>
        </w:rPr>
        <w:t> </w:t>
      </w:r>
    </w:p>
    <w:p w:rsidR="00E95A06" w:rsidRPr="001E07CA" w:rsidRDefault="00E95A06" w:rsidP="00521177">
      <w:pPr>
        <w:rPr>
          <w:lang w:val="sv-SE"/>
        </w:rPr>
      </w:pPr>
    </w:p>
    <w:p w:rsidR="00521177" w:rsidRPr="001E07CA" w:rsidRDefault="004E5EAD" w:rsidP="00521177">
      <w:pPr>
        <w:rPr>
          <w:lang w:val="sv-SE"/>
        </w:rPr>
      </w:pPr>
      <w:r w:rsidRPr="001E07CA">
        <w:rPr>
          <w:lang w:val="sv-SE"/>
        </w:rPr>
        <w:t>I 3 mom. ingår en hänvisning till lagen om CE-märkningsförseelse (187/2010).</w:t>
      </w:r>
      <w:r w:rsidR="00521177" w:rsidRPr="001E07CA">
        <w:rPr>
          <w:lang w:val="sv-SE"/>
        </w:rPr>
        <w:t xml:space="preserve"> </w:t>
      </w:r>
      <w:r w:rsidRPr="001E07CA">
        <w:rPr>
          <w:lang w:val="sv-SE"/>
        </w:rPr>
        <w:t>I den lagen finns bestämmelser om påföljderna för användning av den i NLF-förordningen avsedda CE-märkningen i strid med förordningen.</w:t>
      </w:r>
      <w:r w:rsidR="00521177" w:rsidRPr="001E07CA">
        <w:rPr>
          <w:lang w:val="sv-SE"/>
        </w:rPr>
        <w:t xml:space="preserve"> </w:t>
      </w:r>
      <w:r w:rsidR="00D75635" w:rsidRPr="001E07CA">
        <w:rPr>
          <w:lang w:val="sv-SE"/>
        </w:rPr>
        <w:t>Den</w:t>
      </w:r>
      <w:r w:rsidRPr="001E07CA">
        <w:rPr>
          <w:lang w:val="sv-SE"/>
        </w:rPr>
        <w:t xml:space="preserve"> lagen tillämpas på CE-märkningsförseelser, om inte något annat föreskrivs någon annanstans i lag.</w:t>
      </w:r>
      <w:r w:rsidR="00521177" w:rsidRPr="001E07CA">
        <w:rPr>
          <w:lang w:val="sv-SE"/>
        </w:rPr>
        <w:t xml:space="preserve"> </w:t>
      </w:r>
      <w:r w:rsidRPr="001E07CA">
        <w:rPr>
          <w:lang w:val="sv-SE"/>
        </w:rPr>
        <w:t xml:space="preserve">Genom lagen ifråga säkerställs för sin del i enlighet med artikel 23.6. i gasanordningsförordningen </w:t>
      </w:r>
      <w:r w:rsidR="005D6473" w:rsidRPr="001E07CA">
        <w:rPr>
          <w:lang w:val="sv-SE"/>
        </w:rPr>
        <w:t xml:space="preserve">att </w:t>
      </w:r>
      <w:r w:rsidRPr="001E07CA">
        <w:rPr>
          <w:lang w:val="sv-SE"/>
        </w:rPr>
        <w:t>systemet med CE-märkning</w:t>
      </w:r>
      <w:r w:rsidR="006F4CBA" w:rsidRPr="001E07CA">
        <w:rPr>
          <w:lang w:val="sv-SE"/>
        </w:rPr>
        <w:t xml:space="preserve"> fungerar felfritt</w:t>
      </w:r>
      <w:r w:rsidRPr="001E07CA">
        <w:rPr>
          <w:lang w:val="sv-SE"/>
        </w:rPr>
        <w:t xml:space="preserve"> i sådana fall där CE-märkningen används i strid med bestämmelserna.</w:t>
      </w:r>
      <w:r w:rsidR="00521177" w:rsidRPr="001E07CA">
        <w:rPr>
          <w:lang w:val="sv-SE"/>
        </w:rPr>
        <w:t xml:space="preserve"> </w:t>
      </w:r>
      <w:r w:rsidRPr="001E07CA">
        <w:rPr>
          <w:lang w:val="sv-SE"/>
        </w:rPr>
        <w:t>I lagen kriminaliseras inte utsläppande på marknaden av produkter som saknar CE-märkning, utan den saken har lämnats att bero av den sektorspecifika regleringen.</w:t>
      </w:r>
      <w:r w:rsidR="00521177" w:rsidRPr="001E07CA">
        <w:rPr>
          <w:lang w:val="sv-SE"/>
        </w:rPr>
        <w:t> </w:t>
      </w:r>
    </w:p>
    <w:p w:rsidR="00E95A06" w:rsidRPr="001E07CA" w:rsidRDefault="00E95A06" w:rsidP="00521177">
      <w:pPr>
        <w:rPr>
          <w:lang w:val="sv-SE"/>
        </w:rPr>
      </w:pPr>
    </w:p>
    <w:p w:rsidR="00521177" w:rsidRPr="001E07CA" w:rsidRDefault="004E5EAD" w:rsidP="00521177">
      <w:pPr>
        <w:rPr>
          <w:lang w:val="sv-SE"/>
        </w:rPr>
      </w:pPr>
      <w:r w:rsidRPr="001E07CA">
        <w:rPr>
          <w:lang w:val="sv-SE"/>
        </w:rPr>
        <w:t>Genom de föreslagna bestämmelserna om påföljd genomförs för sin del också bestämmelser i gasanordningsförordningens artikel 50 där det föreskrivs att medlemsstaterna ska föreskriva sanktioner för e</w:t>
      </w:r>
      <w:r w:rsidR="007D5405" w:rsidRPr="001E07CA">
        <w:rPr>
          <w:lang w:val="sv-SE"/>
        </w:rPr>
        <w:t>konomiska aktörers överträdelse</w:t>
      </w:r>
      <w:r w:rsidRPr="001E07CA">
        <w:rPr>
          <w:lang w:val="sv-SE"/>
        </w:rPr>
        <w:t xml:space="preserve"> av bestämmelser i nationell rätt som har utfärdats med tillämpning </w:t>
      </w:r>
      <w:r w:rsidR="002E5738" w:rsidRPr="001E07CA">
        <w:rPr>
          <w:lang w:val="sv-SE"/>
        </w:rPr>
        <w:t>av gasanordningsförordningen</w:t>
      </w:r>
      <w:r w:rsidRPr="001E07CA">
        <w:rPr>
          <w:lang w:val="sv-SE"/>
        </w:rPr>
        <w:t xml:space="preserve"> och ska vidta de åtgärder som krävs för att se till </w:t>
      </w:r>
      <w:r w:rsidR="007D5405" w:rsidRPr="001E07CA">
        <w:rPr>
          <w:lang w:val="sv-SE"/>
        </w:rPr>
        <w:t>att dessa sanktioner tillämpas.</w:t>
      </w:r>
      <w:r w:rsidR="00521177" w:rsidRPr="001E07CA">
        <w:rPr>
          <w:lang w:val="sv-SE"/>
        </w:rPr>
        <w:t xml:space="preserve"> </w:t>
      </w:r>
      <w:r w:rsidR="00F25D5F" w:rsidRPr="001E07CA">
        <w:rPr>
          <w:lang w:val="sv-SE"/>
        </w:rPr>
        <w:t>Sådana sanktioner kan omfatta straffrättsliga påföljder för allvarliga överträdelser.</w:t>
      </w:r>
      <w:r w:rsidR="00521177" w:rsidRPr="001E07CA">
        <w:rPr>
          <w:lang w:val="sv-SE"/>
        </w:rPr>
        <w:t xml:space="preserve"> </w:t>
      </w:r>
      <w:r w:rsidR="00AB3254" w:rsidRPr="001E07CA">
        <w:rPr>
          <w:lang w:val="sv-SE"/>
        </w:rPr>
        <w:t>De föreskrivna sanktionerna</w:t>
      </w:r>
      <w:r w:rsidR="00F25D5F" w:rsidRPr="001E07CA">
        <w:rPr>
          <w:lang w:val="sv-SE"/>
        </w:rPr>
        <w:t xml:space="preserve"> ska vara effektiva, proportionella och avskräckande.</w:t>
      </w:r>
      <w:r w:rsidR="00521177" w:rsidRPr="001E07CA">
        <w:rPr>
          <w:lang w:val="sv-SE"/>
        </w:rPr>
        <w:t> </w:t>
      </w:r>
    </w:p>
    <w:p w:rsidR="00521177" w:rsidRPr="001E07CA" w:rsidRDefault="00521177" w:rsidP="00D957FD">
      <w:pPr>
        <w:rPr>
          <w:lang w:val="sv-SE"/>
        </w:rPr>
      </w:pPr>
    </w:p>
    <w:p w:rsidR="00947A64" w:rsidRPr="001E07CA" w:rsidRDefault="00947A64" w:rsidP="00D957FD">
      <w:pPr>
        <w:rPr>
          <w:lang w:val="sv-SE"/>
        </w:rPr>
      </w:pPr>
      <w:r w:rsidRPr="001E07CA">
        <w:rPr>
          <w:b/>
          <w:lang w:val="sv-SE"/>
        </w:rPr>
        <w:t>1</w:t>
      </w:r>
      <w:r w:rsidR="00900619" w:rsidRPr="001E07CA">
        <w:rPr>
          <w:b/>
          <w:lang w:val="sv-SE"/>
        </w:rPr>
        <w:t>2</w:t>
      </w:r>
      <w:r w:rsidRPr="001E07CA">
        <w:rPr>
          <w:b/>
          <w:lang w:val="sv-SE"/>
        </w:rPr>
        <w:t xml:space="preserve"> §</w:t>
      </w:r>
      <w:r w:rsidR="00900619" w:rsidRPr="001E07CA">
        <w:rPr>
          <w:b/>
          <w:lang w:val="sv-SE"/>
        </w:rPr>
        <w:t>.</w:t>
      </w:r>
      <w:r w:rsidRPr="001E07CA">
        <w:rPr>
          <w:lang w:val="sv-SE"/>
        </w:rPr>
        <w:t xml:space="preserve"> </w:t>
      </w:r>
      <w:r w:rsidR="00F25D5F" w:rsidRPr="001E07CA">
        <w:rPr>
          <w:i/>
          <w:lang w:val="sv-SE"/>
        </w:rPr>
        <w:t>Anmälan till kommissionen</w:t>
      </w:r>
      <w:r w:rsidR="00BC389F" w:rsidRPr="001E07CA">
        <w:rPr>
          <w:i/>
          <w:lang w:val="sv-SE"/>
        </w:rPr>
        <w:t xml:space="preserve"> om leveransvillkoren för gas</w:t>
      </w:r>
      <w:r w:rsidR="00F25D5F" w:rsidRPr="001E07CA">
        <w:rPr>
          <w:i/>
          <w:lang w:val="sv-SE"/>
        </w:rPr>
        <w:t>.</w:t>
      </w:r>
      <w:r w:rsidR="00AB750E" w:rsidRPr="001E07CA">
        <w:rPr>
          <w:lang w:val="sv-SE"/>
        </w:rPr>
        <w:t xml:space="preserve"> </w:t>
      </w:r>
      <w:r w:rsidR="00CF3B63" w:rsidRPr="001E07CA">
        <w:rPr>
          <w:lang w:val="sv-SE"/>
        </w:rPr>
        <w:t>I paragrafen finns bestämmelser om arbets- och näringsministeriets uppgift att till Europeiska kommissionen och de öv</w:t>
      </w:r>
      <w:r w:rsidR="000538E4" w:rsidRPr="001E07CA">
        <w:rPr>
          <w:lang w:val="sv-SE"/>
        </w:rPr>
        <w:t xml:space="preserve">riga medlemsstaterna meddela gastyper och </w:t>
      </w:r>
      <w:r w:rsidR="00140008">
        <w:rPr>
          <w:lang w:val="sv-SE"/>
        </w:rPr>
        <w:t>drifttryck</w:t>
      </w:r>
      <w:r w:rsidR="00CF3B63" w:rsidRPr="001E07CA">
        <w:rPr>
          <w:lang w:val="sv-SE"/>
        </w:rPr>
        <w:t xml:space="preserve"> som används i gasanordningarna i Finland.</w:t>
      </w:r>
      <w:r w:rsidR="00AB750E" w:rsidRPr="001E07CA">
        <w:rPr>
          <w:lang w:val="sv-SE"/>
        </w:rPr>
        <w:t xml:space="preserve"> </w:t>
      </w:r>
      <w:r w:rsidR="00CF3B63" w:rsidRPr="001E07CA">
        <w:rPr>
          <w:lang w:val="sv-SE"/>
        </w:rPr>
        <w:t>Anmälan är till sitt innehåll formbunden.</w:t>
      </w:r>
      <w:r w:rsidR="005D0847" w:rsidRPr="001E07CA">
        <w:rPr>
          <w:lang w:val="sv-SE"/>
        </w:rPr>
        <w:t xml:space="preserve"> </w:t>
      </w:r>
      <w:r w:rsidR="00CF3B63" w:rsidRPr="001E07CA">
        <w:rPr>
          <w:lang w:val="sv-SE"/>
        </w:rPr>
        <w:t>Anmälan är viktig ur produktsäkerhetssynvinkel eftersom tillverkare och importörer av gasanordningar ska känna till leveransvillkoren för gas i varje medlemsstat för att de gasanordningar som släpps ut på marknaden skulle vara tekniskt kompatibla med systemen i medlemsstaterna.</w:t>
      </w:r>
    </w:p>
    <w:p w:rsidR="00A60E0B" w:rsidRPr="001E07CA" w:rsidRDefault="00A60E0B" w:rsidP="00D957FD">
      <w:pPr>
        <w:rPr>
          <w:lang w:val="sv-SE"/>
        </w:rPr>
      </w:pPr>
    </w:p>
    <w:p w:rsidR="00A60E0B" w:rsidRPr="001E07CA" w:rsidRDefault="005F2497" w:rsidP="00D957FD">
      <w:pPr>
        <w:rPr>
          <w:lang w:val="sv-SE"/>
        </w:rPr>
      </w:pPr>
      <w:r w:rsidRPr="001E07CA">
        <w:rPr>
          <w:lang w:val="sv-SE"/>
        </w:rPr>
        <w:lastRenderedPageBreak/>
        <w:t xml:space="preserve">Bestämmelser om </w:t>
      </w:r>
      <w:r w:rsidR="00B3112C">
        <w:rPr>
          <w:lang w:val="sv-SE"/>
        </w:rPr>
        <w:t>drifttrycket</w:t>
      </w:r>
      <w:r w:rsidR="00CF3B63" w:rsidRPr="001E07CA">
        <w:rPr>
          <w:lang w:val="sv-SE"/>
        </w:rPr>
        <w:t xml:space="preserve"> för gasanordningar och om variationerna i det samt om de gaser som ska förbrännas i gasanordningarna och om gasanordningars andra egenskaper som är väsentliga med tanke på deras funktion utfärdas separat genom förordning av statsrådet.</w:t>
      </w:r>
      <w:r w:rsidR="00A60E0B" w:rsidRPr="001E07CA">
        <w:rPr>
          <w:lang w:val="sv-SE"/>
        </w:rPr>
        <w:t xml:space="preserve"> </w:t>
      </w:r>
      <w:r w:rsidR="00CF3B63" w:rsidRPr="001E07CA">
        <w:rPr>
          <w:lang w:val="sv-SE"/>
        </w:rPr>
        <w:t xml:space="preserve">Det är ändamålsenligt att bestämmelser om tekniska detaljer </w:t>
      </w:r>
      <w:r w:rsidR="00385CB5" w:rsidRPr="001E07CA">
        <w:rPr>
          <w:lang w:val="sv-SE"/>
        </w:rPr>
        <w:t>o</w:t>
      </w:r>
      <w:r w:rsidR="000452C2">
        <w:rPr>
          <w:lang w:val="sv-SE"/>
        </w:rPr>
        <w:t>m drift</w:t>
      </w:r>
      <w:r w:rsidR="00BF7904" w:rsidRPr="001E07CA">
        <w:rPr>
          <w:lang w:val="sv-SE"/>
        </w:rPr>
        <w:t>trycket</w:t>
      </w:r>
      <w:r w:rsidR="00CF3B63" w:rsidRPr="001E07CA">
        <w:rPr>
          <w:lang w:val="sv-SE"/>
        </w:rPr>
        <w:t xml:space="preserve"> och gasernas fysikalisk-kemiska egenskaper utfärdas genom förordning av statsrådet.</w:t>
      </w:r>
    </w:p>
    <w:p w:rsidR="00AB750E" w:rsidRPr="001E07CA" w:rsidRDefault="00AB750E" w:rsidP="00D957FD">
      <w:pPr>
        <w:rPr>
          <w:highlight w:val="lightGray"/>
          <w:lang w:val="sv-SE"/>
        </w:rPr>
      </w:pPr>
    </w:p>
    <w:p w:rsidR="00A420EC" w:rsidRPr="001E07CA" w:rsidRDefault="00AB750E" w:rsidP="00A420EC">
      <w:pPr>
        <w:rPr>
          <w:lang w:val="sv-SE"/>
        </w:rPr>
      </w:pPr>
      <w:r w:rsidRPr="001E07CA">
        <w:rPr>
          <w:b/>
          <w:lang w:val="sv-SE"/>
        </w:rPr>
        <w:t>1</w:t>
      </w:r>
      <w:r w:rsidR="00900619" w:rsidRPr="001E07CA">
        <w:rPr>
          <w:b/>
          <w:lang w:val="sv-SE"/>
        </w:rPr>
        <w:t>3</w:t>
      </w:r>
      <w:r w:rsidRPr="001E07CA">
        <w:rPr>
          <w:b/>
          <w:lang w:val="sv-SE"/>
        </w:rPr>
        <w:t xml:space="preserve"> §</w:t>
      </w:r>
      <w:r w:rsidR="00900619" w:rsidRPr="001E07CA">
        <w:rPr>
          <w:b/>
          <w:lang w:val="sv-SE"/>
        </w:rPr>
        <w:t>.</w:t>
      </w:r>
      <w:r w:rsidRPr="001E07CA">
        <w:rPr>
          <w:lang w:val="sv-SE"/>
        </w:rPr>
        <w:t xml:space="preserve"> </w:t>
      </w:r>
      <w:r w:rsidR="00F25D5F" w:rsidRPr="001E07CA">
        <w:rPr>
          <w:i/>
          <w:lang w:val="sv-SE"/>
        </w:rPr>
        <w:t>Delegationen för säkerhetsteknik.</w:t>
      </w:r>
      <w:r w:rsidR="00A420EC" w:rsidRPr="001E07CA">
        <w:rPr>
          <w:lang w:val="sv-SE"/>
        </w:rPr>
        <w:t xml:space="preserve"> </w:t>
      </w:r>
      <w:r w:rsidR="00F25D5F" w:rsidRPr="001E07CA">
        <w:rPr>
          <w:lang w:val="sv-SE"/>
        </w:rPr>
        <w:t xml:space="preserve">I denna paragraf föreskrivs </w:t>
      </w:r>
      <w:r w:rsidR="007B341E" w:rsidRPr="001E07CA">
        <w:rPr>
          <w:lang w:val="sv-SE"/>
        </w:rPr>
        <w:t xml:space="preserve">det </w:t>
      </w:r>
      <w:r w:rsidR="00F25D5F" w:rsidRPr="001E07CA">
        <w:rPr>
          <w:lang w:val="sv-SE"/>
        </w:rPr>
        <w:t xml:space="preserve">att arbets- och näringsministeriet och Säkerhets- och kemikalieverket </w:t>
      </w:r>
      <w:r w:rsidR="000D6EFF" w:rsidRPr="001E07CA">
        <w:rPr>
          <w:lang w:val="sv-SE"/>
        </w:rPr>
        <w:t>i fråga om utveckling och uppföljning</w:t>
      </w:r>
      <w:r w:rsidR="00F25D5F" w:rsidRPr="001E07CA">
        <w:rPr>
          <w:lang w:val="sv-SE"/>
        </w:rPr>
        <w:t xml:space="preserve"> av bestämmelserna i denna lag </w:t>
      </w:r>
      <w:r w:rsidR="00602B17" w:rsidRPr="001E07CA">
        <w:rPr>
          <w:lang w:val="sv-SE"/>
        </w:rPr>
        <w:t>bistås av d</w:t>
      </w:r>
      <w:r w:rsidR="00F25D5F" w:rsidRPr="001E07CA">
        <w:rPr>
          <w:lang w:val="sv-SE"/>
        </w:rPr>
        <w:t>elegationen för säkerhetsteknik</w:t>
      </w:r>
      <w:r w:rsidR="009445FC" w:rsidRPr="001E07CA">
        <w:rPr>
          <w:lang w:val="sv-SE"/>
        </w:rPr>
        <w:t>, som statsrådet tillsatt</w:t>
      </w:r>
      <w:r w:rsidR="00F25D5F" w:rsidRPr="001E07CA">
        <w:rPr>
          <w:lang w:val="sv-SE"/>
        </w:rPr>
        <w:t>.</w:t>
      </w:r>
      <w:r w:rsidR="00A420EC" w:rsidRPr="001E07CA">
        <w:rPr>
          <w:lang w:val="sv-SE"/>
        </w:rPr>
        <w:t xml:space="preserve"> </w:t>
      </w:r>
      <w:r w:rsidR="00602B17" w:rsidRPr="001E07CA">
        <w:rPr>
          <w:lang w:val="sv-SE"/>
        </w:rPr>
        <w:t>För närvarande bistår d</w:t>
      </w:r>
      <w:r w:rsidR="00F25D5F" w:rsidRPr="001E07CA">
        <w:rPr>
          <w:lang w:val="sv-SE"/>
        </w:rPr>
        <w:t>elegationen för säkerhetsteknik ministeriet i ärenden som omfattas av tillämpningsområdet för kemikaliesäkerhetslagen och lagen om tryckbärande anordningar.</w:t>
      </w:r>
    </w:p>
    <w:p w:rsidR="00A420EC" w:rsidRPr="001E07CA" w:rsidRDefault="00A420EC" w:rsidP="00A420EC">
      <w:pPr>
        <w:rPr>
          <w:lang w:val="sv-SE"/>
        </w:rPr>
      </w:pPr>
    </w:p>
    <w:p w:rsidR="00AB750E" w:rsidRPr="001E07CA" w:rsidRDefault="00F25D5F" w:rsidP="00A420EC">
      <w:pPr>
        <w:rPr>
          <w:highlight w:val="lightGray"/>
          <w:lang w:val="sv-SE"/>
        </w:rPr>
      </w:pPr>
      <w:r w:rsidRPr="001E07CA">
        <w:rPr>
          <w:lang w:val="sv-SE"/>
        </w:rPr>
        <w:t>Närmare bestämmelser om delegationens sammansättning och uppgifter ska utfärdas genom förordning av statsrådet.</w:t>
      </w:r>
      <w:r w:rsidR="00A420EC" w:rsidRPr="001E07CA">
        <w:rPr>
          <w:lang w:val="sv-SE"/>
        </w:rPr>
        <w:t xml:space="preserve"> </w:t>
      </w:r>
      <w:r w:rsidRPr="001E07CA">
        <w:rPr>
          <w:lang w:val="sv-SE"/>
        </w:rPr>
        <w:t>Avsikten är att statsrådet i enlighet med gällande praxis tillsätter delegationen för tre år i sänder.</w:t>
      </w:r>
    </w:p>
    <w:p w:rsidR="00947A64" w:rsidRPr="001E07CA" w:rsidRDefault="00947A64" w:rsidP="00D957FD">
      <w:pPr>
        <w:rPr>
          <w:highlight w:val="lightGray"/>
          <w:lang w:val="sv-SE"/>
        </w:rPr>
      </w:pPr>
    </w:p>
    <w:p w:rsidR="00A6256E" w:rsidRPr="001E07CA" w:rsidRDefault="00A60E0B" w:rsidP="00A6256E">
      <w:pPr>
        <w:rPr>
          <w:lang w:val="sv-SE"/>
        </w:rPr>
      </w:pPr>
      <w:r w:rsidRPr="001E07CA">
        <w:rPr>
          <w:b/>
          <w:lang w:val="sv-SE"/>
        </w:rPr>
        <w:t>1</w:t>
      </w:r>
      <w:r w:rsidR="00900619" w:rsidRPr="001E07CA">
        <w:rPr>
          <w:b/>
          <w:lang w:val="sv-SE"/>
        </w:rPr>
        <w:t>4</w:t>
      </w:r>
      <w:r w:rsidR="00D957FD" w:rsidRPr="001E07CA">
        <w:rPr>
          <w:b/>
          <w:lang w:val="sv-SE"/>
        </w:rPr>
        <w:t xml:space="preserve"> §.</w:t>
      </w:r>
      <w:r w:rsidR="00D957FD" w:rsidRPr="001E07CA">
        <w:rPr>
          <w:lang w:val="sv-SE"/>
        </w:rPr>
        <w:t xml:space="preserve"> </w:t>
      </w:r>
      <w:r w:rsidR="00F25D5F" w:rsidRPr="001E07CA">
        <w:rPr>
          <w:i/>
          <w:lang w:val="sv-SE"/>
        </w:rPr>
        <w:t>Ikraftträdande.</w:t>
      </w:r>
      <w:r w:rsidR="002B0E29" w:rsidRPr="001E07CA">
        <w:rPr>
          <w:lang w:val="sv-SE"/>
        </w:rPr>
        <w:t xml:space="preserve"> </w:t>
      </w:r>
      <w:r w:rsidR="00E507E6" w:rsidRPr="001E07CA">
        <w:rPr>
          <w:lang w:val="sv-SE"/>
        </w:rPr>
        <w:t>I paragrafen föreskrivs om ikraftträdandet av lagen så att den föreslagna lagen avses träda i kraft den 21 april 2018.</w:t>
      </w:r>
      <w:r w:rsidR="00A6256E" w:rsidRPr="001E07CA">
        <w:rPr>
          <w:lang w:val="sv-SE"/>
        </w:rPr>
        <w:t xml:space="preserve"> </w:t>
      </w:r>
      <w:r w:rsidR="00FD1EC8" w:rsidRPr="001E07CA">
        <w:rPr>
          <w:lang w:val="sv-SE"/>
        </w:rPr>
        <w:t>Enligt artikel 46 i gasanordningsförordningen ska m</w:t>
      </w:r>
      <w:r w:rsidR="00E507E6" w:rsidRPr="001E07CA">
        <w:rPr>
          <w:lang w:val="sv-SE"/>
        </w:rPr>
        <w:t>edlemsstaterna tillämpa bestämmelserna</w:t>
      </w:r>
      <w:r w:rsidR="00FD1EC8" w:rsidRPr="001E07CA">
        <w:rPr>
          <w:lang w:val="sv-SE"/>
        </w:rPr>
        <w:t xml:space="preserve"> i förordningen från och med den 21</w:t>
      </w:r>
      <w:r w:rsidR="00E507E6" w:rsidRPr="001E07CA">
        <w:rPr>
          <w:lang w:val="sv-SE"/>
        </w:rPr>
        <w:t xml:space="preserve"> april 2016.</w:t>
      </w:r>
    </w:p>
    <w:p w:rsidR="00A6256E" w:rsidRPr="001E07CA" w:rsidRDefault="00A6256E" w:rsidP="00A6256E">
      <w:pPr>
        <w:rPr>
          <w:lang w:val="sv-SE"/>
        </w:rPr>
      </w:pPr>
    </w:p>
    <w:p w:rsidR="00A6256E" w:rsidRPr="001E07CA" w:rsidRDefault="00FD1EC8" w:rsidP="00A6256E">
      <w:pPr>
        <w:rPr>
          <w:lang w:val="sv-SE"/>
        </w:rPr>
      </w:pPr>
      <w:r w:rsidRPr="001E07CA">
        <w:rPr>
          <w:lang w:val="sv-SE"/>
        </w:rPr>
        <w:t xml:space="preserve">Genom den föreslagna lagen upphävs den nationella gasanordningsförordningen (1434/1993), eftersom bestämmelser om gasanordningarnas säkerhet finns i </w:t>
      </w:r>
      <w:r w:rsidR="00881955" w:rsidRPr="001E07CA">
        <w:rPr>
          <w:lang w:val="sv-SE"/>
        </w:rPr>
        <w:t>EU:s gasanordningsförordning</w:t>
      </w:r>
      <w:r w:rsidRPr="001E07CA">
        <w:rPr>
          <w:lang w:val="sv-SE"/>
        </w:rPr>
        <w:t xml:space="preserve"> och i denna lag.</w:t>
      </w:r>
    </w:p>
    <w:p w:rsidR="00A6256E" w:rsidRPr="001E07CA" w:rsidRDefault="00A6256E" w:rsidP="00A6256E">
      <w:pPr>
        <w:rPr>
          <w:lang w:val="sv-SE"/>
        </w:rPr>
      </w:pPr>
    </w:p>
    <w:p w:rsidR="00D957FD" w:rsidRPr="001E07CA" w:rsidRDefault="00FD1EC8" w:rsidP="00A6256E">
      <w:pPr>
        <w:rPr>
          <w:highlight w:val="lightGray"/>
          <w:lang w:val="sv-SE"/>
        </w:rPr>
      </w:pPr>
      <w:r w:rsidRPr="001E07CA">
        <w:rPr>
          <w:lang w:val="sv-SE"/>
        </w:rPr>
        <w:t>I övergångsbestämmelsen föreskrivs att gasanordningar som omfattas av lagens tillämpningsområde och som släppts ut på marknaden före den föreslagna lagens ikraftträdande och vars överensstämmelse med kraven har säkerställts i enlighet med de bestämmelser som var i kraft vid lagens ikraftträdande, får vara kvar på marknaden efter det att den föreslagna lagen trätt i kraft.</w:t>
      </w:r>
      <w:r w:rsidR="00A6256E" w:rsidRPr="001E07CA">
        <w:rPr>
          <w:lang w:val="sv-SE"/>
        </w:rPr>
        <w:t xml:space="preserve"> </w:t>
      </w:r>
      <w:r w:rsidRPr="001E07CA">
        <w:rPr>
          <w:lang w:val="sv-SE"/>
        </w:rPr>
        <w:t>Dessutom föreslås en övergångsbestämmelse om delegationen för säkerhetsteknik där det föreskrivs att den delegation för säkerhetsteknik som tillsatts före ikraftträdandet av denna lag ska fortsätta sitt arbete till mandatperiodens slut.</w:t>
      </w:r>
    </w:p>
    <w:p w:rsidR="00D957FD" w:rsidRPr="001E07CA" w:rsidRDefault="00D957FD" w:rsidP="00D957FD">
      <w:pPr>
        <w:rPr>
          <w:highlight w:val="lightGray"/>
          <w:lang w:val="sv-SE"/>
        </w:rPr>
      </w:pPr>
    </w:p>
    <w:p w:rsidR="00121C64" w:rsidRPr="001E07CA" w:rsidRDefault="00121C64" w:rsidP="00D957FD">
      <w:pPr>
        <w:rPr>
          <w:highlight w:val="lightGray"/>
          <w:lang w:val="sv-SE"/>
        </w:rPr>
      </w:pPr>
    </w:p>
    <w:p w:rsidR="00D957FD" w:rsidRPr="001E07CA" w:rsidRDefault="00D957FD" w:rsidP="00D957FD">
      <w:pPr>
        <w:rPr>
          <w:lang w:val="sv-SE"/>
        </w:rPr>
      </w:pPr>
      <w:r w:rsidRPr="001E07CA">
        <w:rPr>
          <w:b/>
          <w:lang w:val="sv-SE"/>
        </w:rPr>
        <w:t>1.</w:t>
      </w:r>
      <w:r w:rsidR="00A6256E" w:rsidRPr="001E07CA">
        <w:rPr>
          <w:b/>
          <w:lang w:val="sv-SE"/>
        </w:rPr>
        <w:t>2</w:t>
      </w:r>
      <w:r w:rsidRPr="001E07CA">
        <w:rPr>
          <w:b/>
          <w:lang w:val="sv-SE"/>
        </w:rPr>
        <w:t xml:space="preserve"> </w:t>
      </w:r>
      <w:r w:rsidR="009F7CCB" w:rsidRPr="001E07CA">
        <w:rPr>
          <w:b/>
          <w:lang w:val="sv-SE"/>
        </w:rPr>
        <w:t>Lag om ändring av lagen om marknadskontrollen av vissa produkter</w:t>
      </w:r>
    </w:p>
    <w:p w:rsidR="00D957FD" w:rsidRPr="001E07CA" w:rsidRDefault="00D957FD" w:rsidP="00D957FD">
      <w:pPr>
        <w:rPr>
          <w:lang w:val="sv-SE"/>
        </w:rPr>
      </w:pPr>
    </w:p>
    <w:p w:rsidR="00D957FD" w:rsidRPr="001E07CA" w:rsidRDefault="009F7CCB" w:rsidP="00D957FD">
      <w:pPr>
        <w:rPr>
          <w:bCs/>
          <w:lang w:val="sv-SE"/>
        </w:rPr>
      </w:pPr>
      <w:r w:rsidRPr="001E07CA">
        <w:rPr>
          <w:lang w:val="sv-SE"/>
        </w:rPr>
        <w:t xml:space="preserve">1 §. </w:t>
      </w:r>
      <w:r w:rsidRPr="001E07CA">
        <w:rPr>
          <w:i/>
          <w:lang w:val="sv-SE"/>
        </w:rPr>
        <w:t>Tillämpningsområde.</w:t>
      </w:r>
      <w:r w:rsidR="00D957FD" w:rsidRPr="001E07CA">
        <w:rPr>
          <w:bCs/>
          <w:i/>
          <w:lang w:val="sv-SE"/>
        </w:rPr>
        <w:t xml:space="preserve"> </w:t>
      </w:r>
      <w:r w:rsidR="00B24D6F" w:rsidRPr="001E07CA">
        <w:rPr>
          <w:bCs/>
          <w:lang w:val="sv-SE"/>
        </w:rPr>
        <w:t>Till</w:t>
      </w:r>
      <w:r w:rsidR="00BA4AD4" w:rsidRPr="001E07CA">
        <w:rPr>
          <w:bCs/>
          <w:lang w:val="sv-SE"/>
        </w:rPr>
        <w:t xml:space="preserve"> paragrafens </w:t>
      </w:r>
      <w:r w:rsidRPr="001E07CA">
        <w:rPr>
          <w:bCs/>
          <w:lang w:val="sv-SE"/>
        </w:rPr>
        <w:t xml:space="preserve">förteckning över lagar som omfattas av tillämpningsområdet fogas </w:t>
      </w:r>
      <w:r w:rsidR="00A74E9C" w:rsidRPr="001E07CA">
        <w:rPr>
          <w:bCs/>
          <w:lang w:val="sv-SE"/>
        </w:rPr>
        <w:t>gasanordningslagen</w:t>
      </w:r>
      <w:r w:rsidRPr="001E07CA">
        <w:rPr>
          <w:bCs/>
          <w:lang w:val="sv-SE"/>
        </w:rPr>
        <w:t>.</w:t>
      </w:r>
      <w:r w:rsidR="00D957FD" w:rsidRPr="001E07CA">
        <w:rPr>
          <w:bCs/>
          <w:lang w:val="sv-SE"/>
        </w:rPr>
        <w:t xml:space="preserve"> </w:t>
      </w:r>
    </w:p>
    <w:p w:rsidR="00A6256E" w:rsidRPr="001E07CA" w:rsidRDefault="00A6256E" w:rsidP="00D957FD">
      <w:pPr>
        <w:rPr>
          <w:b/>
          <w:lang w:val="sv-SE"/>
        </w:rPr>
      </w:pPr>
    </w:p>
    <w:p w:rsidR="00D957FD" w:rsidRPr="001E07CA" w:rsidRDefault="00981B60" w:rsidP="00D957FD">
      <w:pPr>
        <w:rPr>
          <w:lang w:val="sv-SE"/>
        </w:rPr>
      </w:pPr>
      <w:r w:rsidRPr="001E07CA">
        <w:rPr>
          <w:lang w:val="sv-SE"/>
        </w:rPr>
        <w:t xml:space="preserve">Avsikten är att bestämmelserna om gasanordningar i 5 kap. i kemikaliesäkerhetslagen ska upphävas, vilket innebär att </w:t>
      </w:r>
      <w:r w:rsidR="00CF0076" w:rsidRPr="001E07CA">
        <w:rPr>
          <w:lang w:val="sv-SE"/>
        </w:rPr>
        <w:t>kemikaliesäkerhetslagens bestämmelser</w:t>
      </w:r>
      <w:r w:rsidRPr="001E07CA">
        <w:rPr>
          <w:lang w:val="sv-SE"/>
        </w:rPr>
        <w:t xml:space="preserve"> om tillsyn inte längre äger tillämpning på gasanordningar.</w:t>
      </w:r>
      <w:r w:rsidR="00334D99" w:rsidRPr="001E07CA">
        <w:rPr>
          <w:lang w:val="sv-SE"/>
        </w:rPr>
        <w:t xml:space="preserve"> </w:t>
      </w:r>
      <w:r w:rsidR="00FF165F" w:rsidRPr="001E07CA">
        <w:rPr>
          <w:lang w:val="sv-SE"/>
        </w:rPr>
        <w:t>På tillsynen över</w:t>
      </w:r>
      <w:r w:rsidR="008773E9" w:rsidRPr="001E07CA">
        <w:rPr>
          <w:lang w:val="sv-SE"/>
        </w:rPr>
        <w:t xml:space="preserve"> gasanordningar tillämpas vid sidan av den föreslagna lagen dessutom </w:t>
      </w:r>
      <w:r w:rsidR="00DE56D6" w:rsidRPr="001E07CA">
        <w:rPr>
          <w:lang w:val="sv-SE"/>
        </w:rPr>
        <w:t>gasanordningsförordningen</w:t>
      </w:r>
      <w:r w:rsidR="008773E9" w:rsidRPr="001E07CA">
        <w:rPr>
          <w:lang w:val="sv-SE"/>
        </w:rPr>
        <w:t>, NLF-förordningen och marknadskont</w:t>
      </w:r>
      <w:r w:rsidR="0033779A" w:rsidRPr="001E07CA">
        <w:rPr>
          <w:lang w:val="sv-SE"/>
        </w:rPr>
        <w:t>r</w:t>
      </w:r>
      <w:r w:rsidR="00DE56D6" w:rsidRPr="001E07CA">
        <w:rPr>
          <w:lang w:val="sv-SE"/>
        </w:rPr>
        <w:t>ollagen.</w:t>
      </w:r>
    </w:p>
    <w:p w:rsidR="00D957FD" w:rsidRPr="001E07CA" w:rsidRDefault="00D957FD" w:rsidP="00D957FD">
      <w:pPr>
        <w:rPr>
          <w:highlight w:val="cyan"/>
          <w:lang w:val="sv-SE"/>
        </w:rPr>
      </w:pPr>
    </w:p>
    <w:p w:rsidR="00A6256E" w:rsidRPr="001E07CA" w:rsidRDefault="008773E9" w:rsidP="00D957FD">
      <w:pPr>
        <w:rPr>
          <w:b/>
          <w:lang w:val="sv-SE"/>
        </w:rPr>
      </w:pPr>
      <w:r w:rsidRPr="001E07CA">
        <w:rPr>
          <w:b/>
          <w:lang w:val="sv-SE"/>
        </w:rPr>
        <w:t>1.3 Lag om ändring av lagen om anmälda organ för vissa produktgrupper</w:t>
      </w:r>
    </w:p>
    <w:p w:rsidR="00F36896" w:rsidRPr="001E07CA" w:rsidRDefault="00F36896" w:rsidP="00D957FD">
      <w:pPr>
        <w:rPr>
          <w:lang w:val="sv-SE"/>
        </w:rPr>
      </w:pPr>
    </w:p>
    <w:p w:rsidR="00F36896" w:rsidRPr="001E07CA" w:rsidRDefault="00F36896" w:rsidP="00D957FD">
      <w:pPr>
        <w:rPr>
          <w:lang w:val="sv-SE"/>
        </w:rPr>
      </w:pPr>
      <w:r w:rsidRPr="001E07CA">
        <w:rPr>
          <w:b/>
          <w:lang w:val="sv-SE"/>
        </w:rPr>
        <w:t>1 §.</w:t>
      </w:r>
      <w:r w:rsidRPr="001E07CA">
        <w:rPr>
          <w:lang w:val="sv-SE"/>
        </w:rPr>
        <w:t xml:space="preserve"> </w:t>
      </w:r>
      <w:r w:rsidR="00BA4AD4" w:rsidRPr="001E07CA">
        <w:rPr>
          <w:i/>
          <w:lang w:val="sv-SE"/>
        </w:rPr>
        <w:t>Tillämpningsområde</w:t>
      </w:r>
      <w:r w:rsidR="00BA4AD4" w:rsidRPr="001E07CA">
        <w:rPr>
          <w:lang w:val="sv-SE"/>
        </w:rPr>
        <w:t>.</w:t>
      </w:r>
      <w:r w:rsidRPr="001E07CA">
        <w:rPr>
          <w:lang w:val="sv-SE"/>
        </w:rPr>
        <w:t xml:space="preserve"> </w:t>
      </w:r>
      <w:r w:rsidR="00B94463" w:rsidRPr="001E07CA">
        <w:rPr>
          <w:lang w:val="sv-SE"/>
        </w:rPr>
        <w:t>Till</w:t>
      </w:r>
      <w:r w:rsidR="00BA4AD4" w:rsidRPr="001E07CA">
        <w:rPr>
          <w:lang w:val="sv-SE"/>
        </w:rPr>
        <w:t xml:space="preserve"> paragrafens förteckning över lagar som omfattas av lagens tillämpningsområde fogas </w:t>
      </w:r>
      <w:r w:rsidR="000D3AE7" w:rsidRPr="001E07CA">
        <w:rPr>
          <w:lang w:val="sv-SE"/>
        </w:rPr>
        <w:t>gasanordningslagen</w:t>
      </w:r>
      <w:r w:rsidR="00BA4AD4" w:rsidRPr="001E07CA">
        <w:rPr>
          <w:lang w:val="sv-SE"/>
        </w:rPr>
        <w:t>.</w:t>
      </w:r>
      <w:r w:rsidRPr="001E07CA">
        <w:rPr>
          <w:lang w:val="sv-SE"/>
        </w:rPr>
        <w:t xml:space="preserve"> </w:t>
      </w:r>
    </w:p>
    <w:p w:rsidR="00F36896" w:rsidRPr="001E07CA" w:rsidRDefault="00F36896" w:rsidP="00D957FD">
      <w:pPr>
        <w:rPr>
          <w:lang w:val="sv-SE"/>
        </w:rPr>
      </w:pPr>
    </w:p>
    <w:p w:rsidR="00F946CF" w:rsidRPr="001E07CA" w:rsidRDefault="00F946CF" w:rsidP="00D957FD">
      <w:pPr>
        <w:rPr>
          <w:lang w:val="sv-SE"/>
        </w:rPr>
      </w:pPr>
      <w:r w:rsidRPr="001E07CA">
        <w:rPr>
          <w:b/>
          <w:lang w:val="sv-SE"/>
        </w:rPr>
        <w:lastRenderedPageBreak/>
        <w:t>5 §</w:t>
      </w:r>
      <w:r w:rsidR="00F671C7" w:rsidRPr="001E07CA">
        <w:rPr>
          <w:b/>
          <w:lang w:val="sv-SE"/>
        </w:rPr>
        <w:t>.</w:t>
      </w:r>
      <w:r w:rsidRPr="001E07CA">
        <w:rPr>
          <w:lang w:val="sv-SE"/>
        </w:rPr>
        <w:t xml:space="preserve"> </w:t>
      </w:r>
      <w:r w:rsidR="00296295" w:rsidRPr="001E07CA">
        <w:rPr>
          <w:i/>
          <w:lang w:val="sv-SE"/>
        </w:rPr>
        <w:t>Behörig myndighet.</w:t>
      </w:r>
      <w:r w:rsidRPr="001E07CA">
        <w:rPr>
          <w:lang w:val="sv-SE"/>
        </w:rPr>
        <w:t xml:space="preserve"> </w:t>
      </w:r>
      <w:r w:rsidR="00F069B3" w:rsidRPr="001E07CA">
        <w:rPr>
          <w:lang w:val="sv-SE"/>
        </w:rPr>
        <w:t xml:space="preserve">Till paragrafen om behöriga myndigheter fogas </w:t>
      </w:r>
      <w:r w:rsidR="00233611" w:rsidRPr="001E07CA">
        <w:rPr>
          <w:lang w:val="sv-SE"/>
        </w:rPr>
        <w:t xml:space="preserve">bland </w:t>
      </w:r>
      <w:r w:rsidR="00F069B3" w:rsidRPr="001E07CA">
        <w:rPr>
          <w:lang w:val="sv-SE"/>
        </w:rPr>
        <w:t>arbets- och näringsministeriets befogenheter behörighet</w:t>
      </w:r>
      <w:r w:rsidR="00F147CD" w:rsidRPr="001E07CA">
        <w:rPr>
          <w:lang w:val="sv-SE"/>
        </w:rPr>
        <w:t>en</w:t>
      </w:r>
      <w:r w:rsidR="00F069B3" w:rsidRPr="001E07CA">
        <w:rPr>
          <w:lang w:val="sv-SE"/>
        </w:rPr>
        <w:t xml:space="preserve"> att behandla </w:t>
      </w:r>
      <w:r w:rsidR="00036102" w:rsidRPr="001E07CA">
        <w:rPr>
          <w:lang w:val="sv-SE"/>
        </w:rPr>
        <w:t xml:space="preserve">de </w:t>
      </w:r>
      <w:r w:rsidR="00F069B3" w:rsidRPr="001E07CA">
        <w:rPr>
          <w:lang w:val="sv-SE"/>
        </w:rPr>
        <w:t xml:space="preserve">ärenden om anmälda organ som har samband med </w:t>
      </w:r>
      <w:r w:rsidR="00336DFE" w:rsidRPr="001E07CA">
        <w:rPr>
          <w:lang w:val="sv-SE"/>
        </w:rPr>
        <w:t>gasanordningslagen</w:t>
      </w:r>
      <w:r w:rsidR="00F069B3" w:rsidRPr="001E07CA">
        <w:rPr>
          <w:lang w:val="sv-SE"/>
        </w:rPr>
        <w:t>.</w:t>
      </w:r>
    </w:p>
    <w:p w:rsidR="00F946CF" w:rsidRPr="001E07CA" w:rsidRDefault="00F946CF" w:rsidP="00D957FD">
      <w:pPr>
        <w:rPr>
          <w:lang w:val="sv-SE"/>
        </w:rPr>
      </w:pPr>
    </w:p>
    <w:p w:rsidR="00F36896" w:rsidRPr="001E07CA" w:rsidRDefault="00F069B3" w:rsidP="00D957FD">
      <w:pPr>
        <w:rPr>
          <w:highlight w:val="cyan"/>
          <w:lang w:val="sv-SE"/>
        </w:rPr>
      </w:pPr>
      <w:r w:rsidRPr="001E07CA">
        <w:rPr>
          <w:lang w:val="sv-SE"/>
        </w:rPr>
        <w:t xml:space="preserve">Avsikten är att bestämmelserna om gasanordningar i 5 kap. i kemikaliesäkerhetslagen ska upphävas, vilket innebär att </w:t>
      </w:r>
      <w:r w:rsidR="00287053" w:rsidRPr="001E07CA">
        <w:rPr>
          <w:lang w:val="sv-SE"/>
        </w:rPr>
        <w:t xml:space="preserve">den </w:t>
      </w:r>
      <w:r w:rsidR="00B4458B" w:rsidRPr="001E07CA">
        <w:rPr>
          <w:lang w:val="sv-SE"/>
        </w:rPr>
        <w:t>lagens bestämmelser</w:t>
      </w:r>
      <w:r w:rsidRPr="001E07CA">
        <w:rPr>
          <w:lang w:val="sv-SE"/>
        </w:rPr>
        <w:t xml:space="preserve"> om besiktningsorgan inte längre äger tillämpning på gasanordningar.</w:t>
      </w:r>
      <w:r w:rsidR="00C4081B" w:rsidRPr="001E07CA">
        <w:rPr>
          <w:lang w:val="sv-SE"/>
        </w:rPr>
        <w:t xml:space="preserve"> </w:t>
      </w:r>
      <w:r w:rsidRPr="001E07CA">
        <w:rPr>
          <w:lang w:val="sv-SE"/>
        </w:rPr>
        <w:t xml:space="preserve">På anmälda organ som gör bedömningar av gasanordningarnas överensstämmelse med kraven </w:t>
      </w:r>
      <w:r w:rsidR="00D47340" w:rsidRPr="001E07CA">
        <w:rPr>
          <w:lang w:val="sv-SE"/>
        </w:rPr>
        <w:t>tillämpas</w:t>
      </w:r>
      <w:r w:rsidR="00FC5DA0" w:rsidRPr="001E07CA">
        <w:rPr>
          <w:lang w:val="sv-SE"/>
        </w:rPr>
        <w:t xml:space="preserve"> </w:t>
      </w:r>
      <w:r w:rsidR="0063477E" w:rsidRPr="001E07CA">
        <w:rPr>
          <w:lang w:val="sv-SE"/>
        </w:rPr>
        <w:t>gas</w:t>
      </w:r>
      <w:r w:rsidR="00FC5DA0" w:rsidRPr="001E07CA">
        <w:rPr>
          <w:lang w:val="sv-SE"/>
        </w:rPr>
        <w:t>anordning</w:t>
      </w:r>
      <w:r w:rsidR="0063477E" w:rsidRPr="001E07CA">
        <w:rPr>
          <w:lang w:val="sv-SE"/>
        </w:rPr>
        <w:t xml:space="preserve">sförordningen </w:t>
      </w:r>
      <w:r w:rsidR="00D47340" w:rsidRPr="001E07CA">
        <w:rPr>
          <w:lang w:val="sv-SE"/>
        </w:rPr>
        <w:t>och lagen om anmäld</w:t>
      </w:r>
      <w:r w:rsidR="000B10F1" w:rsidRPr="001E07CA">
        <w:rPr>
          <w:lang w:val="sv-SE"/>
        </w:rPr>
        <w:t>a organ</w:t>
      </w:r>
      <w:r w:rsidR="00D47340" w:rsidRPr="001E07CA">
        <w:rPr>
          <w:lang w:val="sv-SE"/>
        </w:rPr>
        <w:t>.</w:t>
      </w:r>
    </w:p>
    <w:p w:rsidR="00F36896" w:rsidRPr="001E07CA" w:rsidRDefault="00F36896" w:rsidP="00D957FD">
      <w:pPr>
        <w:rPr>
          <w:highlight w:val="cyan"/>
          <w:lang w:val="sv-SE"/>
        </w:rPr>
      </w:pPr>
    </w:p>
    <w:p w:rsidR="00E922A8" w:rsidRPr="001E07CA" w:rsidRDefault="00D47340" w:rsidP="00D957FD">
      <w:pPr>
        <w:rPr>
          <w:b/>
          <w:lang w:val="sv-SE"/>
        </w:rPr>
      </w:pPr>
      <w:r w:rsidRPr="001E07CA">
        <w:rPr>
          <w:b/>
          <w:lang w:val="sv-SE"/>
        </w:rPr>
        <w:t>1.4 Lag om ändring av lagen om säkerhet vid hantering av farliga kemikalier och explosiva varor</w:t>
      </w:r>
    </w:p>
    <w:p w:rsidR="00AC525A" w:rsidRPr="001E07CA" w:rsidRDefault="00AC525A" w:rsidP="00D957FD">
      <w:pPr>
        <w:rPr>
          <w:highlight w:val="cyan"/>
          <w:lang w:val="sv-SE"/>
        </w:rPr>
      </w:pPr>
    </w:p>
    <w:p w:rsidR="00AC1321" w:rsidRPr="001E07CA" w:rsidRDefault="00D47340" w:rsidP="00D957FD">
      <w:pPr>
        <w:rPr>
          <w:lang w:val="sv-SE"/>
        </w:rPr>
      </w:pPr>
      <w:r w:rsidRPr="001E07CA">
        <w:rPr>
          <w:lang w:val="sv-SE"/>
        </w:rPr>
        <w:t>5 kap. Produkter som är förknippade med farliga kemikalier</w:t>
      </w:r>
    </w:p>
    <w:p w:rsidR="00AC1321" w:rsidRPr="001E07CA" w:rsidRDefault="00AC1321" w:rsidP="00D957FD">
      <w:pPr>
        <w:rPr>
          <w:highlight w:val="cyan"/>
          <w:lang w:val="sv-SE"/>
        </w:rPr>
      </w:pPr>
    </w:p>
    <w:p w:rsidR="00AC525A" w:rsidRPr="001E07CA" w:rsidRDefault="00AC525A" w:rsidP="00D957FD">
      <w:pPr>
        <w:rPr>
          <w:lang w:val="sv-SE"/>
        </w:rPr>
      </w:pPr>
      <w:r w:rsidRPr="001E07CA">
        <w:rPr>
          <w:b/>
          <w:lang w:val="sv-SE"/>
        </w:rPr>
        <w:t>47 §</w:t>
      </w:r>
      <w:r w:rsidR="00F671C7" w:rsidRPr="001E07CA">
        <w:rPr>
          <w:b/>
          <w:lang w:val="sv-SE"/>
        </w:rPr>
        <w:t>.</w:t>
      </w:r>
      <w:r w:rsidR="00A250CA" w:rsidRPr="001E07CA">
        <w:rPr>
          <w:lang w:val="sv-SE"/>
        </w:rPr>
        <w:t xml:space="preserve"> </w:t>
      </w:r>
      <w:r w:rsidR="00D47340" w:rsidRPr="001E07CA">
        <w:rPr>
          <w:i/>
          <w:lang w:val="sv-SE"/>
        </w:rPr>
        <w:t>Krav i fråga om gasanordningar.</w:t>
      </w:r>
      <w:r w:rsidR="00A250CA" w:rsidRPr="001E07CA">
        <w:rPr>
          <w:lang w:val="sv-SE"/>
        </w:rPr>
        <w:t xml:space="preserve"> </w:t>
      </w:r>
      <w:r w:rsidR="00E45A33" w:rsidRPr="001E07CA">
        <w:rPr>
          <w:lang w:val="sv-SE"/>
        </w:rPr>
        <w:t xml:space="preserve">Paragrafen upphävs eftersom bestämmelser om produktsäkerhet i anslutning till gasanordningar utfärdas endast genom </w:t>
      </w:r>
      <w:r w:rsidR="00830F68" w:rsidRPr="001E07CA">
        <w:rPr>
          <w:lang w:val="sv-SE"/>
        </w:rPr>
        <w:t>EU:s gasanordningsförordning</w:t>
      </w:r>
      <w:r w:rsidR="00DF6AE3" w:rsidRPr="001E07CA">
        <w:rPr>
          <w:lang w:val="sv-SE"/>
        </w:rPr>
        <w:t xml:space="preserve"> och </w:t>
      </w:r>
      <w:r w:rsidR="00A65A71" w:rsidRPr="001E07CA">
        <w:rPr>
          <w:lang w:val="sv-SE"/>
        </w:rPr>
        <w:t xml:space="preserve">den föreslagna </w:t>
      </w:r>
      <w:r w:rsidR="00DF6AE3" w:rsidRPr="001E07CA">
        <w:rPr>
          <w:lang w:val="sv-SE"/>
        </w:rPr>
        <w:t>gasanordningslagen</w:t>
      </w:r>
      <w:r w:rsidR="00E45A33" w:rsidRPr="001E07CA">
        <w:rPr>
          <w:lang w:val="sv-SE"/>
        </w:rPr>
        <w:t>.</w:t>
      </w:r>
      <w:r w:rsidR="00AC1321" w:rsidRPr="001E07CA">
        <w:rPr>
          <w:lang w:val="sv-SE"/>
        </w:rPr>
        <w:t xml:space="preserve"> </w:t>
      </w:r>
      <w:r w:rsidR="00B62A5B" w:rsidRPr="001E07CA">
        <w:rPr>
          <w:lang w:val="sv-SE"/>
        </w:rPr>
        <w:t>Kemikaliesäkerhetslagen ska också fortsättningsvis innehålla bestämmelser om användningen och installationen av gasordningar.</w:t>
      </w:r>
    </w:p>
    <w:p w:rsidR="00AC525A" w:rsidRPr="001E07CA" w:rsidRDefault="00AC525A" w:rsidP="00D957FD">
      <w:pPr>
        <w:rPr>
          <w:highlight w:val="cyan"/>
          <w:lang w:val="sv-SE"/>
        </w:rPr>
      </w:pPr>
    </w:p>
    <w:p w:rsidR="00AC525A" w:rsidRPr="001E07CA" w:rsidRDefault="00AC525A" w:rsidP="00D957FD">
      <w:pPr>
        <w:rPr>
          <w:highlight w:val="cyan"/>
          <w:lang w:val="sv-SE"/>
        </w:rPr>
      </w:pPr>
      <w:r w:rsidRPr="001E07CA">
        <w:rPr>
          <w:b/>
          <w:lang w:val="sv-SE"/>
        </w:rPr>
        <w:t>50 §</w:t>
      </w:r>
      <w:r w:rsidR="00F671C7" w:rsidRPr="001E07CA">
        <w:rPr>
          <w:b/>
          <w:lang w:val="sv-SE"/>
        </w:rPr>
        <w:t>.</w:t>
      </w:r>
      <w:r w:rsidR="00A250CA" w:rsidRPr="001E07CA">
        <w:rPr>
          <w:lang w:val="sv-SE"/>
        </w:rPr>
        <w:t xml:space="preserve"> </w:t>
      </w:r>
      <w:r w:rsidR="00B62A5B" w:rsidRPr="001E07CA">
        <w:rPr>
          <w:i/>
          <w:lang w:val="sv-SE"/>
        </w:rPr>
        <w:t>Visande av överensstämmelse med kraven.</w:t>
      </w:r>
      <w:r w:rsidR="00A250CA" w:rsidRPr="001E07CA">
        <w:rPr>
          <w:lang w:val="sv-SE"/>
        </w:rPr>
        <w:t xml:space="preserve"> </w:t>
      </w:r>
      <w:r w:rsidR="00B62A5B" w:rsidRPr="001E07CA">
        <w:rPr>
          <w:lang w:val="sv-SE"/>
        </w:rPr>
        <w:t>Hänvisningen i 1 mom. till lagens paragrafer ändras så att den gäller endast 48 och 49 §, eftersom 47 §</w:t>
      </w:r>
      <w:r w:rsidR="002F56AC" w:rsidRPr="001E07CA">
        <w:rPr>
          <w:lang w:val="sv-SE"/>
        </w:rPr>
        <w:t xml:space="preserve"> om gasanordningar</w:t>
      </w:r>
      <w:r w:rsidR="00B62A5B" w:rsidRPr="001E07CA">
        <w:rPr>
          <w:lang w:val="sv-SE"/>
        </w:rPr>
        <w:t xml:space="preserve"> ska upphävas.</w:t>
      </w:r>
    </w:p>
    <w:p w:rsidR="00AC525A" w:rsidRPr="001E07CA" w:rsidRDefault="00AC525A" w:rsidP="00D957FD">
      <w:pPr>
        <w:rPr>
          <w:highlight w:val="cyan"/>
          <w:lang w:val="sv-SE"/>
        </w:rPr>
      </w:pPr>
    </w:p>
    <w:p w:rsidR="00AC525A" w:rsidRPr="001E07CA" w:rsidRDefault="00AC525A" w:rsidP="00D957FD">
      <w:pPr>
        <w:rPr>
          <w:highlight w:val="cyan"/>
          <w:lang w:val="sv-SE"/>
        </w:rPr>
      </w:pPr>
      <w:r w:rsidRPr="001E07CA">
        <w:rPr>
          <w:b/>
          <w:lang w:val="sv-SE"/>
        </w:rPr>
        <w:t>51 §</w:t>
      </w:r>
      <w:r w:rsidR="00F671C7" w:rsidRPr="001E07CA">
        <w:rPr>
          <w:b/>
          <w:lang w:val="sv-SE"/>
        </w:rPr>
        <w:t>.</w:t>
      </w:r>
      <w:r w:rsidRPr="001E07CA">
        <w:rPr>
          <w:lang w:val="sv-SE"/>
        </w:rPr>
        <w:t xml:space="preserve"> </w:t>
      </w:r>
      <w:r w:rsidR="00B62A5B" w:rsidRPr="001E07CA">
        <w:rPr>
          <w:i/>
          <w:lang w:val="sv-SE"/>
        </w:rPr>
        <w:t>Anvisningar och märkningar.</w:t>
      </w:r>
      <w:r w:rsidR="00A250CA" w:rsidRPr="001E07CA">
        <w:rPr>
          <w:lang w:val="sv-SE"/>
        </w:rPr>
        <w:t xml:space="preserve"> </w:t>
      </w:r>
      <w:r w:rsidR="00B62A5B" w:rsidRPr="001E07CA">
        <w:rPr>
          <w:lang w:val="sv-SE"/>
        </w:rPr>
        <w:t>Hänvisningen i 1 mom. till lagens paragrafer ändras så att den gäller endast 48 och 49 §, eftersom 47 §, som gäller gasanordningar, ska upphävas.</w:t>
      </w:r>
      <w:r w:rsidR="00AC1321" w:rsidRPr="001E07CA">
        <w:rPr>
          <w:lang w:val="sv-SE"/>
        </w:rPr>
        <w:t xml:space="preserve"> </w:t>
      </w:r>
      <w:r w:rsidR="00D971B4" w:rsidRPr="001E07CA">
        <w:rPr>
          <w:lang w:val="sv-SE"/>
        </w:rPr>
        <w:t>Samtidigt korrigeras</w:t>
      </w:r>
      <w:r w:rsidR="00B62A5B" w:rsidRPr="001E07CA">
        <w:rPr>
          <w:lang w:val="sv-SE"/>
        </w:rPr>
        <w:t xml:space="preserve"> det fel som inträffat vid beredningen </w:t>
      </w:r>
      <w:r w:rsidR="00D971B4" w:rsidRPr="001E07CA">
        <w:rPr>
          <w:lang w:val="sv-SE"/>
        </w:rPr>
        <w:t xml:space="preserve">av </w:t>
      </w:r>
      <w:r w:rsidR="00B62A5B" w:rsidRPr="001E07CA">
        <w:rPr>
          <w:lang w:val="sv-SE"/>
        </w:rPr>
        <w:t xml:space="preserve">lagen av om överensstämmelse med kraven för utrustning och säkerhetssystem som är avsedda för användning i explosionsfarliga omgivningar (1139/2016, nedan </w:t>
      </w:r>
      <w:r w:rsidR="00B62A5B" w:rsidRPr="001E07CA">
        <w:rPr>
          <w:i/>
          <w:lang w:val="sv-SE"/>
        </w:rPr>
        <w:t>ATEX-lagen</w:t>
      </w:r>
      <w:r w:rsidR="00B62A5B" w:rsidRPr="001E07CA">
        <w:rPr>
          <w:lang w:val="sv-SE"/>
        </w:rPr>
        <w:t>)</w:t>
      </w:r>
      <w:r w:rsidR="00256E32" w:rsidRPr="001E07CA">
        <w:rPr>
          <w:lang w:val="sv-SE"/>
        </w:rPr>
        <w:t>, dvs. att</w:t>
      </w:r>
      <w:r w:rsidR="006E7666" w:rsidRPr="001E07CA">
        <w:rPr>
          <w:lang w:val="sv-SE"/>
        </w:rPr>
        <w:t xml:space="preserve"> upphävandet av 46 § i kemikalisäkerhetslagen inte har </w:t>
      </w:r>
      <w:r w:rsidR="00321233" w:rsidRPr="001E07CA">
        <w:rPr>
          <w:lang w:val="sv-SE"/>
        </w:rPr>
        <w:t xml:space="preserve">inkluderats i </w:t>
      </w:r>
      <w:r w:rsidR="006E7666" w:rsidRPr="001E07CA">
        <w:rPr>
          <w:lang w:val="sv-SE"/>
        </w:rPr>
        <w:t>paragrafen i fråga.</w:t>
      </w:r>
    </w:p>
    <w:p w:rsidR="00AC525A" w:rsidRPr="001E07CA" w:rsidRDefault="00AC525A" w:rsidP="00D957FD">
      <w:pPr>
        <w:rPr>
          <w:highlight w:val="cyan"/>
          <w:lang w:val="sv-SE"/>
        </w:rPr>
      </w:pPr>
    </w:p>
    <w:p w:rsidR="00AC525A" w:rsidRPr="001E07CA" w:rsidRDefault="00AC525A" w:rsidP="00D957FD">
      <w:pPr>
        <w:rPr>
          <w:lang w:val="sv-SE"/>
        </w:rPr>
      </w:pPr>
      <w:r w:rsidRPr="001E07CA">
        <w:rPr>
          <w:b/>
          <w:lang w:val="sv-SE"/>
        </w:rPr>
        <w:t>52 §</w:t>
      </w:r>
      <w:r w:rsidR="00F671C7" w:rsidRPr="001E07CA">
        <w:rPr>
          <w:b/>
          <w:lang w:val="sv-SE"/>
        </w:rPr>
        <w:t>.</w:t>
      </w:r>
      <w:r w:rsidRPr="001E07CA">
        <w:rPr>
          <w:lang w:val="sv-SE"/>
        </w:rPr>
        <w:t xml:space="preserve"> </w:t>
      </w:r>
      <w:r w:rsidR="006E7666" w:rsidRPr="001E07CA">
        <w:rPr>
          <w:i/>
          <w:lang w:val="sv-SE"/>
        </w:rPr>
        <w:t>Bemyndigande att utfärda förordning om produkter som är förknippade med farliga kemikalier.</w:t>
      </w:r>
      <w:r w:rsidR="00A250CA" w:rsidRPr="001E07CA">
        <w:rPr>
          <w:lang w:val="sv-SE"/>
        </w:rPr>
        <w:t xml:space="preserve"> </w:t>
      </w:r>
      <w:r w:rsidR="006E7666" w:rsidRPr="001E07CA">
        <w:rPr>
          <w:lang w:val="sv-SE"/>
        </w:rPr>
        <w:t>Hänvisningen i 1 mom. till lagens paragrafer ändras så att den gäller endast 48 och 49 §, eftersom 47 §</w:t>
      </w:r>
      <w:r w:rsidR="0004093A" w:rsidRPr="001E07CA">
        <w:rPr>
          <w:lang w:val="sv-SE"/>
        </w:rPr>
        <w:t xml:space="preserve"> </w:t>
      </w:r>
      <w:r w:rsidR="006E7666" w:rsidRPr="001E07CA">
        <w:rPr>
          <w:lang w:val="sv-SE"/>
        </w:rPr>
        <w:t xml:space="preserve">om </w:t>
      </w:r>
      <w:r w:rsidR="00D773D5" w:rsidRPr="001E07CA">
        <w:rPr>
          <w:lang w:val="sv-SE"/>
        </w:rPr>
        <w:t>gasanordningar</w:t>
      </w:r>
      <w:r w:rsidR="006E7666" w:rsidRPr="001E07CA">
        <w:rPr>
          <w:lang w:val="sv-SE"/>
        </w:rPr>
        <w:t xml:space="preserve"> ska upphävas.</w:t>
      </w:r>
    </w:p>
    <w:p w:rsidR="0058644F" w:rsidRPr="001E07CA" w:rsidRDefault="0058644F" w:rsidP="00D957FD">
      <w:pPr>
        <w:rPr>
          <w:highlight w:val="cyan"/>
          <w:lang w:val="sv-SE"/>
        </w:rPr>
      </w:pPr>
    </w:p>
    <w:p w:rsidR="00AC525A" w:rsidRPr="001E07CA" w:rsidRDefault="00AC525A" w:rsidP="00D957FD">
      <w:pPr>
        <w:rPr>
          <w:highlight w:val="cyan"/>
          <w:lang w:val="sv-SE"/>
        </w:rPr>
      </w:pPr>
      <w:r w:rsidRPr="001E07CA">
        <w:rPr>
          <w:b/>
          <w:lang w:val="sv-SE"/>
        </w:rPr>
        <w:t>125 §</w:t>
      </w:r>
      <w:r w:rsidR="00F671C7" w:rsidRPr="001E07CA">
        <w:rPr>
          <w:b/>
          <w:lang w:val="sv-SE"/>
        </w:rPr>
        <w:t>.</w:t>
      </w:r>
      <w:r w:rsidRPr="001E07CA">
        <w:rPr>
          <w:lang w:val="sv-SE"/>
        </w:rPr>
        <w:t xml:space="preserve"> </w:t>
      </w:r>
      <w:r w:rsidR="006E7666" w:rsidRPr="001E07CA">
        <w:rPr>
          <w:i/>
          <w:lang w:val="sv-SE"/>
        </w:rPr>
        <w:t>Brott mot bestämmelserna om explosiva varor.</w:t>
      </w:r>
      <w:r w:rsidR="0058644F" w:rsidRPr="001E07CA">
        <w:rPr>
          <w:lang w:val="sv-SE"/>
        </w:rPr>
        <w:t xml:space="preserve"> </w:t>
      </w:r>
      <w:r w:rsidR="006E7666" w:rsidRPr="001E07CA">
        <w:rPr>
          <w:lang w:val="sv-SE"/>
        </w:rPr>
        <w:t>Hänvisningen i 1 mom. 5 punkten till lagens paragrafer ändras så att den gäller endast 48 och 49 §, eftersom 47 §</w:t>
      </w:r>
      <w:r w:rsidR="005A271C" w:rsidRPr="001E07CA">
        <w:rPr>
          <w:lang w:val="sv-SE"/>
        </w:rPr>
        <w:t xml:space="preserve"> om gasanordningar</w:t>
      </w:r>
      <w:r w:rsidR="006E7666" w:rsidRPr="001E07CA">
        <w:rPr>
          <w:lang w:val="sv-SE"/>
        </w:rPr>
        <w:t xml:space="preserve"> ska upphävas.</w:t>
      </w:r>
      <w:r w:rsidR="0058644F" w:rsidRPr="001E07CA">
        <w:rPr>
          <w:lang w:val="sv-SE"/>
        </w:rPr>
        <w:t xml:space="preserve"> </w:t>
      </w:r>
      <w:r w:rsidR="00D84160" w:rsidRPr="001E07CA">
        <w:rPr>
          <w:lang w:val="sv-SE"/>
        </w:rPr>
        <w:t>Samtidigt korrigeras ett</w:t>
      </w:r>
      <w:r w:rsidR="006E7666" w:rsidRPr="001E07CA">
        <w:rPr>
          <w:lang w:val="sv-SE"/>
        </w:rPr>
        <w:t xml:space="preserve"> fel som inträffat i samband med ber</w:t>
      </w:r>
      <w:r w:rsidR="00E114D8" w:rsidRPr="001E07CA">
        <w:rPr>
          <w:lang w:val="sv-SE"/>
        </w:rPr>
        <w:t>edningen av ATEX-lagen, dvs.</w:t>
      </w:r>
      <w:r w:rsidR="006E7666" w:rsidRPr="001E07CA">
        <w:rPr>
          <w:lang w:val="sv-SE"/>
        </w:rPr>
        <w:t xml:space="preserve"> att upphävandet av 46 § i kemikalisäkerhetslagen inte har inkluderats i </w:t>
      </w:r>
      <w:r w:rsidR="0063676C" w:rsidRPr="001E07CA">
        <w:rPr>
          <w:lang w:val="sv-SE"/>
        </w:rPr>
        <w:t>paragrafen i fråga</w:t>
      </w:r>
      <w:r w:rsidR="006E7666" w:rsidRPr="001E07CA">
        <w:rPr>
          <w:lang w:val="sv-SE"/>
        </w:rPr>
        <w:t>.</w:t>
      </w:r>
    </w:p>
    <w:p w:rsidR="00AC525A" w:rsidRPr="001E07CA" w:rsidRDefault="00AC525A" w:rsidP="00D957FD">
      <w:pPr>
        <w:rPr>
          <w:highlight w:val="cyan"/>
          <w:lang w:val="sv-SE"/>
        </w:rPr>
      </w:pPr>
    </w:p>
    <w:p w:rsidR="0058644F" w:rsidRPr="001E07CA" w:rsidRDefault="006E7666" w:rsidP="0058644F">
      <w:pPr>
        <w:rPr>
          <w:b/>
          <w:lang w:val="sv-SE"/>
        </w:rPr>
      </w:pPr>
      <w:r w:rsidRPr="001E07CA">
        <w:rPr>
          <w:b/>
          <w:lang w:val="sv-SE"/>
        </w:rPr>
        <w:t>2 Närmare bestämmelser och föreskrifter</w:t>
      </w:r>
    </w:p>
    <w:p w:rsidR="0058644F" w:rsidRPr="001E07CA" w:rsidRDefault="0058644F" w:rsidP="0058644F">
      <w:pPr>
        <w:rPr>
          <w:lang w:val="sv-SE"/>
        </w:rPr>
      </w:pPr>
    </w:p>
    <w:p w:rsidR="0058644F" w:rsidRPr="001E07CA" w:rsidRDefault="006E7666" w:rsidP="0058644F">
      <w:pPr>
        <w:rPr>
          <w:lang w:val="sv-SE"/>
        </w:rPr>
      </w:pPr>
      <w:r w:rsidRPr="001E07CA">
        <w:rPr>
          <w:lang w:val="sv-SE"/>
        </w:rPr>
        <w:t xml:space="preserve">Den nationella gasanordningsförordningen (1434/1993) föreslås bli upphävd genom </w:t>
      </w:r>
      <w:r w:rsidR="00AC591E" w:rsidRPr="001E07CA">
        <w:rPr>
          <w:lang w:val="sv-SE"/>
        </w:rPr>
        <w:t xml:space="preserve">den föreslagna </w:t>
      </w:r>
      <w:r w:rsidR="008A5C8A" w:rsidRPr="001E07CA">
        <w:rPr>
          <w:lang w:val="sv-SE"/>
        </w:rPr>
        <w:t>gasanordningslagen</w:t>
      </w:r>
      <w:r w:rsidRPr="001E07CA">
        <w:rPr>
          <w:lang w:val="sv-SE"/>
        </w:rPr>
        <w:t>.</w:t>
      </w:r>
    </w:p>
    <w:p w:rsidR="00ED2719" w:rsidRPr="001E07CA" w:rsidRDefault="00ED2719" w:rsidP="0058644F">
      <w:pPr>
        <w:rPr>
          <w:lang w:val="sv-SE"/>
        </w:rPr>
      </w:pPr>
    </w:p>
    <w:p w:rsidR="008D6483" w:rsidRPr="001E07CA" w:rsidRDefault="00EB23AE" w:rsidP="008D6483">
      <w:pPr>
        <w:rPr>
          <w:lang w:val="sv-SE"/>
        </w:rPr>
      </w:pPr>
      <w:r w:rsidRPr="001E07CA">
        <w:rPr>
          <w:lang w:val="sv-SE"/>
        </w:rPr>
        <w:t xml:space="preserve">Eftersom </w:t>
      </w:r>
      <w:r w:rsidR="00A34E73" w:rsidRPr="001E07CA">
        <w:rPr>
          <w:lang w:val="sv-SE"/>
        </w:rPr>
        <w:t xml:space="preserve">den nationella gasanordningsförordningen </w:t>
      </w:r>
      <w:r w:rsidRPr="001E07CA">
        <w:rPr>
          <w:lang w:val="sv-SE"/>
        </w:rPr>
        <w:t xml:space="preserve">ersätts </w:t>
      </w:r>
      <w:r w:rsidR="00A34E73" w:rsidRPr="001E07CA">
        <w:rPr>
          <w:lang w:val="sv-SE"/>
        </w:rPr>
        <w:t xml:space="preserve">med </w:t>
      </w:r>
      <w:r w:rsidR="00E641FA" w:rsidRPr="001E07CA">
        <w:rPr>
          <w:lang w:val="sv-SE"/>
        </w:rPr>
        <w:t>EU:s gasanordningsförordning</w:t>
      </w:r>
      <w:r w:rsidR="0099473F" w:rsidRPr="001E07CA">
        <w:rPr>
          <w:lang w:val="sv-SE"/>
        </w:rPr>
        <w:t xml:space="preserve"> och</w:t>
      </w:r>
      <w:r w:rsidRPr="001E07CA">
        <w:rPr>
          <w:lang w:val="sv-SE"/>
        </w:rPr>
        <w:t xml:space="preserve"> den föreslagna</w:t>
      </w:r>
      <w:r w:rsidR="0099473F" w:rsidRPr="001E07CA">
        <w:rPr>
          <w:lang w:val="sv-SE"/>
        </w:rPr>
        <w:t xml:space="preserve"> gasanordningslagen</w:t>
      </w:r>
      <w:r w:rsidR="009115B0" w:rsidRPr="001E07CA">
        <w:rPr>
          <w:lang w:val="sv-SE"/>
        </w:rPr>
        <w:t xml:space="preserve"> </w:t>
      </w:r>
      <w:r w:rsidRPr="001E07CA">
        <w:rPr>
          <w:lang w:val="sv-SE"/>
        </w:rPr>
        <w:t>uppstår det</w:t>
      </w:r>
      <w:r w:rsidR="009115B0" w:rsidRPr="001E07CA">
        <w:rPr>
          <w:lang w:val="sv-SE"/>
        </w:rPr>
        <w:t xml:space="preserve"> behov </w:t>
      </w:r>
      <w:r w:rsidR="0099473F" w:rsidRPr="001E07CA">
        <w:rPr>
          <w:lang w:val="sv-SE"/>
        </w:rPr>
        <w:t xml:space="preserve">att ändra </w:t>
      </w:r>
      <w:r w:rsidR="009115B0" w:rsidRPr="001E07CA">
        <w:rPr>
          <w:lang w:val="sv-SE"/>
        </w:rPr>
        <w:t>statsrådets förordning</w:t>
      </w:r>
      <w:r w:rsidR="0099473F" w:rsidRPr="001E07CA">
        <w:rPr>
          <w:lang w:val="sv-SE"/>
        </w:rPr>
        <w:t xml:space="preserve"> </w:t>
      </w:r>
      <w:r w:rsidR="009115B0" w:rsidRPr="001E07CA">
        <w:rPr>
          <w:lang w:val="sv-SE"/>
        </w:rPr>
        <w:t>om säkerhetskraven för flytgasanläggningar (858/2012), statsrådets förordning</w:t>
      </w:r>
      <w:r w:rsidR="0099473F" w:rsidRPr="001E07CA">
        <w:rPr>
          <w:lang w:val="sv-SE"/>
        </w:rPr>
        <w:t xml:space="preserve"> </w:t>
      </w:r>
      <w:r w:rsidR="009115B0" w:rsidRPr="001E07CA">
        <w:rPr>
          <w:lang w:val="sv-SE"/>
        </w:rPr>
        <w:t>om säkerhet vid hant</w:t>
      </w:r>
      <w:r w:rsidR="0099473F" w:rsidRPr="001E07CA">
        <w:rPr>
          <w:lang w:val="sv-SE"/>
        </w:rPr>
        <w:t xml:space="preserve">ering av naturgas (551/2009), </w:t>
      </w:r>
      <w:r w:rsidR="009115B0" w:rsidRPr="001E07CA">
        <w:rPr>
          <w:lang w:val="sv-SE"/>
        </w:rPr>
        <w:t>statsrådets förordning</w:t>
      </w:r>
      <w:r w:rsidR="0099473F" w:rsidRPr="001E07CA">
        <w:rPr>
          <w:lang w:val="sv-SE"/>
        </w:rPr>
        <w:t xml:space="preserve"> </w:t>
      </w:r>
      <w:r w:rsidR="009115B0" w:rsidRPr="001E07CA">
        <w:rPr>
          <w:lang w:val="sv-SE"/>
        </w:rPr>
        <w:t>om godkännande av rörelser för installation och service av naturgas-, flytgas- och oljeeldningsaggregat samt för besiktning av underjordiska oljecisterner (558/2012) samt</w:t>
      </w:r>
      <w:r w:rsidR="0099473F" w:rsidRPr="001E07CA">
        <w:rPr>
          <w:lang w:val="sv-SE"/>
        </w:rPr>
        <w:t xml:space="preserve"> s</w:t>
      </w:r>
      <w:r w:rsidR="009115B0" w:rsidRPr="001E07CA">
        <w:rPr>
          <w:lang w:val="sv-SE"/>
        </w:rPr>
        <w:t>tatsrådets förordning om delegationen för säkerhetsteknik (340/2017).</w:t>
      </w:r>
    </w:p>
    <w:p w:rsidR="00416747" w:rsidRPr="001E07CA" w:rsidRDefault="00416747" w:rsidP="0058644F">
      <w:pPr>
        <w:rPr>
          <w:lang w:val="sv-SE"/>
        </w:rPr>
      </w:pPr>
    </w:p>
    <w:p w:rsidR="00416747" w:rsidRPr="001E07CA" w:rsidRDefault="0052659F" w:rsidP="0058644F">
      <w:pPr>
        <w:rPr>
          <w:lang w:val="sv-SE"/>
        </w:rPr>
      </w:pPr>
      <w:r w:rsidRPr="001E07CA">
        <w:rPr>
          <w:lang w:val="sv-SE"/>
        </w:rPr>
        <w:t xml:space="preserve">Då </w:t>
      </w:r>
      <w:r w:rsidR="00C247EF" w:rsidRPr="001E07CA">
        <w:rPr>
          <w:lang w:val="sv-SE"/>
        </w:rPr>
        <w:t>bestämmelser om produktsäkerhet</w:t>
      </w:r>
      <w:r w:rsidR="002B5EF3" w:rsidRPr="001E07CA">
        <w:rPr>
          <w:lang w:val="sv-SE"/>
        </w:rPr>
        <w:t>en</w:t>
      </w:r>
      <w:r w:rsidR="008B4247" w:rsidRPr="001E07CA">
        <w:rPr>
          <w:lang w:val="sv-SE"/>
        </w:rPr>
        <w:t xml:space="preserve"> för</w:t>
      </w:r>
      <w:r w:rsidR="007947AD" w:rsidRPr="001E07CA">
        <w:rPr>
          <w:lang w:val="sv-SE"/>
        </w:rPr>
        <w:t xml:space="preserve"> gasanordningar</w:t>
      </w:r>
      <w:r w:rsidR="008B4247" w:rsidRPr="001E07CA">
        <w:rPr>
          <w:lang w:val="sv-SE"/>
        </w:rPr>
        <w:t>s del</w:t>
      </w:r>
      <w:r w:rsidR="007947AD" w:rsidRPr="001E07CA">
        <w:rPr>
          <w:lang w:val="sv-SE"/>
        </w:rPr>
        <w:t xml:space="preserve"> i f</w:t>
      </w:r>
      <w:r w:rsidR="008B4247" w:rsidRPr="001E07CA">
        <w:rPr>
          <w:lang w:val="sv-SE"/>
        </w:rPr>
        <w:t xml:space="preserve">ortsättningen ska utfärdas genom den </w:t>
      </w:r>
      <w:r w:rsidR="00C247EF" w:rsidRPr="001E07CA">
        <w:rPr>
          <w:lang w:val="sv-SE"/>
        </w:rPr>
        <w:t xml:space="preserve">nya </w:t>
      </w:r>
      <w:r w:rsidR="007947AD" w:rsidRPr="001E07CA">
        <w:rPr>
          <w:lang w:val="sv-SE"/>
        </w:rPr>
        <w:t>gasanordningslagen</w:t>
      </w:r>
      <w:r w:rsidR="002B5EF3" w:rsidRPr="001E07CA">
        <w:rPr>
          <w:lang w:val="sv-SE"/>
        </w:rPr>
        <w:t xml:space="preserve"> i stället för kemikaliesäkerhetslagen</w:t>
      </w:r>
      <w:r w:rsidR="00C247EF" w:rsidRPr="001E07CA">
        <w:rPr>
          <w:lang w:val="sv-SE"/>
        </w:rPr>
        <w:t>, är det ändamålsenligt att samla all</w:t>
      </w:r>
      <w:r w:rsidR="008B4247" w:rsidRPr="001E07CA">
        <w:rPr>
          <w:lang w:val="sv-SE"/>
        </w:rPr>
        <w:t>a produktbaserade frågor</w:t>
      </w:r>
      <w:r w:rsidR="00FE5CA8" w:rsidRPr="001E07CA">
        <w:rPr>
          <w:lang w:val="sv-SE"/>
        </w:rPr>
        <w:t xml:space="preserve"> i anslutning till</w:t>
      </w:r>
      <w:r w:rsidR="00C247EF" w:rsidRPr="001E07CA">
        <w:rPr>
          <w:lang w:val="sv-SE"/>
        </w:rPr>
        <w:t xml:space="preserve"> gasanordningar i en förordning om gasanordningar som utfärdas med </w:t>
      </w:r>
      <w:r w:rsidR="00B13F87" w:rsidRPr="001E07CA">
        <w:rPr>
          <w:lang w:val="sv-SE"/>
        </w:rPr>
        <w:t>stöd av gasanordningslagen</w:t>
      </w:r>
      <w:r w:rsidR="00C247EF" w:rsidRPr="001E07CA">
        <w:rPr>
          <w:lang w:val="sv-SE"/>
        </w:rPr>
        <w:t>.</w:t>
      </w:r>
      <w:r w:rsidR="00416747" w:rsidRPr="001E07CA">
        <w:rPr>
          <w:lang w:val="sv-SE"/>
        </w:rPr>
        <w:t xml:space="preserve"> </w:t>
      </w:r>
      <w:r w:rsidR="003F0299" w:rsidRPr="001E07CA">
        <w:rPr>
          <w:lang w:val="sv-SE"/>
        </w:rPr>
        <w:t xml:space="preserve">Till den nya nationella förordningen flyttas </w:t>
      </w:r>
      <w:r w:rsidR="002B5EF3" w:rsidRPr="001E07CA">
        <w:rPr>
          <w:lang w:val="sv-SE"/>
        </w:rPr>
        <w:t xml:space="preserve">de tekniska </w:t>
      </w:r>
      <w:r w:rsidR="003F0299" w:rsidRPr="001E07CA">
        <w:rPr>
          <w:lang w:val="sv-SE"/>
        </w:rPr>
        <w:t xml:space="preserve">bestämmelserna om gasslangar och tryckventiler </w:t>
      </w:r>
      <w:r w:rsidR="002B5EF3" w:rsidRPr="001E07CA">
        <w:rPr>
          <w:lang w:val="sv-SE"/>
        </w:rPr>
        <w:t xml:space="preserve">i fråga om </w:t>
      </w:r>
      <w:r w:rsidR="00BD291E" w:rsidRPr="001E07CA">
        <w:rPr>
          <w:lang w:val="sv-SE"/>
        </w:rPr>
        <w:t>flytgas</w:t>
      </w:r>
      <w:r w:rsidR="002B5EF3" w:rsidRPr="001E07CA">
        <w:rPr>
          <w:lang w:val="sv-SE"/>
        </w:rPr>
        <w:t xml:space="preserve">anordningar </w:t>
      </w:r>
      <w:r w:rsidR="003F0299" w:rsidRPr="001E07CA">
        <w:rPr>
          <w:lang w:val="sv-SE"/>
        </w:rPr>
        <w:t>från förordning 858/2012 och i fråga om naturgas från förordning 551/2009.</w:t>
      </w:r>
      <w:r w:rsidR="0037769D" w:rsidRPr="001E07CA">
        <w:rPr>
          <w:lang w:val="sv-SE"/>
        </w:rPr>
        <w:t xml:space="preserve"> </w:t>
      </w:r>
      <w:r w:rsidR="00FF3FC9" w:rsidRPr="001E07CA">
        <w:rPr>
          <w:lang w:val="sv-SE"/>
        </w:rPr>
        <w:t>Till den nya förordningen ska d</w:t>
      </w:r>
      <w:r w:rsidR="003F0299" w:rsidRPr="001E07CA">
        <w:rPr>
          <w:lang w:val="sv-SE"/>
        </w:rPr>
        <w:t xml:space="preserve">essutom från </w:t>
      </w:r>
      <w:r w:rsidR="00FF3FC9" w:rsidRPr="001E07CA">
        <w:rPr>
          <w:lang w:val="sv-SE"/>
        </w:rPr>
        <w:t xml:space="preserve">ovan </w:t>
      </w:r>
      <w:r w:rsidR="003F0299" w:rsidRPr="001E07CA">
        <w:rPr>
          <w:lang w:val="sv-SE"/>
        </w:rPr>
        <w:t xml:space="preserve">nämnda förordningar </w:t>
      </w:r>
      <w:r w:rsidR="00FF3FC9" w:rsidRPr="001E07CA">
        <w:rPr>
          <w:lang w:val="sv-SE"/>
        </w:rPr>
        <w:t xml:space="preserve">flyttas </w:t>
      </w:r>
      <w:r w:rsidR="003F0299" w:rsidRPr="001E07CA">
        <w:rPr>
          <w:lang w:val="sv-SE"/>
        </w:rPr>
        <w:t xml:space="preserve">bestämmelserna om </w:t>
      </w:r>
      <w:r w:rsidR="002931E3" w:rsidRPr="001E07CA">
        <w:rPr>
          <w:lang w:val="sv-SE"/>
        </w:rPr>
        <w:t>drifttrycket</w:t>
      </w:r>
      <w:r w:rsidR="00FF3FC9" w:rsidRPr="001E07CA">
        <w:rPr>
          <w:lang w:val="sv-SE"/>
        </w:rPr>
        <w:t xml:space="preserve"> i fråga om både anordn</w:t>
      </w:r>
      <w:r w:rsidR="001D0D25">
        <w:rPr>
          <w:lang w:val="sv-SE"/>
        </w:rPr>
        <w:t>ingar som fungerar med flytgas</w:t>
      </w:r>
      <w:r w:rsidR="004E7B15" w:rsidRPr="001E07CA">
        <w:rPr>
          <w:lang w:val="sv-SE"/>
        </w:rPr>
        <w:t xml:space="preserve"> </w:t>
      </w:r>
      <w:r w:rsidR="00D66354" w:rsidRPr="001E07CA">
        <w:rPr>
          <w:lang w:val="sv-SE"/>
        </w:rPr>
        <w:t>och anordningar som fungerar med</w:t>
      </w:r>
      <w:r w:rsidR="00FF3FC9" w:rsidRPr="001E07CA">
        <w:rPr>
          <w:lang w:val="sv-SE"/>
        </w:rPr>
        <w:t xml:space="preserve"> naturgas.</w:t>
      </w:r>
      <w:r w:rsidR="0037769D" w:rsidRPr="001E07CA">
        <w:rPr>
          <w:lang w:val="sv-SE"/>
        </w:rPr>
        <w:t xml:space="preserve"> </w:t>
      </w:r>
      <w:r w:rsidR="00F5491F" w:rsidRPr="001E07CA">
        <w:rPr>
          <w:lang w:val="sv-SE"/>
        </w:rPr>
        <w:t>Naturen hos de tekniska bestämmelserna ska förbli oförändrad</w:t>
      </w:r>
      <w:r w:rsidR="00E85FEC" w:rsidRPr="001E07CA">
        <w:rPr>
          <w:lang w:val="sv-SE"/>
        </w:rPr>
        <w:t>, men de ska grupperas på nytt och bilda</w:t>
      </w:r>
      <w:r w:rsidR="00F5491F" w:rsidRPr="001E07CA">
        <w:rPr>
          <w:lang w:val="sv-SE"/>
        </w:rPr>
        <w:t xml:space="preserve"> en mer ändamålsenlig författningsstruktur.</w:t>
      </w:r>
    </w:p>
    <w:p w:rsidR="008D5069" w:rsidRPr="001E07CA" w:rsidRDefault="008D5069" w:rsidP="0058644F">
      <w:pPr>
        <w:rPr>
          <w:lang w:val="sv-SE"/>
        </w:rPr>
      </w:pPr>
    </w:p>
    <w:p w:rsidR="00D957FD" w:rsidRPr="001E07CA" w:rsidRDefault="0030600B" w:rsidP="00D957FD">
      <w:pPr>
        <w:rPr>
          <w:b/>
          <w:lang w:val="sv-SE"/>
        </w:rPr>
      </w:pPr>
      <w:r w:rsidRPr="001E07CA">
        <w:rPr>
          <w:b/>
          <w:lang w:val="sv-SE"/>
        </w:rPr>
        <w:t>3 Ikraftträdande</w:t>
      </w:r>
    </w:p>
    <w:p w:rsidR="00D957FD" w:rsidRPr="001E07CA" w:rsidRDefault="00D957FD" w:rsidP="00D957FD">
      <w:pPr>
        <w:rPr>
          <w:b/>
          <w:lang w:val="sv-SE"/>
        </w:rPr>
      </w:pPr>
    </w:p>
    <w:p w:rsidR="00D957FD" w:rsidRPr="001E07CA" w:rsidRDefault="0030600B" w:rsidP="00D957FD">
      <w:pPr>
        <w:rPr>
          <w:lang w:val="sv-SE"/>
        </w:rPr>
      </w:pPr>
      <w:r w:rsidRPr="001E07CA">
        <w:rPr>
          <w:lang w:val="sv-SE"/>
        </w:rPr>
        <w:t>Lagarna föreslås träda i kraft den 21 april 2018.</w:t>
      </w:r>
      <w:r w:rsidR="00D957FD" w:rsidRPr="001E07CA">
        <w:rPr>
          <w:lang w:val="sv-SE"/>
        </w:rPr>
        <w:t xml:space="preserve"> </w:t>
      </w:r>
      <w:r w:rsidR="00172692" w:rsidRPr="001E07CA">
        <w:rPr>
          <w:lang w:val="sv-SE"/>
        </w:rPr>
        <w:t>Gasanordningsförordningen</w:t>
      </w:r>
      <w:r w:rsidRPr="001E07CA">
        <w:rPr>
          <w:lang w:val="sv-SE"/>
        </w:rPr>
        <w:t xml:space="preserve"> ska tillämpas från och med den nämnda dagen.</w:t>
      </w:r>
      <w:r w:rsidR="00D957FD" w:rsidRPr="001E07CA">
        <w:rPr>
          <w:lang w:val="sv-SE"/>
        </w:rPr>
        <w:t xml:space="preserve"> </w:t>
      </w:r>
    </w:p>
    <w:p w:rsidR="00D957FD" w:rsidRPr="001E07CA" w:rsidRDefault="00D957FD" w:rsidP="00D957FD">
      <w:pPr>
        <w:rPr>
          <w:b/>
          <w:highlight w:val="cyan"/>
          <w:lang w:val="sv-SE"/>
        </w:rPr>
      </w:pPr>
    </w:p>
    <w:p w:rsidR="00D957FD" w:rsidRPr="001E07CA" w:rsidRDefault="0030600B" w:rsidP="00D957FD">
      <w:pPr>
        <w:rPr>
          <w:b/>
          <w:lang w:val="sv-SE"/>
        </w:rPr>
      </w:pPr>
      <w:r w:rsidRPr="001E07CA">
        <w:rPr>
          <w:b/>
          <w:lang w:val="sv-SE"/>
        </w:rPr>
        <w:t>4 Förhållande till grundlagen samt lagstiftningsordning</w:t>
      </w:r>
      <w:r w:rsidR="00C836B3" w:rsidRPr="001E07CA">
        <w:rPr>
          <w:b/>
          <w:lang w:val="sv-SE"/>
        </w:rPr>
        <w:t xml:space="preserve"> </w:t>
      </w:r>
    </w:p>
    <w:p w:rsidR="00D957FD" w:rsidRPr="001E07CA" w:rsidRDefault="00D957FD" w:rsidP="00D957FD">
      <w:pPr>
        <w:rPr>
          <w:b/>
          <w:lang w:val="sv-SE"/>
        </w:rPr>
      </w:pPr>
    </w:p>
    <w:p w:rsidR="001717C9" w:rsidRPr="001E07CA" w:rsidRDefault="0030600B" w:rsidP="001717C9">
      <w:pPr>
        <w:rPr>
          <w:lang w:val="sv-SE"/>
        </w:rPr>
      </w:pPr>
      <w:r w:rsidRPr="001E07CA">
        <w:rPr>
          <w:lang w:val="sv-SE"/>
        </w:rPr>
        <w:t>Vissa bestämmelser som ingår i propositionen är av betydelse mot bakgrund av grundlagen.</w:t>
      </w:r>
    </w:p>
    <w:p w:rsidR="007A27B0" w:rsidRPr="001E07CA" w:rsidRDefault="0030600B" w:rsidP="0061441D">
      <w:pPr>
        <w:rPr>
          <w:lang w:val="sv-SE"/>
        </w:rPr>
      </w:pPr>
      <w:r w:rsidRPr="001E07CA">
        <w:rPr>
          <w:lang w:val="sv-SE"/>
        </w:rPr>
        <w:t>I 8 § i grundlagen föreskrivs om den straffrättsliga legalitetsprincipen.</w:t>
      </w:r>
      <w:r w:rsidR="00AB6B21" w:rsidRPr="001E07CA">
        <w:rPr>
          <w:lang w:val="sv-SE"/>
        </w:rPr>
        <w:t xml:space="preserve"> </w:t>
      </w:r>
      <w:r w:rsidRPr="001E07CA">
        <w:rPr>
          <w:lang w:val="sv-SE"/>
        </w:rPr>
        <w:t>Enligt paragrafen får ingen betraktas som skyldig till ett brott eller dömas till straff på grund av en handling som inte enligt lag var straffbar när den utfördes.</w:t>
      </w:r>
      <w:r w:rsidR="00AB6B21" w:rsidRPr="001E07CA">
        <w:rPr>
          <w:lang w:val="sv-SE"/>
        </w:rPr>
        <w:t xml:space="preserve"> </w:t>
      </w:r>
      <w:r w:rsidRPr="001E07CA">
        <w:rPr>
          <w:lang w:val="sv-SE"/>
        </w:rPr>
        <w:t>För brott får inte dömas till strängare straff än vad som var föreskrivet i lag när gärningen begicks.</w:t>
      </w:r>
      <w:r w:rsidR="00AB6B21" w:rsidRPr="001E07CA">
        <w:rPr>
          <w:lang w:val="sv-SE"/>
        </w:rPr>
        <w:t xml:space="preserve"> </w:t>
      </w:r>
    </w:p>
    <w:p w:rsidR="007A27B0" w:rsidRPr="001E07CA" w:rsidRDefault="007A27B0" w:rsidP="0061441D">
      <w:pPr>
        <w:rPr>
          <w:lang w:val="sv-SE"/>
        </w:rPr>
      </w:pPr>
    </w:p>
    <w:p w:rsidR="007A27B0" w:rsidRPr="001E07CA" w:rsidRDefault="0030600B" w:rsidP="0061441D">
      <w:pPr>
        <w:rPr>
          <w:lang w:val="sv-SE"/>
        </w:rPr>
      </w:pPr>
      <w:r w:rsidRPr="001E07CA">
        <w:rPr>
          <w:lang w:val="sv-SE"/>
        </w:rPr>
        <w:t>Den straffrättsliga legalitetsprincipen inbegriper ett särskilt krav på att lagen ska vara exakt.</w:t>
      </w:r>
      <w:r w:rsidR="00AB6B21" w:rsidRPr="001E07CA">
        <w:rPr>
          <w:lang w:val="sv-SE"/>
        </w:rPr>
        <w:t xml:space="preserve"> </w:t>
      </w:r>
      <w:r w:rsidRPr="001E07CA">
        <w:rPr>
          <w:lang w:val="sv-SE"/>
        </w:rPr>
        <w:t xml:space="preserve">Enligt den ska brottsrekvisitet för varje brott </w:t>
      </w:r>
      <w:r w:rsidR="00772E92" w:rsidRPr="001E07CA">
        <w:rPr>
          <w:lang w:val="sv-SE"/>
        </w:rPr>
        <w:t>anges tillräckligt exakt i lag</w:t>
      </w:r>
      <w:r w:rsidRPr="001E07CA">
        <w:rPr>
          <w:lang w:val="sv-SE"/>
        </w:rPr>
        <w:t xml:space="preserve"> för att det utifrån </w:t>
      </w:r>
      <w:r w:rsidR="00C56570" w:rsidRPr="001E07CA">
        <w:rPr>
          <w:lang w:val="sv-SE"/>
        </w:rPr>
        <w:t xml:space="preserve">en bestämmelses ordalydelse </w:t>
      </w:r>
      <w:r w:rsidRPr="001E07CA">
        <w:rPr>
          <w:lang w:val="sv-SE"/>
        </w:rPr>
        <w:t>ska gå att sluta sig till om en åtgärd eller försu</w:t>
      </w:r>
      <w:r w:rsidR="001368D8" w:rsidRPr="001E07CA">
        <w:rPr>
          <w:lang w:val="sv-SE"/>
        </w:rPr>
        <w:t>mmelse är straffbar eller inte.</w:t>
      </w:r>
      <w:r w:rsidR="00AB6B21" w:rsidRPr="001E07CA">
        <w:rPr>
          <w:sz w:val="22"/>
          <w:lang w:val="sv-SE"/>
        </w:rPr>
        <w:t xml:space="preserve"> </w:t>
      </w:r>
      <w:r w:rsidRPr="001E07CA">
        <w:rPr>
          <w:lang w:val="sv-SE"/>
        </w:rPr>
        <w:t xml:space="preserve">I 11 § 1 mom. i den föreslagna </w:t>
      </w:r>
      <w:r w:rsidR="001368D8" w:rsidRPr="001E07CA">
        <w:rPr>
          <w:lang w:val="sv-SE"/>
        </w:rPr>
        <w:t>gasanordningslagen</w:t>
      </w:r>
      <w:r w:rsidRPr="001E07CA">
        <w:rPr>
          <w:lang w:val="sv-SE"/>
        </w:rPr>
        <w:t xml:space="preserve"> ingår en bestämmelse om brott mot gasanordningslagen, där det med avvikelse från nuläget görs en hänvisning till artiklar i </w:t>
      </w:r>
      <w:r w:rsidR="00B26AD9" w:rsidRPr="001E07CA">
        <w:rPr>
          <w:lang w:val="sv-SE"/>
        </w:rPr>
        <w:t>gasanordningsförordni</w:t>
      </w:r>
      <w:r w:rsidR="003D6210" w:rsidRPr="001E07CA">
        <w:rPr>
          <w:lang w:val="sv-SE"/>
        </w:rPr>
        <w:t>n</w:t>
      </w:r>
      <w:r w:rsidR="00B26AD9" w:rsidRPr="001E07CA">
        <w:rPr>
          <w:lang w:val="sv-SE"/>
        </w:rPr>
        <w:t>gen</w:t>
      </w:r>
      <w:r w:rsidRPr="001E07CA">
        <w:rPr>
          <w:lang w:val="sv-SE"/>
        </w:rPr>
        <w:t xml:space="preserve"> och </w:t>
      </w:r>
      <w:r w:rsidR="002F7A9A" w:rsidRPr="001E07CA">
        <w:rPr>
          <w:lang w:val="sv-SE"/>
        </w:rPr>
        <w:t>till vissa paragrafer</w:t>
      </w:r>
      <w:r w:rsidRPr="001E07CA">
        <w:rPr>
          <w:lang w:val="sv-SE"/>
        </w:rPr>
        <w:t xml:space="preserve"> i den föreslagna gasanordningslagen.</w:t>
      </w:r>
      <w:r w:rsidR="00AB6B21" w:rsidRPr="001E07CA">
        <w:rPr>
          <w:lang w:val="sv-SE"/>
        </w:rPr>
        <w:t xml:space="preserve"> </w:t>
      </w:r>
      <w:r w:rsidR="00730085" w:rsidRPr="001E07CA">
        <w:rPr>
          <w:lang w:val="sv-SE"/>
        </w:rPr>
        <w:t xml:space="preserve">Av bestämmelsen ska det också framgå </w:t>
      </w:r>
      <w:r w:rsidR="003A53C2" w:rsidRPr="001E07CA">
        <w:rPr>
          <w:lang w:val="sv-SE"/>
        </w:rPr>
        <w:t>vem</w:t>
      </w:r>
      <w:r w:rsidR="00C97F57" w:rsidRPr="001E07CA">
        <w:rPr>
          <w:lang w:val="sv-SE"/>
        </w:rPr>
        <w:t>s skyldighet</w:t>
      </w:r>
      <w:r w:rsidR="003A53C2" w:rsidRPr="001E07CA">
        <w:rPr>
          <w:lang w:val="sv-SE"/>
        </w:rPr>
        <w:t xml:space="preserve"> </w:t>
      </w:r>
      <w:r w:rsidR="00730085" w:rsidRPr="001E07CA">
        <w:rPr>
          <w:lang w:val="sv-SE"/>
        </w:rPr>
        <w:t xml:space="preserve">och vilken </w:t>
      </w:r>
      <w:r w:rsidR="00C97F57" w:rsidRPr="001E07CA">
        <w:rPr>
          <w:lang w:val="sv-SE"/>
        </w:rPr>
        <w:t xml:space="preserve">slags </w:t>
      </w:r>
      <w:r w:rsidR="00730085" w:rsidRPr="001E07CA">
        <w:rPr>
          <w:lang w:val="sv-SE"/>
        </w:rPr>
        <w:t xml:space="preserve">skyldighet </w:t>
      </w:r>
      <w:r w:rsidR="003A53C2" w:rsidRPr="001E07CA">
        <w:rPr>
          <w:lang w:val="sv-SE"/>
        </w:rPr>
        <w:t>som försummas</w:t>
      </w:r>
      <w:r w:rsidR="00730085" w:rsidRPr="001E07CA">
        <w:rPr>
          <w:lang w:val="sv-SE"/>
        </w:rPr>
        <w:t>.</w:t>
      </w:r>
      <w:r w:rsidR="00AB6B21" w:rsidRPr="001E07CA">
        <w:rPr>
          <w:lang w:val="sv-SE"/>
        </w:rPr>
        <w:t xml:space="preserve"> </w:t>
      </w:r>
    </w:p>
    <w:p w:rsidR="007A27B0" w:rsidRPr="001E07CA" w:rsidRDefault="007A27B0" w:rsidP="0061441D">
      <w:pPr>
        <w:rPr>
          <w:lang w:val="sv-SE"/>
        </w:rPr>
      </w:pPr>
    </w:p>
    <w:p w:rsidR="007A27B0" w:rsidRPr="001E07CA" w:rsidRDefault="00F57EB5" w:rsidP="0061441D">
      <w:pPr>
        <w:rPr>
          <w:lang w:val="sv-SE"/>
        </w:rPr>
      </w:pPr>
      <w:r w:rsidRPr="001E07CA">
        <w:rPr>
          <w:lang w:val="sv-SE"/>
        </w:rPr>
        <w:t>Ett ytterligare mål med förslaget har varit</w:t>
      </w:r>
      <w:r w:rsidR="00730085" w:rsidRPr="001E07CA">
        <w:rPr>
          <w:lang w:val="sv-SE"/>
        </w:rPr>
        <w:t xml:space="preserve"> att påföljderna för ö</w:t>
      </w:r>
      <w:r w:rsidR="008A6FBF" w:rsidRPr="001E07CA">
        <w:rPr>
          <w:lang w:val="sv-SE"/>
        </w:rPr>
        <w:t>verträdelse av EU-förordningen</w:t>
      </w:r>
      <w:r w:rsidR="00730085" w:rsidRPr="001E07CA">
        <w:rPr>
          <w:lang w:val="sv-SE"/>
        </w:rPr>
        <w:t xml:space="preserve"> ska enligt motsvarighetsprincipen vara av samma art som påföljderna för brott mot motsvarande nationella bestämmelser.</w:t>
      </w:r>
      <w:r w:rsidR="00AB6B21" w:rsidRPr="001E07CA">
        <w:rPr>
          <w:lang w:val="sv-SE"/>
        </w:rPr>
        <w:t xml:space="preserve"> </w:t>
      </w:r>
      <w:r w:rsidRPr="001E07CA">
        <w:rPr>
          <w:lang w:val="sv-SE"/>
        </w:rPr>
        <w:t>På basis a</w:t>
      </w:r>
      <w:r w:rsidR="008A6FBF" w:rsidRPr="001E07CA">
        <w:rPr>
          <w:lang w:val="sv-SE"/>
        </w:rPr>
        <w:t>v ordalydelsen i den f</w:t>
      </w:r>
      <w:r w:rsidR="009F6728" w:rsidRPr="001E07CA">
        <w:rPr>
          <w:lang w:val="sv-SE"/>
        </w:rPr>
        <w:t>öreslagna straffbestämmelsen kan</w:t>
      </w:r>
      <w:r w:rsidR="008A6FBF" w:rsidRPr="001E07CA">
        <w:rPr>
          <w:lang w:val="sv-SE"/>
        </w:rPr>
        <w:t xml:space="preserve"> man alltså förutsäga vilken gärning eller försummelse som är straffbar, och regleringen är inte till denna del problematisk mot bakgrund av 8 § i grundlagen.</w:t>
      </w:r>
      <w:r w:rsidR="00CD1E33" w:rsidRPr="001E07CA">
        <w:rPr>
          <w:lang w:val="sv-SE"/>
        </w:rPr>
        <w:t xml:space="preserve"> </w:t>
      </w:r>
    </w:p>
    <w:p w:rsidR="007A27B0" w:rsidRPr="001E07CA" w:rsidRDefault="007A27B0" w:rsidP="0061441D">
      <w:pPr>
        <w:rPr>
          <w:lang w:val="sv-SE"/>
        </w:rPr>
      </w:pPr>
    </w:p>
    <w:p w:rsidR="0061441D" w:rsidRPr="001E07CA" w:rsidRDefault="00D346C7" w:rsidP="0061441D">
      <w:pPr>
        <w:rPr>
          <w:lang w:val="sv-SE"/>
        </w:rPr>
      </w:pPr>
      <w:r w:rsidRPr="001E07CA">
        <w:rPr>
          <w:lang w:val="sv-SE"/>
        </w:rPr>
        <w:t>I propositionen föreslås att i fråga om graden av tillräknande ska det i lagens straffbestämmelser förutsättas oaktsamhet utöver uppsåt.</w:t>
      </w:r>
      <w:r w:rsidR="00CD1E33" w:rsidRPr="001E07CA">
        <w:rPr>
          <w:lang w:val="sv-SE"/>
        </w:rPr>
        <w:t xml:space="preserve"> </w:t>
      </w:r>
      <w:r w:rsidRPr="001E07CA">
        <w:rPr>
          <w:lang w:val="sv-SE"/>
        </w:rPr>
        <w:t>Bestämmelserna motsvarar den gällande lagstiftningen.</w:t>
      </w:r>
      <w:r w:rsidR="00CD1E33" w:rsidRPr="001E07CA">
        <w:rPr>
          <w:lang w:val="sv-SE"/>
        </w:rPr>
        <w:t xml:space="preserve"> </w:t>
      </w:r>
      <w:r w:rsidRPr="001E07CA">
        <w:rPr>
          <w:lang w:val="sv-SE"/>
        </w:rPr>
        <w:t>När det gäller gasanordningar kan följderna av ett oaktsamt förfarande vara mycket allvarliga och av denna anledning kan särskild aktsamhet krävas av ekonomiska aktörer</w:t>
      </w:r>
      <w:r w:rsidR="00DC1375" w:rsidRPr="001E07CA">
        <w:rPr>
          <w:lang w:val="sv-SE"/>
        </w:rPr>
        <w:t xml:space="preserve"> vid skötseln av uppgifterna</w:t>
      </w:r>
      <w:r w:rsidRPr="001E07CA">
        <w:rPr>
          <w:lang w:val="sv-SE"/>
        </w:rPr>
        <w:t>.</w:t>
      </w:r>
      <w:r w:rsidR="00CD1E33" w:rsidRPr="001E07CA">
        <w:rPr>
          <w:lang w:val="sv-SE"/>
        </w:rPr>
        <w:t xml:space="preserve"> </w:t>
      </w:r>
      <w:r w:rsidRPr="001E07CA">
        <w:rPr>
          <w:lang w:val="sv-SE"/>
        </w:rPr>
        <w:t>Av denna anledning föreslås det att brott mot bestämmelserna om gasanordnin</w:t>
      </w:r>
      <w:r w:rsidR="00137C6F" w:rsidRPr="001E07CA">
        <w:rPr>
          <w:lang w:val="sv-SE"/>
        </w:rPr>
        <w:t xml:space="preserve">gar ska vara straffbart, </w:t>
      </w:r>
      <w:r w:rsidR="00133F39" w:rsidRPr="001E07CA">
        <w:rPr>
          <w:lang w:val="sv-SE"/>
        </w:rPr>
        <w:t xml:space="preserve">inte bara </w:t>
      </w:r>
      <w:r w:rsidR="00137C6F" w:rsidRPr="001E07CA">
        <w:rPr>
          <w:lang w:val="sv-SE"/>
        </w:rPr>
        <w:t xml:space="preserve">när det sker </w:t>
      </w:r>
      <w:r w:rsidR="00133F39" w:rsidRPr="001E07CA">
        <w:rPr>
          <w:lang w:val="sv-SE"/>
        </w:rPr>
        <w:t xml:space="preserve">genom </w:t>
      </w:r>
      <w:r w:rsidRPr="001E07CA">
        <w:rPr>
          <w:lang w:val="sv-SE"/>
        </w:rPr>
        <w:t xml:space="preserve">uppsåt </w:t>
      </w:r>
      <w:r w:rsidR="00133F39" w:rsidRPr="001E07CA">
        <w:rPr>
          <w:lang w:val="sv-SE"/>
        </w:rPr>
        <w:t>men också</w:t>
      </w:r>
      <w:r w:rsidR="00137C6F" w:rsidRPr="001E07CA">
        <w:rPr>
          <w:lang w:val="sv-SE"/>
        </w:rPr>
        <w:t xml:space="preserve"> </w:t>
      </w:r>
      <w:r w:rsidR="00133F39" w:rsidRPr="001E07CA">
        <w:rPr>
          <w:lang w:val="sv-SE"/>
        </w:rPr>
        <w:t xml:space="preserve">när det sker </w:t>
      </w:r>
      <w:r w:rsidRPr="001E07CA">
        <w:rPr>
          <w:lang w:val="sv-SE"/>
        </w:rPr>
        <w:t>genom vållande (oaktsamhet).</w:t>
      </w:r>
    </w:p>
    <w:p w:rsidR="007A27B0" w:rsidRPr="001E07CA" w:rsidRDefault="007A27B0" w:rsidP="0061441D">
      <w:pPr>
        <w:rPr>
          <w:lang w:val="sv-SE"/>
        </w:rPr>
      </w:pPr>
    </w:p>
    <w:p w:rsidR="00CD1E33" w:rsidRPr="001E07CA" w:rsidRDefault="00803C84" w:rsidP="00CD1E33">
      <w:pPr>
        <w:rPr>
          <w:lang w:val="sv-SE"/>
        </w:rPr>
      </w:pPr>
      <w:r w:rsidRPr="001E07CA">
        <w:rPr>
          <w:lang w:val="sv-SE"/>
        </w:rPr>
        <w:t>De föreslagna bestämmelserna har inverkningar också på det som föreskrivs i strafflagen.</w:t>
      </w:r>
      <w:r w:rsidR="0061441D" w:rsidRPr="001E07CA">
        <w:rPr>
          <w:lang w:val="sv-SE"/>
        </w:rPr>
        <w:t xml:space="preserve"> </w:t>
      </w:r>
      <w:r w:rsidRPr="001E07CA">
        <w:rPr>
          <w:lang w:val="sv-SE"/>
        </w:rPr>
        <w:t xml:space="preserve">Tillämpningsområdet för 44 kap. 12 § i strafflagen inbegriper </w:t>
      </w:r>
      <w:r w:rsidR="00357661" w:rsidRPr="001E07CA">
        <w:rPr>
          <w:lang w:val="sv-SE"/>
        </w:rPr>
        <w:t>i</w:t>
      </w:r>
      <w:r w:rsidRPr="001E07CA">
        <w:rPr>
          <w:lang w:val="sv-SE"/>
        </w:rPr>
        <w:t xml:space="preserve"> 5 kap. i kemikaliesäkerhetslagen</w:t>
      </w:r>
      <w:r w:rsidR="00357661" w:rsidRPr="001E07CA">
        <w:rPr>
          <w:lang w:val="sv-SE"/>
        </w:rPr>
        <w:t xml:space="preserve"> avsedda produkter</w:t>
      </w:r>
      <w:r w:rsidRPr="001E07CA">
        <w:rPr>
          <w:lang w:val="sv-SE"/>
        </w:rPr>
        <w:t xml:space="preserve"> vilka också omfattar gasanordningar.</w:t>
      </w:r>
      <w:r w:rsidR="00701448" w:rsidRPr="001E07CA">
        <w:rPr>
          <w:lang w:val="sv-SE"/>
        </w:rPr>
        <w:t xml:space="preserve"> </w:t>
      </w:r>
      <w:r w:rsidR="00DE5A79" w:rsidRPr="001E07CA">
        <w:rPr>
          <w:lang w:val="sv-SE"/>
        </w:rPr>
        <w:t>Det anses</w:t>
      </w:r>
      <w:r w:rsidR="00F23ABB" w:rsidRPr="001E07CA">
        <w:rPr>
          <w:lang w:val="sv-SE"/>
        </w:rPr>
        <w:t xml:space="preserve"> dock</w:t>
      </w:r>
      <w:r w:rsidR="00DE5A79" w:rsidRPr="001E07CA">
        <w:rPr>
          <w:lang w:val="sv-SE"/>
        </w:rPr>
        <w:t xml:space="preserve"> att det</w:t>
      </w:r>
      <w:r w:rsidR="00F23ABB" w:rsidRPr="001E07CA">
        <w:rPr>
          <w:lang w:val="sv-SE"/>
        </w:rPr>
        <w:t xml:space="preserve"> inte </w:t>
      </w:r>
      <w:r w:rsidR="00DE5A79" w:rsidRPr="001E07CA">
        <w:rPr>
          <w:lang w:val="sv-SE"/>
        </w:rPr>
        <w:t xml:space="preserve">längre </w:t>
      </w:r>
      <w:r w:rsidR="00891B3B" w:rsidRPr="001E07CA">
        <w:rPr>
          <w:lang w:val="sv-SE"/>
        </w:rPr>
        <w:t xml:space="preserve">i fortsättningen </w:t>
      </w:r>
      <w:r w:rsidR="00DE5A79" w:rsidRPr="001E07CA">
        <w:rPr>
          <w:lang w:val="sv-SE"/>
        </w:rPr>
        <w:t xml:space="preserve">finns </w:t>
      </w:r>
      <w:r w:rsidR="00F23ABB" w:rsidRPr="001E07CA">
        <w:rPr>
          <w:lang w:val="sv-SE"/>
        </w:rPr>
        <w:t xml:space="preserve">något behov av att </w:t>
      </w:r>
      <w:r w:rsidR="00DE5A79" w:rsidRPr="001E07CA">
        <w:rPr>
          <w:lang w:val="sv-SE"/>
        </w:rPr>
        <w:t xml:space="preserve">föreskriva </w:t>
      </w:r>
      <w:r w:rsidR="00F23ABB" w:rsidRPr="001E07CA">
        <w:rPr>
          <w:lang w:val="sv-SE"/>
        </w:rPr>
        <w:t xml:space="preserve">om brott mot bestämmelserna om </w:t>
      </w:r>
      <w:r w:rsidR="00F23ABB" w:rsidRPr="001E07CA">
        <w:rPr>
          <w:lang w:val="sv-SE"/>
        </w:rPr>
        <w:lastRenderedPageBreak/>
        <w:t>gasanordningarnas överensstämmelse med kraven uttryckligen</w:t>
      </w:r>
      <w:r w:rsidR="00DE5A79" w:rsidRPr="001E07CA">
        <w:rPr>
          <w:lang w:val="sv-SE"/>
        </w:rPr>
        <w:t xml:space="preserve"> i strafflagen.</w:t>
      </w:r>
      <w:r w:rsidR="0061441D" w:rsidRPr="001E07CA">
        <w:rPr>
          <w:lang w:val="sv-SE"/>
        </w:rPr>
        <w:t xml:space="preserve"> </w:t>
      </w:r>
      <w:r w:rsidR="00DE5A79" w:rsidRPr="001E07CA">
        <w:rPr>
          <w:lang w:val="sv-SE"/>
        </w:rPr>
        <w:t xml:space="preserve">Eftersom kraven på gasanordningar flyttas från kemikaliesäkerhetslagen till den föreslagna nya lagen, ska </w:t>
      </w:r>
      <w:r w:rsidR="007546CA" w:rsidRPr="001E07CA">
        <w:rPr>
          <w:lang w:val="sv-SE"/>
        </w:rPr>
        <w:t xml:space="preserve">gasanordningar inte längre i fortsättningen höra till </w:t>
      </w:r>
      <w:r w:rsidR="00DE5A79" w:rsidRPr="001E07CA">
        <w:rPr>
          <w:lang w:val="sv-SE"/>
        </w:rPr>
        <w:t>tillämpningsområdet för 44 kap. 12 i strafflagen.</w:t>
      </w:r>
      <w:r w:rsidR="002206D4" w:rsidRPr="001E07CA">
        <w:rPr>
          <w:lang w:val="sv-SE"/>
        </w:rPr>
        <w:t xml:space="preserve"> </w:t>
      </w:r>
      <w:r w:rsidR="001F5668" w:rsidRPr="001E07CA">
        <w:rPr>
          <w:lang w:val="sv-SE"/>
        </w:rPr>
        <w:t>Propositionen</w:t>
      </w:r>
      <w:r w:rsidR="007546CA" w:rsidRPr="001E07CA">
        <w:rPr>
          <w:lang w:val="sv-SE"/>
        </w:rPr>
        <w:t xml:space="preserve"> är således inte till denna del heller problematisk mot bakgrund av 8 § i grundlagen.</w:t>
      </w:r>
      <w:r w:rsidR="00CD1E33" w:rsidRPr="001E07CA">
        <w:rPr>
          <w:lang w:val="sv-SE"/>
        </w:rPr>
        <w:t xml:space="preserve"> </w:t>
      </w:r>
    </w:p>
    <w:p w:rsidR="00AB6B21" w:rsidRPr="001E07CA" w:rsidRDefault="00AB6B21" w:rsidP="001717C9">
      <w:pPr>
        <w:rPr>
          <w:lang w:val="sv-SE"/>
        </w:rPr>
      </w:pPr>
    </w:p>
    <w:p w:rsidR="007A27B0" w:rsidRPr="001E07CA" w:rsidRDefault="00DC1375" w:rsidP="001717C9">
      <w:pPr>
        <w:rPr>
          <w:lang w:val="sv-SE"/>
        </w:rPr>
      </w:pPr>
      <w:r w:rsidRPr="001E07CA">
        <w:rPr>
          <w:lang w:val="sv-SE"/>
        </w:rPr>
        <w:t>Bestämmelserna är av</w:t>
      </w:r>
      <w:r w:rsidR="00CB52D7" w:rsidRPr="001E07CA">
        <w:rPr>
          <w:lang w:val="sv-SE"/>
        </w:rPr>
        <w:t xml:space="preserve"> betydelse med tanke på</w:t>
      </w:r>
      <w:r w:rsidR="001F5668" w:rsidRPr="001E07CA">
        <w:rPr>
          <w:lang w:val="sv-SE"/>
        </w:rPr>
        <w:t xml:space="preserve"> näringsfriheten</w:t>
      </w:r>
      <w:r w:rsidR="00CB52D7" w:rsidRPr="001E07CA">
        <w:rPr>
          <w:lang w:val="sv-SE"/>
        </w:rPr>
        <w:t>,</w:t>
      </w:r>
      <w:r w:rsidR="001F5668" w:rsidRPr="001E07CA">
        <w:rPr>
          <w:lang w:val="sv-SE"/>
        </w:rPr>
        <w:t xml:space="preserve"> som är tryggad i 18 § 1 mom. i grundlagen.</w:t>
      </w:r>
      <w:r w:rsidR="001717C9" w:rsidRPr="001E07CA">
        <w:rPr>
          <w:lang w:val="sv-SE"/>
        </w:rPr>
        <w:t xml:space="preserve"> </w:t>
      </w:r>
      <w:r w:rsidR="005B4369" w:rsidRPr="001E07CA">
        <w:rPr>
          <w:lang w:val="sv-SE"/>
        </w:rPr>
        <w:t>Inskränk</w:t>
      </w:r>
      <w:r w:rsidR="007D2436" w:rsidRPr="001E07CA">
        <w:rPr>
          <w:lang w:val="sv-SE"/>
        </w:rPr>
        <w:t xml:space="preserve">ningarna </w:t>
      </w:r>
      <w:r w:rsidR="00060958" w:rsidRPr="001E07CA">
        <w:rPr>
          <w:lang w:val="sv-SE"/>
        </w:rPr>
        <w:t>i</w:t>
      </w:r>
      <w:r w:rsidR="001108E1" w:rsidRPr="001E07CA">
        <w:rPr>
          <w:lang w:val="sv-SE"/>
        </w:rPr>
        <w:t xml:space="preserve"> näringsfriheten ska vara exakta och noggrant avgränsade.</w:t>
      </w:r>
      <w:r w:rsidR="001717C9" w:rsidRPr="001E07CA">
        <w:rPr>
          <w:lang w:val="sv-SE"/>
        </w:rPr>
        <w:t xml:space="preserve"> </w:t>
      </w:r>
      <w:r w:rsidR="001108E1" w:rsidRPr="001E07CA">
        <w:rPr>
          <w:lang w:val="sv-SE"/>
        </w:rPr>
        <w:t>Inskränkningarnas substans, såsom omfattning och förutsättningar, ska framgå av lagen (GrUU 13/2014 rd inkl. hänvisningar).</w:t>
      </w:r>
      <w:r w:rsidR="001717C9" w:rsidRPr="001E07CA">
        <w:rPr>
          <w:lang w:val="sv-SE"/>
        </w:rPr>
        <w:t xml:space="preserve"> </w:t>
      </w:r>
    </w:p>
    <w:p w:rsidR="007A27B0" w:rsidRPr="001E07CA" w:rsidRDefault="007A27B0" w:rsidP="001717C9">
      <w:pPr>
        <w:rPr>
          <w:lang w:val="sv-SE"/>
        </w:rPr>
      </w:pPr>
    </w:p>
    <w:p w:rsidR="001717C9" w:rsidRPr="001E07CA" w:rsidRDefault="001108E1" w:rsidP="001717C9">
      <w:pPr>
        <w:rPr>
          <w:lang w:val="sv-SE"/>
        </w:rPr>
      </w:pPr>
      <w:r w:rsidRPr="001E07CA">
        <w:rPr>
          <w:lang w:val="sv-SE"/>
        </w:rPr>
        <w:t>I förslaget ingår några preciserande skyldigheter för ekonomiska aktörer, vilka baserar sig på EU:s produktreglering</w:t>
      </w:r>
      <w:r w:rsidR="00F72780" w:rsidRPr="001E07CA">
        <w:rPr>
          <w:lang w:val="sv-SE"/>
        </w:rPr>
        <w:t>. I förslaget betonas ytterligare tillverkarens ansvar för produkter och ansvaret hos den som importerar produkter till EU-området. Dessutom preciseras också förpliktelserna för dem som distribuerar produkter och för tillverkarens representanter.</w:t>
      </w:r>
      <w:r w:rsidR="001717C9" w:rsidRPr="001E07CA">
        <w:rPr>
          <w:lang w:val="sv-SE"/>
        </w:rPr>
        <w:t xml:space="preserve"> </w:t>
      </w:r>
      <w:r w:rsidR="00D75DAB" w:rsidRPr="001E07CA">
        <w:rPr>
          <w:lang w:val="sv-SE"/>
        </w:rPr>
        <w:t>Ändringarna hänför sig</w:t>
      </w:r>
      <w:r w:rsidR="0098296D" w:rsidRPr="001E07CA">
        <w:rPr>
          <w:lang w:val="sv-SE"/>
        </w:rPr>
        <w:t xml:space="preserve"> särskilt </w:t>
      </w:r>
      <w:r w:rsidR="00D75DAB" w:rsidRPr="001E07CA">
        <w:rPr>
          <w:lang w:val="sv-SE"/>
        </w:rPr>
        <w:t>till skyldigheten</w:t>
      </w:r>
      <w:r w:rsidR="0098296D" w:rsidRPr="001E07CA">
        <w:rPr>
          <w:lang w:val="sv-SE"/>
        </w:rPr>
        <w:t xml:space="preserve"> att bevara </w:t>
      </w:r>
      <w:r w:rsidR="00967457" w:rsidRPr="001E07CA">
        <w:rPr>
          <w:lang w:val="sv-SE"/>
        </w:rPr>
        <w:t>produktdokumenten</w:t>
      </w:r>
      <w:r w:rsidR="0098296D" w:rsidRPr="001E07CA">
        <w:rPr>
          <w:lang w:val="sv-SE"/>
        </w:rPr>
        <w:t xml:space="preserve"> samt med klarläggandet av </w:t>
      </w:r>
      <w:r w:rsidR="0043101C" w:rsidRPr="001E07CA">
        <w:rPr>
          <w:lang w:val="sv-SE"/>
        </w:rPr>
        <w:t>ansvars</w:t>
      </w:r>
      <w:r w:rsidR="0098296D" w:rsidRPr="001E07CA">
        <w:rPr>
          <w:lang w:val="sv-SE"/>
        </w:rPr>
        <w:t xml:space="preserve">fördelningen </w:t>
      </w:r>
      <w:r w:rsidR="0043101C" w:rsidRPr="001E07CA">
        <w:rPr>
          <w:lang w:val="sv-SE"/>
        </w:rPr>
        <w:t>mellan ekonomiska aktörer.</w:t>
      </w:r>
      <w:r w:rsidR="001717C9" w:rsidRPr="001E07CA">
        <w:rPr>
          <w:lang w:val="sv-SE"/>
        </w:rPr>
        <w:t xml:space="preserve"> </w:t>
      </w:r>
      <w:r w:rsidR="0043101C" w:rsidRPr="001E07CA">
        <w:rPr>
          <w:lang w:val="sv-SE"/>
        </w:rPr>
        <w:t>Innehållsmässigt är propositionen långt lagteknisk och</w:t>
      </w:r>
      <w:r w:rsidR="00785947" w:rsidRPr="001E07CA">
        <w:rPr>
          <w:lang w:val="sv-SE"/>
        </w:rPr>
        <w:t xml:space="preserve"> det som föreslagits</w:t>
      </w:r>
      <w:r w:rsidR="0043101C" w:rsidRPr="001E07CA">
        <w:rPr>
          <w:lang w:val="sv-SE"/>
        </w:rPr>
        <w:t xml:space="preserve"> innebär inte någon betydan</w:t>
      </w:r>
      <w:r w:rsidR="00785947" w:rsidRPr="001E07CA">
        <w:rPr>
          <w:lang w:val="sv-SE"/>
        </w:rPr>
        <w:t>de ändring jämfört med</w:t>
      </w:r>
      <w:r w:rsidR="0043101C" w:rsidRPr="001E07CA">
        <w:rPr>
          <w:lang w:val="sv-SE"/>
        </w:rPr>
        <w:t xml:space="preserve"> nuläget, dvs. </w:t>
      </w:r>
      <w:r w:rsidR="00DB2EB3" w:rsidRPr="001E07CA">
        <w:rPr>
          <w:lang w:val="sv-SE"/>
        </w:rPr>
        <w:t>tillverkarens betonade</w:t>
      </w:r>
      <w:r w:rsidR="0043101C" w:rsidRPr="001E07CA">
        <w:rPr>
          <w:lang w:val="sv-SE"/>
        </w:rPr>
        <w:t xml:space="preserve"> roll i att tillräckligt omsorgsfullt säkerställa att produkterna överensstämmer med kraven innan de släpps ut på marknaden.</w:t>
      </w:r>
      <w:r w:rsidR="001717C9" w:rsidRPr="001E07CA">
        <w:rPr>
          <w:lang w:val="sv-SE"/>
        </w:rPr>
        <w:t xml:space="preserve"> </w:t>
      </w:r>
      <w:r w:rsidR="0043101C" w:rsidRPr="001E07CA">
        <w:rPr>
          <w:lang w:val="sv-SE"/>
        </w:rPr>
        <w:t>Förslaget innehåller inte några betydande ändringar i de tekniska kraven på och säkerhetskraven för produkter.</w:t>
      </w:r>
    </w:p>
    <w:p w:rsidR="001717C9" w:rsidRPr="001E07CA" w:rsidRDefault="001717C9" w:rsidP="001717C9">
      <w:pPr>
        <w:rPr>
          <w:lang w:val="sv-SE"/>
        </w:rPr>
      </w:pPr>
    </w:p>
    <w:p w:rsidR="001717C9" w:rsidRPr="001E07CA" w:rsidRDefault="00730E80" w:rsidP="001717C9">
      <w:pPr>
        <w:rPr>
          <w:lang w:val="sv-SE"/>
        </w:rPr>
      </w:pPr>
      <w:r w:rsidRPr="001E07CA">
        <w:rPr>
          <w:lang w:val="sv-SE"/>
        </w:rPr>
        <w:t>Enligt</w:t>
      </w:r>
      <w:r w:rsidR="0043101C" w:rsidRPr="001E07CA">
        <w:rPr>
          <w:lang w:val="sv-SE"/>
        </w:rPr>
        <w:t xml:space="preserve"> 80 § 1 </w:t>
      </w:r>
      <w:r w:rsidRPr="001E07CA">
        <w:rPr>
          <w:lang w:val="sv-SE"/>
        </w:rPr>
        <w:t>mom. i grundlagen kan</w:t>
      </w:r>
      <w:r w:rsidR="0043101C" w:rsidRPr="001E07CA">
        <w:rPr>
          <w:lang w:val="sv-SE"/>
        </w:rPr>
        <w:t xml:space="preserve"> republikens president, s</w:t>
      </w:r>
      <w:r w:rsidRPr="001E07CA">
        <w:rPr>
          <w:lang w:val="sv-SE"/>
        </w:rPr>
        <w:t xml:space="preserve">tatsrådet och ministerierna </w:t>
      </w:r>
      <w:r w:rsidR="0043101C" w:rsidRPr="001E07CA">
        <w:rPr>
          <w:lang w:val="sv-SE"/>
        </w:rPr>
        <w:t xml:space="preserve">utfärda förordningar med stöd av ett bemyndigande i </w:t>
      </w:r>
      <w:r w:rsidRPr="001E07CA">
        <w:rPr>
          <w:lang w:val="sv-SE"/>
        </w:rPr>
        <w:t>lag.</w:t>
      </w:r>
      <w:r w:rsidR="001717C9" w:rsidRPr="001E07CA">
        <w:rPr>
          <w:lang w:val="sv-SE"/>
        </w:rPr>
        <w:t xml:space="preserve"> </w:t>
      </w:r>
      <w:r w:rsidR="00DA4827" w:rsidRPr="001E07CA">
        <w:rPr>
          <w:lang w:val="sv-SE"/>
        </w:rPr>
        <w:t>Bestämmelser om grunderna för individens rättigheter och skyldigheter samt om frågor som enligt grundlagen i övrigt hör till området för lag ska dock utfärdas genom lag.</w:t>
      </w:r>
      <w:r w:rsidR="001717C9" w:rsidRPr="001E07CA">
        <w:rPr>
          <w:lang w:val="sv-SE"/>
        </w:rPr>
        <w:t xml:space="preserve"> </w:t>
      </w:r>
      <w:r w:rsidR="0043101C" w:rsidRPr="001E07CA">
        <w:rPr>
          <w:lang w:val="sv-SE"/>
        </w:rPr>
        <w:t>Tillämpningsområdet för ett bemyndigande ska vara exakt avgränsat.</w:t>
      </w:r>
      <w:r w:rsidR="001717C9" w:rsidRPr="001E07CA">
        <w:rPr>
          <w:lang w:val="sv-SE"/>
        </w:rPr>
        <w:t xml:space="preserve"> </w:t>
      </w:r>
      <w:r w:rsidR="009A3BFC" w:rsidRPr="001E07CA">
        <w:rPr>
          <w:lang w:val="sv-SE"/>
        </w:rPr>
        <w:t>Av grundlagen följer dessutom att de frågor som ett bemyndigande omfattar ska fastställas noggrant i lag.</w:t>
      </w:r>
      <w:r w:rsidR="001717C9" w:rsidRPr="001E07CA">
        <w:rPr>
          <w:lang w:val="sv-SE"/>
        </w:rPr>
        <w:t xml:space="preserve"> </w:t>
      </w:r>
      <w:r w:rsidR="00136C11" w:rsidRPr="001E07CA">
        <w:rPr>
          <w:lang w:val="sv-SE"/>
        </w:rPr>
        <w:t xml:space="preserve">Enligt grundlagsutskottets praxis ska dessutom de befogenheter som hänför sig till utfärdande </w:t>
      </w:r>
      <w:r w:rsidR="0043101C" w:rsidRPr="001E07CA">
        <w:rPr>
          <w:lang w:val="sv-SE"/>
        </w:rPr>
        <w:t>av förordning och delegering av lagstiftningsbehörighet vara tillräckligt exakta och noggrant avgränsade.</w:t>
      </w:r>
      <w:r w:rsidR="001717C9" w:rsidRPr="001E07CA">
        <w:rPr>
          <w:lang w:val="sv-SE"/>
        </w:rPr>
        <w:t xml:space="preserve"> </w:t>
      </w:r>
      <w:r w:rsidR="0043101C" w:rsidRPr="001E07CA">
        <w:rPr>
          <w:lang w:val="sv-SE"/>
        </w:rPr>
        <w:t xml:space="preserve">Exempelvis i grundlagsutskottets utlåtande GrUU 10/2014 rd betonas kraven </w:t>
      </w:r>
      <w:r w:rsidR="00D84025" w:rsidRPr="001E07CA">
        <w:rPr>
          <w:lang w:val="sv-SE"/>
        </w:rPr>
        <w:t>på</w:t>
      </w:r>
      <w:r w:rsidR="0043101C" w:rsidRPr="001E07CA">
        <w:rPr>
          <w:lang w:val="sv-SE"/>
        </w:rPr>
        <w:t xml:space="preserve"> exakthet och noggrann avgränsning.</w:t>
      </w:r>
      <w:r w:rsidR="001717C9" w:rsidRPr="001E07CA">
        <w:rPr>
          <w:lang w:val="sv-SE"/>
        </w:rPr>
        <w:t xml:space="preserve"> </w:t>
      </w:r>
      <w:r w:rsidR="0043101C" w:rsidRPr="001E07CA">
        <w:rPr>
          <w:lang w:val="sv-SE"/>
        </w:rPr>
        <w:t>I samma utlåtande konstaterar grundlagsutskottet att det är typiskt för miljölagstiftningen att en betydande del av den detaljerade regleringen ingår i författningar på lägre nivå än lag.</w:t>
      </w:r>
      <w:r w:rsidR="001717C9" w:rsidRPr="001E07CA">
        <w:rPr>
          <w:lang w:val="sv-SE"/>
        </w:rPr>
        <w:t xml:space="preserve"> </w:t>
      </w:r>
      <w:r w:rsidR="0043101C" w:rsidRPr="001E07CA">
        <w:rPr>
          <w:lang w:val="sv-SE"/>
        </w:rPr>
        <w:t>Enligt utskottet beror detta i stor utsträckning på att bestämmelserna behöver vara synnerligen detaljerade och av teknisk karaktär.</w:t>
      </w:r>
      <w:r w:rsidR="001717C9" w:rsidRPr="001E07CA">
        <w:rPr>
          <w:lang w:val="sv-SE"/>
        </w:rPr>
        <w:t xml:space="preserve"> </w:t>
      </w:r>
      <w:r w:rsidR="0043101C" w:rsidRPr="001E07CA">
        <w:rPr>
          <w:lang w:val="sv-SE"/>
        </w:rPr>
        <w:t>Grundlagsutskottet påpekar dessutom att det ofta behövs bemyndiganden när Europeiska unionens relativt omfattande och detaljerade lagstiftning ska genomföras.</w:t>
      </w:r>
      <w:r w:rsidR="001717C9" w:rsidRPr="001E07CA">
        <w:rPr>
          <w:lang w:val="sv-SE"/>
        </w:rPr>
        <w:t xml:space="preserve"> </w:t>
      </w:r>
      <w:r w:rsidR="0043101C" w:rsidRPr="001E07CA">
        <w:rPr>
          <w:lang w:val="sv-SE"/>
        </w:rPr>
        <w:t>Alla ovan nämnda argument är tillämpliga också på den föreslagna lagen om gasanordningarnas överensstämmelse med kraven.</w:t>
      </w:r>
    </w:p>
    <w:p w:rsidR="001717C9" w:rsidRPr="001E07CA" w:rsidRDefault="001717C9" w:rsidP="001717C9">
      <w:pPr>
        <w:rPr>
          <w:lang w:val="sv-SE"/>
        </w:rPr>
      </w:pPr>
    </w:p>
    <w:p w:rsidR="001717C9" w:rsidRDefault="0043101C" w:rsidP="001717C9">
      <w:pPr>
        <w:rPr>
          <w:lang w:val="sv-SE"/>
        </w:rPr>
      </w:pPr>
      <w:r w:rsidRPr="001E07CA">
        <w:rPr>
          <w:lang w:val="sv-SE"/>
        </w:rPr>
        <w:t>I lagförslaget ingår bemyndiganden att utfärda bestämmelser på lägre nivå.</w:t>
      </w:r>
      <w:r w:rsidR="001717C9" w:rsidRPr="001E07CA">
        <w:rPr>
          <w:lang w:val="sv-SE"/>
        </w:rPr>
        <w:t xml:space="preserve"> </w:t>
      </w:r>
      <w:r w:rsidR="007708C2" w:rsidRPr="001E07CA">
        <w:rPr>
          <w:lang w:val="sv-SE"/>
        </w:rPr>
        <w:t xml:space="preserve">I den föreslagna lagen har bestämmelserna om bemyndigande placerats i och i sak anknutits till den paragraf där </w:t>
      </w:r>
      <w:r w:rsidR="00965DF3" w:rsidRPr="001E07CA">
        <w:rPr>
          <w:lang w:val="sv-SE"/>
        </w:rPr>
        <w:t xml:space="preserve">saken i fråga regleras </w:t>
      </w:r>
      <w:r w:rsidR="00177F36" w:rsidRPr="001E07CA">
        <w:rPr>
          <w:lang w:val="sv-SE"/>
        </w:rPr>
        <w:t>(4 § och</w:t>
      </w:r>
      <w:r w:rsidR="00965DF3" w:rsidRPr="001E07CA">
        <w:rPr>
          <w:lang w:val="sv-SE"/>
        </w:rPr>
        <w:t xml:space="preserve"> 12</w:t>
      </w:r>
      <w:r w:rsidR="00177F36" w:rsidRPr="001E07CA">
        <w:rPr>
          <w:lang w:val="sv-SE"/>
        </w:rPr>
        <w:t xml:space="preserve">§ </w:t>
      </w:r>
      <w:r w:rsidR="00965DF3" w:rsidRPr="001E07CA">
        <w:rPr>
          <w:lang w:val="sv-SE"/>
        </w:rPr>
        <w:t>i lagförslaget).</w:t>
      </w:r>
      <w:r w:rsidR="001717C9" w:rsidRPr="001E07CA">
        <w:rPr>
          <w:lang w:val="sv-SE"/>
        </w:rPr>
        <w:t xml:space="preserve"> </w:t>
      </w:r>
      <w:r w:rsidR="00AF4D55" w:rsidRPr="001E07CA">
        <w:rPr>
          <w:lang w:val="sv-SE"/>
        </w:rPr>
        <w:t>Bemyndiganden har formulerats så att de är exakta och noggrant avgränsade.</w:t>
      </w:r>
      <w:r w:rsidR="001717C9" w:rsidRPr="001E07CA">
        <w:rPr>
          <w:lang w:val="sv-SE"/>
        </w:rPr>
        <w:t xml:space="preserve"> </w:t>
      </w:r>
      <w:r w:rsidR="00AF4D55" w:rsidRPr="001E07CA">
        <w:rPr>
          <w:lang w:val="sv-SE"/>
        </w:rPr>
        <w:t xml:space="preserve">I </w:t>
      </w:r>
      <w:r w:rsidR="000176D6" w:rsidRPr="001E07CA">
        <w:rPr>
          <w:lang w:val="sv-SE"/>
        </w:rPr>
        <w:t xml:space="preserve">4 § i </w:t>
      </w:r>
      <w:r w:rsidR="00AF4D55" w:rsidRPr="001E07CA">
        <w:rPr>
          <w:lang w:val="sv-SE"/>
        </w:rPr>
        <w:t xml:space="preserve">den föreslagna lagen ingår bemyndigande att utfärda förordning </w:t>
      </w:r>
      <w:r w:rsidR="000176D6" w:rsidRPr="001E07CA">
        <w:rPr>
          <w:lang w:val="sv-SE"/>
        </w:rPr>
        <w:t>o</w:t>
      </w:r>
      <w:r w:rsidR="00A42915" w:rsidRPr="001E07CA">
        <w:rPr>
          <w:lang w:val="sv-SE"/>
        </w:rPr>
        <w:t>m krav på utrustning som ansluts</w:t>
      </w:r>
      <w:r w:rsidR="000176D6" w:rsidRPr="001E07CA">
        <w:rPr>
          <w:lang w:val="sv-SE"/>
        </w:rPr>
        <w:t xml:space="preserve"> till gasanordningar.</w:t>
      </w:r>
      <w:r w:rsidR="00100D50" w:rsidRPr="001E07CA">
        <w:rPr>
          <w:lang w:val="sv-SE"/>
        </w:rPr>
        <w:t xml:space="preserve"> </w:t>
      </w:r>
      <w:r w:rsidR="00F4152F" w:rsidRPr="001E07CA">
        <w:rPr>
          <w:lang w:val="sv-SE"/>
        </w:rPr>
        <w:t xml:space="preserve">I 12 § ingår bemyndigande att utfärda närmare bestämmelser om gasanordningarnas </w:t>
      </w:r>
      <w:r w:rsidR="0031304F">
        <w:rPr>
          <w:lang w:val="sv-SE"/>
        </w:rPr>
        <w:t>drift</w:t>
      </w:r>
      <w:r w:rsidR="00620CB1" w:rsidRPr="001E07CA">
        <w:rPr>
          <w:lang w:val="sv-SE"/>
        </w:rPr>
        <w:t>tryck</w:t>
      </w:r>
      <w:r w:rsidR="002D5E9D" w:rsidRPr="001E07CA">
        <w:rPr>
          <w:lang w:val="sv-SE"/>
        </w:rPr>
        <w:t xml:space="preserve"> </w:t>
      </w:r>
      <w:r w:rsidR="00F4152F" w:rsidRPr="001E07CA">
        <w:rPr>
          <w:lang w:val="sv-SE"/>
        </w:rPr>
        <w:t>och sammansättningen hos de gaser som förbränns i gasanordni</w:t>
      </w:r>
      <w:r w:rsidR="005D1991" w:rsidRPr="001E07CA">
        <w:rPr>
          <w:lang w:val="sv-SE"/>
        </w:rPr>
        <w:t>n</w:t>
      </w:r>
      <w:r w:rsidR="00F4152F" w:rsidRPr="001E07CA">
        <w:rPr>
          <w:lang w:val="sv-SE"/>
        </w:rPr>
        <w:t>gar.</w:t>
      </w:r>
      <w:r w:rsidR="00FE68EE" w:rsidRPr="001E07CA">
        <w:rPr>
          <w:lang w:val="sv-SE"/>
        </w:rPr>
        <w:t xml:space="preserve"> </w:t>
      </w:r>
      <w:r w:rsidR="00F4152F" w:rsidRPr="001E07CA">
        <w:rPr>
          <w:lang w:val="sv-SE"/>
        </w:rPr>
        <w:t>Lagförslaget kan inte anses ingripa i sådana omständigheter som skyddats i grundlagen.</w:t>
      </w:r>
      <w:r w:rsidR="001717C9" w:rsidRPr="001E07CA">
        <w:rPr>
          <w:lang w:val="sv-SE"/>
        </w:rPr>
        <w:t xml:space="preserve"> </w:t>
      </w:r>
      <w:r w:rsidR="00F4152F" w:rsidRPr="001E07CA">
        <w:rPr>
          <w:lang w:val="sv-SE"/>
        </w:rPr>
        <w:t>Enligt regeringens uppfattning kan det lagförslag som ingår i propositionen behandlas i vanlig lagstiftningsordning.</w:t>
      </w:r>
    </w:p>
    <w:p w:rsidR="00C01962" w:rsidRPr="001E07CA" w:rsidRDefault="00C01962" w:rsidP="001717C9">
      <w:pPr>
        <w:rPr>
          <w:lang w:val="sv-SE"/>
        </w:rPr>
      </w:pPr>
    </w:p>
    <w:p w:rsidR="00D957FD" w:rsidRPr="001E07CA" w:rsidRDefault="00D957FD" w:rsidP="00D957FD">
      <w:pPr>
        <w:rPr>
          <w:highlight w:val="cyan"/>
          <w:lang w:val="sv-SE"/>
        </w:rPr>
      </w:pPr>
    </w:p>
    <w:p w:rsidR="00364F10" w:rsidRPr="001E07CA" w:rsidRDefault="000F6BDA" w:rsidP="00364F10">
      <w:pPr>
        <w:rPr>
          <w:lang w:val="sv-SE"/>
        </w:rPr>
      </w:pPr>
      <w:r w:rsidRPr="001E07CA">
        <w:rPr>
          <w:lang w:val="sv-SE"/>
        </w:rPr>
        <w:t xml:space="preserve">Med stöd av vad som anförts ovan föreläggs riksdagen följande lagförslag: </w:t>
      </w:r>
    </w:p>
    <w:p w:rsidR="0061614D" w:rsidRPr="001E07CA" w:rsidRDefault="0061614D">
      <w:pPr>
        <w:spacing w:after="200" w:line="276" w:lineRule="auto"/>
        <w:rPr>
          <w:lang w:val="sv-SE"/>
        </w:rPr>
      </w:pPr>
      <w:r w:rsidRPr="001E07CA">
        <w:rPr>
          <w:lang w:val="sv-SE"/>
        </w:rPr>
        <w:br w:type="page"/>
      </w:r>
    </w:p>
    <w:p w:rsidR="00364F10" w:rsidRPr="001E07CA" w:rsidRDefault="00364F10" w:rsidP="00364F10">
      <w:pPr>
        <w:rPr>
          <w:lang w:val="sv-SE"/>
        </w:rPr>
      </w:pPr>
    </w:p>
    <w:p w:rsidR="00364F10" w:rsidRPr="001E07CA" w:rsidRDefault="00FF3E71" w:rsidP="00364F10">
      <w:pPr>
        <w:rPr>
          <w:i/>
          <w:lang w:val="sv-SE"/>
        </w:rPr>
      </w:pPr>
      <w:r>
        <w:rPr>
          <w:i/>
          <w:lang w:val="sv-SE"/>
        </w:rPr>
        <w:tab/>
      </w:r>
      <w:r>
        <w:rPr>
          <w:i/>
          <w:lang w:val="sv-SE"/>
        </w:rPr>
        <w:tab/>
      </w:r>
      <w:r>
        <w:rPr>
          <w:i/>
          <w:lang w:val="sv-SE"/>
        </w:rPr>
        <w:tab/>
      </w:r>
      <w:r>
        <w:rPr>
          <w:i/>
          <w:lang w:val="sv-SE"/>
        </w:rPr>
        <w:tab/>
      </w:r>
      <w:r>
        <w:rPr>
          <w:i/>
          <w:lang w:val="sv-SE"/>
        </w:rPr>
        <w:tab/>
      </w:r>
      <w:r w:rsidR="00D8465B" w:rsidRPr="001E07CA">
        <w:rPr>
          <w:i/>
          <w:lang w:val="sv-SE"/>
        </w:rPr>
        <w:t>Lagförslag</w:t>
      </w:r>
    </w:p>
    <w:p w:rsidR="00364F10" w:rsidRPr="001E07CA" w:rsidRDefault="00364F10" w:rsidP="00364F10">
      <w:pPr>
        <w:rPr>
          <w:lang w:val="sv-SE"/>
        </w:rPr>
      </w:pPr>
    </w:p>
    <w:p w:rsidR="00364F10" w:rsidRPr="001E07CA" w:rsidRDefault="00364F10" w:rsidP="00364F10">
      <w:pPr>
        <w:rPr>
          <w:lang w:val="sv-SE"/>
        </w:rPr>
      </w:pPr>
    </w:p>
    <w:p w:rsidR="00364F10" w:rsidRPr="001E07CA" w:rsidRDefault="0061614D" w:rsidP="00364F10">
      <w:pPr>
        <w:rPr>
          <w:b/>
          <w:lang w:val="sv-SE"/>
        </w:rPr>
      </w:pPr>
      <w:r w:rsidRPr="001E07CA">
        <w:rPr>
          <w:b/>
          <w:lang w:val="sv-SE"/>
        </w:rPr>
        <w:t>1.</w:t>
      </w:r>
    </w:p>
    <w:p w:rsidR="006A0A79" w:rsidRPr="001E07CA" w:rsidRDefault="006A0A79" w:rsidP="006A0A79">
      <w:pPr>
        <w:rPr>
          <w:lang w:val="sv-SE"/>
        </w:rPr>
      </w:pPr>
    </w:p>
    <w:p w:rsidR="006A0A79" w:rsidRPr="001E07CA" w:rsidRDefault="000F278E" w:rsidP="006A0A79">
      <w:pPr>
        <w:rPr>
          <w:b/>
          <w:lang w:val="sv-SE"/>
        </w:rPr>
      </w:pPr>
      <w:r w:rsidRPr="001E07CA">
        <w:rPr>
          <w:b/>
          <w:lang w:val="sv-SE"/>
        </w:rPr>
        <w:t>Gasanordning</w:t>
      </w:r>
      <w:r w:rsidR="006C45A5" w:rsidRPr="001E07CA">
        <w:rPr>
          <w:b/>
          <w:lang w:val="sv-SE"/>
        </w:rPr>
        <w:t>slag</w:t>
      </w:r>
    </w:p>
    <w:p w:rsidR="006A0A79" w:rsidRPr="001E07CA" w:rsidRDefault="006A0A79" w:rsidP="006A0A79">
      <w:pPr>
        <w:rPr>
          <w:lang w:val="sv-SE"/>
        </w:rPr>
      </w:pPr>
    </w:p>
    <w:p w:rsidR="006A0A79" w:rsidRPr="001E07CA" w:rsidRDefault="000F278E" w:rsidP="006A0A79">
      <w:pPr>
        <w:rPr>
          <w:lang w:val="sv-SE"/>
        </w:rPr>
      </w:pPr>
      <w:r w:rsidRPr="001E07CA">
        <w:rPr>
          <w:lang w:val="sv-SE"/>
        </w:rPr>
        <w:t>I enlighet med riksdagens beslut föreskrivs:</w:t>
      </w:r>
    </w:p>
    <w:p w:rsidR="006A0A79" w:rsidRPr="001E07CA" w:rsidRDefault="006A0A79" w:rsidP="006A0A79">
      <w:pPr>
        <w:rPr>
          <w:lang w:val="sv-SE"/>
        </w:rPr>
      </w:pPr>
    </w:p>
    <w:p w:rsidR="006A0A79" w:rsidRPr="001E07CA" w:rsidRDefault="000F278E" w:rsidP="006A0A79">
      <w:pPr>
        <w:rPr>
          <w:lang w:val="sv-SE"/>
        </w:rPr>
      </w:pPr>
      <w:r w:rsidRPr="001E07CA">
        <w:rPr>
          <w:lang w:val="sv-SE"/>
        </w:rPr>
        <w:t>1 kap. Allmänna bestämmelser</w:t>
      </w:r>
    </w:p>
    <w:p w:rsidR="006A0A79" w:rsidRPr="001E07CA" w:rsidRDefault="006A0A79" w:rsidP="006A0A79">
      <w:pPr>
        <w:rPr>
          <w:lang w:val="sv-SE"/>
        </w:rPr>
      </w:pPr>
    </w:p>
    <w:p w:rsidR="006A0A79" w:rsidRPr="001E07CA" w:rsidRDefault="000F278E" w:rsidP="006A0A79">
      <w:pPr>
        <w:rPr>
          <w:lang w:val="sv-SE"/>
        </w:rPr>
      </w:pPr>
      <w:r w:rsidRPr="001E07CA">
        <w:rPr>
          <w:lang w:val="sv-SE"/>
        </w:rPr>
        <w:t xml:space="preserve">1 § </w:t>
      </w:r>
      <w:r w:rsidRPr="001E07CA">
        <w:rPr>
          <w:i/>
          <w:lang w:val="sv-SE"/>
        </w:rPr>
        <w:t>Tillämpningsområde</w:t>
      </w:r>
    </w:p>
    <w:p w:rsidR="006A0A79" w:rsidRPr="001E07CA" w:rsidRDefault="006A0A79" w:rsidP="006A0A79">
      <w:pPr>
        <w:rPr>
          <w:b/>
          <w:lang w:val="sv-SE"/>
        </w:rPr>
      </w:pPr>
    </w:p>
    <w:p w:rsidR="006A0A79" w:rsidRPr="001E07CA" w:rsidRDefault="000F278E" w:rsidP="006A0A79">
      <w:pPr>
        <w:rPr>
          <w:lang w:val="sv-SE"/>
        </w:rPr>
      </w:pPr>
      <w:r w:rsidRPr="001E07CA">
        <w:rPr>
          <w:lang w:val="sv-SE"/>
        </w:rPr>
        <w:t>Denna lag tillämpas på överensstämmel</w:t>
      </w:r>
      <w:r w:rsidR="001964B0" w:rsidRPr="001E07CA">
        <w:rPr>
          <w:lang w:val="sv-SE"/>
        </w:rPr>
        <w:t>se med kraven för</w:t>
      </w:r>
      <w:r w:rsidRPr="001E07CA">
        <w:rPr>
          <w:lang w:val="sv-SE"/>
        </w:rPr>
        <w:t xml:space="preserve"> gasanordningar som avses i Europaparlamentets och rådets förordning (EU) 2016/426 av den 9 mars 2016 om anordningar för förbränning av gasformiga bränslen och om upphävande av direktiv 2009/142/EG</w:t>
      </w:r>
      <w:r w:rsidR="001964B0" w:rsidRPr="001E07CA">
        <w:rPr>
          <w:lang w:val="sv-SE"/>
        </w:rPr>
        <w:t xml:space="preserve"> samt på tillsynen över dem</w:t>
      </w:r>
      <w:r w:rsidRPr="001E07CA">
        <w:rPr>
          <w:lang w:val="sv-SE"/>
        </w:rPr>
        <w:t>.</w:t>
      </w:r>
    </w:p>
    <w:p w:rsidR="006A0A79" w:rsidRPr="001E07CA" w:rsidRDefault="006A0A79" w:rsidP="006A0A79">
      <w:pPr>
        <w:rPr>
          <w:lang w:val="sv-SE"/>
        </w:rPr>
      </w:pPr>
    </w:p>
    <w:p w:rsidR="00C019C7" w:rsidRPr="001E07CA" w:rsidRDefault="000F278E" w:rsidP="00C019C7">
      <w:pPr>
        <w:rPr>
          <w:lang w:val="sv-SE"/>
        </w:rPr>
      </w:pPr>
      <w:r w:rsidRPr="001E07CA">
        <w:rPr>
          <w:lang w:val="sv-SE"/>
        </w:rPr>
        <w:t>Denna lag tillämpas också på sådan utrustning i anslutning till gasanordningar som är avsedda att användas av konsumenter vars överensstämmelse med kraven inte visas i enlighet med förordningen om anordningar för förbränning av gasformiga bränslen.</w:t>
      </w:r>
    </w:p>
    <w:p w:rsidR="00C019C7" w:rsidRPr="001E07CA" w:rsidRDefault="00C019C7" w:rsidP="006A0A79">
      <w:pPr>
        <w:rPr>
          <w:lang w:val="sv-SE"/>
        </w:rPr>
      </w:pPr>
    </w:p>
    <w:p w:rsidR="006A0A79" w:rsidRPr="001E07CA" w:rsidRDefault="002B3A95" w:rsidP="006A0A79">
      <w:pPr>
        <w:rPr>
          <w:lang w:val="sv-SE"/>
        </w:rPr>
      </w:pPr>
      <w:r w:rsidRPr="001E07CA">
        <w:rPr>
          <w:lang w:val="sv-SE"/>
        </w:rPr>
        <w:t xml:space="preserve">2 § </w:t>
      </w:r>
      <w:r w:rsidRPr="001E07CA">
        <w:rPr>
          <w:i/>
          <w:lang w:val="sv-SE"/>
        </w:rPr>
        <w:t>Definitioner</w:t>
      </w:r>
    </w:p>
    <w:p w:rsidR="009515E9" w:rsidRPr="001E07CA" w:rsidRDefault="009515E9" w:rsidP="006A0A79">
      <w:pPr>
        <w:rPr>
          <w:lang w:val="sv-SE"/>
        </w:rPr>
      </w:pPr>
    </w:p>
    <w:p w:rsidR="006A0A79" w:rsidRPr="001E07CA" w:rsidRDefault="002B3A95" w:rsidP="006A0A79">
      <w:pPr>
        <w:rPr>
          <w:lang w:val="sv-SE"/>
        </w:rPr>
      </w:pPr>
      <w:r w:rsidRPr="001E07CA">
        <w:rPr>
          <w:lang w:val="sv-SE"/>
        </w:rPr>
        <w:t>I denna lag avses med</w:t>
      </w:r>
    </w:p>
    <w:p w:rsidR="006A0A79" w:rsidRPr="001E07CA" w:rsidRDefault="006A0A79" w:rsidP="006A0A79">
      <w:pPr>
        <w:rPr>
          <w:lang w:val="sv-SE"/>
        </w:rPr>
      </w:pPr>
    </w:p>
    <w:p w:rsidR="006A0A79" w:rsidRPr="001E07CA" w:rsidRDefault="005E0F1B" w:rsidP="00031C9C">
      <w:pPr>
        <w:numPr>
          <w:ilvl w:val="0"/>
          <w:numId w:val="1"/>
        </w:numPr>
        <w:rPr>
          <w:lang w:val="sv-SE"/>
        </w:rPr>
      </w:pPr>
      <w:r w:rsidRPr="001E07CA">
        <w:rPr>
          <w:i/>
          <w:lang w:val="sv-SE"/>
        </w:rPr>
        <w:t xml:space="preserve">gasanordningsförordning </w:t>
      </w:r>
      <w:r w:rsidRPr="001E07CA">
        <w:rPr>
          <w:lang w:val="sv-SE"/>
        </w:rPr>
        <w:t>Europaparlamentets och rådets förordning (EU) 2016/426 av den 9 mars 2016 om anordningar för förbränning av gasformiga bränslen och om upphävande av direktiv 2009/142/EG,</w:t>
      </w:r>
    </w:p>
    <w:p w:rsidR="006A0A79" w:rsidRPr="001E07CA" w:rsidRDefault="00031C9C" w:rsidP="000C7893">
      <w:pPr>
        <w:numPr>
          <w:ilvl w:val="0"/>
          <w:numId w:val="1"/>
        </w:numPr>
        <w:rPr>
          <w:lang w:val="sv-SE"/>
        </w:rPr>
      </w:pPr>
      <w:r w:rsidRPr="001E07CA">
        <w:rPr>
          <w:i/>
          <w:lang w:val="sv-SE"/>
        </w:rPr>
        <w:t xml:space="preserve">gasanordning </w:t>
      </w:r>
      <w:r w:rsidRPr="001E07CA">
        <w:rPr>
          <w:lang w:val="sv-SE"/>
        </w:rPr>
        <w:t>i gasanordningsförordningen avsedda</w:t>
      </w:r>
      <w:r w:rsidRPr="001E07CA">
        <w:rPr>
          <w:i/>
          <w:lang w:val="sv-SE"/>
        </w:rPr>
        <w:t xml:space="preserve"> </w:t>
      </w:r>
      <w:r w:rsidRPr="001E07CA">
        <w:rPr>
          <w:lang w:val="sv-SE"/>
        </w:rPr>
        <w:t>anordningar för förbränning av gasformiga bränslen avsedda för matlagning, kylning, luftkonditionering, uppvärmning, varmvattenberedning, belysning eller tvätt, samt även fläktgasbrännare och uppvärmningsanordningar som ska förses med sådan brännare,</w:t>
      </w:r>
    </w:p>
    <w:p w:rsidR="006A0A79" w:rsidRPr="001E07CA" w:rsidRDefault="000C7893" w:rsidP="000C7893">
      <w:pPr>
        <w:numPr>
          <w:ilvl w:val="0"/>
          <w:numId w:val="1"/>
        </w:numPr>
        <w:rPr>
          <w:lang w:val="sv-SE"/>
        </w:rPr>
      </w:pPr>
      <w:r w:rsidRPr="001E07CA">
        <w:rPr>
          <w:i/>
          <w:lang w:val="sv-SE"/>
        </w:rPr>
        <w:t xml:space="preserve">tillbehör </w:t>
      </w:r>
      <w:r w:rsidRPr="001E07CA">
        <w:rPr>
          <w:lang w:val="sv-SE"/>
        </w:rPr>
        <w:t>säkerhetsanordningar, styr- eller reglerdon samt delkomponenter av dessa som konstruerats för att ingå i en anordning eller sättas samman för att utgöra en anordning,</w:t>
      </w:r>
    </w:p>
    <w:p w:rsidR="00C019C7" w:rsidRPr="001E07CA" w:rsidRDefault="000C7893" w:rsidP="00567E1A">
      <w:pPr>
        <w:pStyle w:val="Luettelokappale"/>
        <w:numPr>
          <w:ilvl w:val="0"/>
          <w:numId w:val="1"/>
        </w:numPr>
        <w:rPr>
          <w:lang w:val="sv-SE"/>
        </w:rPr>
      </w:pPr>
      <w:r w:rsidRPr="001E07CA">
        <w:rPr>
          <w:i/>
          <w:lang w:val="sv-SE"/>
        </w:rPr>
        <w:t>utrustning</w:t>
      </w:r>
      <w:r w:rsidR="00005E6F" w:rsidRPr="001E07CA">
        <w:rPr>
          <w:i/>
          <w:lang w:val="sv-SE"/>
        </w:rPr>
        <w:t xml:space="preserve"> </w:t>
      </w:r>
      <w:r w:rsidR="003805AF" w:rsidRPr="001E07CA">
        <w:rPr>
          <w:lang w:val="sv-SE"/>
        </w:rPr>
        <w:t>tilläggsutrustning</w:t>
      </w:r>
      <w:r w:rsidR="0075005F" w:rsidRPr="001E07CA">
        <w:rPr>
          <w:lang w:val="sv-SE"/>
        </w:rPr>
        <w:t xml:space="preserve"> som</w:t>
      </w:r>
      <w:r w:rsidR="00567E1A" w:rsidRPr="001E07CA">
        <w:rPr>
          <w:lang w:val="sv-SE"/>
        </w:rPr>
        <w:t xml:space="preserve"> ansluts till en gasanordning som är avsedd att använ</w:t>
      </w:r>
      <w:r w:rsidR="0090629F" w:rsidRPr="001E07CA">
        <w:rPr>
          <w:lang w:val="sv-SE"/>
        </w:rPr>
        <w:t>das av konsumenter för att den</w:t>
      </w:r>
      <w:r w:rsidR="00567E1A" w:rsidRPr="001E07CA">
        <w:rPr>
          <w:lang w:val="sv-SE"/>
        </w:rPr>
        <w:t xml:space="preserve"> ska kunna användas </w:t>
      </w:r>
      <w:r w:rsidR="00D2507F" w:rsidRPr="001E07CA">
        <w:rPr>
          <w:lang w:val="sv-SE"/>
        </w:rPr>
        <w:t>och som</w:t>
      </w:r>
      <w:r w:rsidR="00567E1A" w:rsidRPr="001E07CA">
        <w:rPr>
          <w:lang w:val="sv-SE"/>
        </w:rPr>
        <w:t xml:space="preserve"> saluhålls separat, exempelvis utrustning för ledning av gasen från en gasflaska till gasanordning</w:t>
      </w:r>
      <w:r w:rsidR="005A216E" w:rsidRPr="001E07CA">
        <w:rPr>
          <w:lang w:val="sv-SE"/>
        </w:rPr>
        <w:t>en</w:t>
      </w:r>
      <w:r w:rsidR="00567E1A" w:rsidRPr="001E07CA">
        <w:rPr>
          <w:lang w:val="sv-SE"/>
        </w:rPr>
        <w:t>,</w:t>
      </w:r>
    </w:p>
    <w:p w:rsidR="006A0A79" w:rsidRPr="001E07CA" w:rsidRDefault="000C7893" w:rsidP="000C7893">
      <w:pPr>
        <w:numPr>
          <w:ilvl w:val="0"/>
          <w:numId w:val="1"/>
        </w:numPr>
        <w:rPr>
          <w:lang w:val="sv-SE"/>
        </w:rPr>
      </w:pPr>
      <w:r w:rsidRPr="001E07CA">
        <w:rPr>
          <w:i/>
          <w:lang w:val="sv-SE"/>
        </w:rPr>
        <w:t xml:space="preserve">anmält organ </w:t>
      </w:r>
      <w:r w:rsidRPr="001E07CA">
        <w:rPr>
          <w:lang w:val="sv-SE"/>
        </w:rPr>
        <w:t>ett i Finland etablerat organ som en myndighet i Finland utnämnt och anmält till Europeiska unionens kommission och vars uppgift är att tillhandahålla tjänster för bedömning av produkters överensstämmelse med kraven vid tillämpningen av sådan nationell lagstiftning som baserar sig på unionens harmoniseringslagstiftning.</w:t>
      </w:r>
    </w:p>
    <w:p w:rsidR="006A0A79" w:rsidRPr="001E07CA" w:rsidRDefault="006A0A79" w:rsidP="006A0A79">
      <w:pPr>
        <w:rPr>
          <w:lang w:val="sv-SE"/>
        </w:rPr>
      </w:pPr>
    </w:p>
    <w:p w:rsidR="006A0A79" w:rsidRPr="001E07CA" w:rsidRDefault="00ED3783" w:rsidP="006A0A79">
      <w:pPr>
        <w:rPr>
          <w:lang w:val="sv-SE"/>
        </w:rPr>
      </w:pPr>
      <w:r w:rsidRPr="001E07CA">
        <w:rPr>
          <w:lang w:val="sv-SE"/>
        </w:rPr>
        <w:t xml:space="preserve">3 § </w:t>
      </w:r>
      <w:r w:rsidRPr="001E07CA">
        <w:rPr>
          <w:i/>
          <w:lang w:val="sv-SE"/>
        </w:rPr>
        <w:t>Förhållande till annan lagstiftning</w:t>
      </w:r>
    </w:p>
    <w:p w:rsidR="006A0A79" w:rsidRPr="001E07CA" w:rsidRDefault="006A0A79" w:rsidP="006A0A79">
      <w:pPr>
        <w:rPr>
          <w:b/>
          <w:lang w:val="sv-SE"/>
        </w:rPr>
      </w:pPr>
    </w:p>
    <w:p w:rsidR="006A0A79" w:rsidRPr="001E07CA" w:rsidRDefault="005205D0" w:rsidP="006A0A79">
      <w:pPr>
        <w:rPr>
          <w:lang w:val="sv-SE"/>
        </w:rPr>
      </w:pPr>
      <w:r w:rsidRPr="001E07CA">
        <w:rPr>
          <w:lang w:val="sv-SE"/>
        </w:rPr>
        <w:t xml:space="preserve">Bestämmelser om de minimikrav som ställs på ackreditering av organ för bedömning av överensstämmelse, marknadskontroll och yttre gränskontroll av produkter som importeras från tredje länder samt på CE-märkningen av produkter finns i Europaparlamentets och rådets </w:t>
      </w:r>
      <w:r w:rsidRPr="001E07CA">
        <w:rPr>
          <w:lang w:val="sv-SE"/>
        </w:rPr>
        <w:lastRenderedPageBreak/>
        <w:t xml:space="preserve">förordning (EG) nr 765/2008 om krav för ackreditering och marknadskontroll i samband med saluföring av produkter och upphävande av förordning (EEG) nr 339/93, nedan </w:t>
      </w:r>
      <w:r w:rsidRPr="001E07CA">
        <w:rPr>
          <w:i/>
          <w:lang w:val="sv-SE"/>
        </w:rPr>
        <w:t>NLF-förordningen</w:t>
      </w:r>
      <w:r w:rsidRPr="001E07CA">
        <w:rPr>
          <w:lang w:val="sv-SE"/>
        </w:rPr>
        <w:t>.</w:t>
      </w:r>
    </w:p>
    <w:p w:rsidR="00292D89" w:rsidRPr="001E07CA" w:rsidRDefault="00292D89" w:rsidP="006A0A79">
      <w:pPr>
        <w:rPr>
          <w:lang w:val="sv-SE"/>
        </w:rPr>
      </w:pPr>
    </w:p>
    <w:p w:rsidR="00292D89" w:rsidRPr="001E07CA" w:rsidRDefault="005205D0" w:rsidP="006A0A79">
      <w:pPr>
        <w:rPr>
          <w:lang w:val="sv-SE"/>
        </w:rPr>
      </w:pPr>
      <w:r w:rsidRPr="001E07CA">
        <w:rPr>
          <w:lang w:val="sv-SE"/>
        </w:rPr>
        <w:t>Bestämmelser om marknadskontroll, yttre gränskontroll enligt artiklarna 27–29 i NLF-förordningen, tillsynsmyndigheterna och om sökande av ändring i tillsynsmyndigheternas beslut finns i lagen om marknadskontrollen av vissa produkter (1137/2016).</w:t>
      </w:r>
    </w:p>
    <w:p w:rsidR="00292D89" w:rsidRPr="001E07CA" w:rsidRDefault="00292D89" w:rsidP="006A0A79">
      <w:pPr>
        <w:rPr>
          <w:lang w:val="sv-SE"/>
        </w:rPr>
      </w:pPr>
    </w:p>
    <w:p w:rsidR="00292D89" w:rsidRPr="001E07CA" w:rsidRDefault="00056F6B" w:rsidP="006A0A79">
      <w:pPr>
        <w:rPr>
          <w:lang w:val="sv-SE"/>
        </w:rPr>
      </w:pPr>
      <w:r w:rsidRPr="001E07CA">
        <w:rPr>
          <w:lang w:val="sv-SE"/>
        </w:rPr>
        <w:t xml:space="preserve">Bestämmelser om de krav som ställs på anmälda organ, om tillsynen över anmälda organ och om sökande av ändring i anmälda organs beslut finns i lagen om anmälda organ för vissa produktgrupper (278/2016). </w:t>
      </w:r>
    </w:p>
    <w:p w:rsidR="00292D89" w:rsidRPr="001E07CA" w:rsidRDefault="00292D89" w:rsidP="006A0A79">
      <w:pPr>
        <w:rPr>
          <w:lang w:val="sv-SE"/>
        </w:rPr>
      </w:pPr>
    </w:p>
    <w:p w:rsidR="006A0A79" w:rsidRPr="001E07CA" w:rsidRDefault="00CE4A52" w:rsidP="006A0A79">
      <w:pPr>
        <w:rPr>
          <w:lang w:val="sv-SE"/>
        </w:rPr>
      </w:pPr>
      <w:r w:rsidRPr="001E07CA">
        <w:rPr>
          <w:lang w:val="sv-SE"/>
        </w:rPr>
        <w:t xml:space="preserve">Bestämmelser om användningen, installationen och underhållet av samt om godkännandet av installationsrörelser finns i lagen om säkerhet vid hantering av farliga kemikalier och explosiva varor (390/2005) och </w:t>
      </w:r>
      <w:r w:rsidR="00E33B89" w:rsidRPr="001E07CA">
        <w:rPr>
          <w:lang w:val="sv-SE"/>
        </w:rPr>
        <w:t xml:space="preserve">i </w:t>
      </w:r>
      <w:r w:rsidRPr="001E07CA">
        <w:rPr>
          <w:lang w:val="sv-SE"/>
        </w:rPr>
        <w:t>författningar som utfärdats med stöd av den.</w:t>
      </w:r>
      <w:r w:rsidR="008A0B1E" w:rsidRPr="001E07CA">
        <w:rPr>
          <w:lang w:val="sv-SE"/>
        </w:rPr>
        <w:t xml:space="preserve"> </w:t>
      </w:r>
      <w:r w:rsidR="008E1D79" w:rsidRPr="001E07CA">
        <w:rPr>
          <w:lang w:val="sv-SE"/>
        </w:rPr>
        <w:t xml:space="preserve">Bestämmelser om kraven på </w:t>
      </w:r>
      <w:r w:rsidR="00287314" w:rsidRPr="001E07CA">
        <w:rPr>
          <w:lang w:val="sv-SE"/>
        </w:rPr>
        <w:t xml:space="preserve">sådana </w:t>
      </w:r>
      <w:r w:rsidR="008E1D79" w:rsidRPr="001E07CA">
        <w:rPr>
          <w:lang w:val="sv-SE"/>
        </w:rPr>
        <w:t>gasanordningar som konstruerats särskilt för användning inom industriella processer vid industrianläggningar finns i lag 390/2005 och i lagen om tryckbärande anordningar (1144/2016).</w:t>
      </w:r>
    </w:p>
    <w:p w:rsidR="006A0A79" w:rsidRPr="001E07CA" w:rsidRDefault="006A0A79" w:rsidP="006A0A79">
      <w:pPr>
        <w:rPr>
          <w:lang w:val="sv-SE"/>
        </w:rPr>
      </w:pPr>
    </w:p>
    <w:p w:rsidR="006A0A79" w:rsidRPr="001E07CA" w:rsidRDefault="00DD1155" w:rsidP="006A0A79">
      <w:pPr>
        <w:rPr>
          <w:lang w:val="sv-SE"/>
        </w:rPr>
      </w:pPr>
      <w:r w:rsidRPr="001E07CA">
        <w:rPr>
          <w:lang w:val="sv-SE"/>
        </w:rPr>
        <w:t>2 kap. Gasanordningars överensstämmelse med kraven</w:t>
      </w:r>
    </w:p>
    <w:p w:rsidR="006A0A79" w:rsidRPr="001E07CA" w:rsidRDefault="006A0A79" w:rsidP="006A0A79">
      <w:pPr>
        <w:rPr>
          <w:b/>
          <w:lang w:val="sv-SE"/>
        </w:rPr>
      </w:pPr>
    </w:p>
    <w:p w:rsidR="006A0A79" w:rsidRPr="001E07CA" w:rsidRDefault="00DD1155" w:rsidP="006A0A79">
      <w:pPr>
        <w:rPr>
          <w:lang w:val="sv-SE"/>
        </w:rPr>
      </w:pPr>
      <w:r w:rsidRPr="001E07CA">
        <w:rPr>
          <w:lang w:val="sv-SE"/>
        </w:rPr>
        <w:t xml:space="preserve">4 §. </w:t>
      </w:r>
      <w:r w:rsidRPr="001E07CA">
        <w:rPr>
          <w:i/>
          <w:lang w:val="sv-SE"/>
        </w:rPr>
        <w:t>Krav på gasanordningar</w:t>
      </w:r>
    </w:p>
    <w:p w:rsidR="006A0A79" w:rsidRPr="001E07CA" w:rsidRDefault="006A0A79" w:rsidP="006A0A79">
      <w:pPr>
        <w:rPr>
          <w:b/>
          <w:lang w:val="sv-SE"/>
        </w:rPr>
      </w:pPr>
    </w:p>
    <w:p w:rsidR="00C019C7" w:rsidRPr="001E07CA" w:rsidRDefault="00F946CD" w:rsidP="00C019C7">
      <w:pPr>
        <w:rPr>
          <w:lang w:val="sv-SE"/>
        </w:rPr>
      </w:pPr>
      <w:r w:rsidRPr="001E07CA">
        <w:rPr>
          <w:lang w:val="sv-SE"/>
        </w:rPr>
        <w:t>På de krav som ställs på gasanordningar och deras tillbehör tillämpas bestämmelserna i kapitel III i gasanordningsförordningen.</w:t>
      </w:r>
    </w:p>
    <w:p w:rsidR="00C019C7" w:rsidRPr="001E07CA" w:rsidRDefault="00C019C7" w:rsidP="00C019C7">
      <w:pPr>
        <w:rPr>
          <w:lang w:val="sv-SE"/>
        </w:rPr>
      </w:pPr>
    </w:p>
    <w:p w:rsidR="00C019C7" w:rsidRPr="001E07CA" w:rsidRDefault="00F64E9C" w:rsidP="00C019C7">
      <w:pPr>
        <w:rPr>
          <w:lang w:val="sv-SE"/>
        </w:rPr>
      </w:pPr>
      <w:r>
        <w:rPr>
          <w:lang w:val="sv-SE"/>
        </w:rPr>
        <w:t>Den utrustning som ansluts</w:t>
      </w:r>
      <w:r w:rsidR="00F946CD" w:rsidRPr="001E07CA">
        <w:rPr>
          <w:lang w:val="sv-SE"/>
        </w:rPr>
        <w:t xml:space="preserve"> till sådana gasanordningar som är avsedda att användas av konsumenter ska på basis av tester ha konstaterats </w:t>
      </w:r>
      <w:r w:rsidR="009650C0" w:rsidRPr="001E07CA">
        <w:rPr>
          <w:lang w:val="sv-SE"/>
        </w:rPr>
        <w:t xml:space="preserve">fungera på ett säkert sätt </w:t>
      </w:r>
      <w:r w:rsidR="00F946CD" w:rsidRPr="001E07CA">
        <w:rPr>
          <w:lang w:val="sv-SE"/>
        </w:rPr>
        <w:t xml:space="preserve">och </w:t>
      </w:r>
      <w:r w:rsidR="009650C0" w:rsidRPr="001E07CA">
        <w:rPr>
          <w:lang w:val="sv-SE"/>
        </w:rPr>
        <w:t xml:space="preserve">vara </w:t>
      </w:r>
      <w:r w:rsidR="00D1541E" w:rsidRPr="001E07CA">
        <w:rPr>
          <w:lang w:val="sv-SE"/>
        </w:rPr>
        <w:t>lämpa</w:t>
      </w:r>
      <w:r w:rsidR="009650C0" w:rsidRPr="001E07CA">
        <w:rPr>
          <w:lang w:val="sv-SE"/>
        </w:rPr>
        <w:t xml:space="preserve">d </w:t>
      </w:r>
      <w:r w:rsidR="00D1541E" w:rsidRPr="001E07CA">
        <w:rPr>
          <w:lang w:val="sv-SE"/>
        </w:rPr>
        <w:t>för användning i de kalla förhållandena i Finland och materialet i den ska tåla inverkan från de gaser som förbränns i anordningen.</w:t>
      </w:r>
      <w:r w:rsidR="00C019C7" w:rsidRPr="001E07CA">
        <w:rPr>
          <w:lang w:val="sv-SE"/>
        </w:rPr>
        <w:t xml:space="preserve"> </w:t>
      </w:r>
      <w:r w:rsidR="00C77E23" w:rsidRPr="001E07CA">
        <w:rPr>
          <w:lang w:val="sv-SE"/>
        </w:rPr>
        <w:t>N</w:t>
      </w:r>
      <w:r w:rsidR="00D1541E" w:rsidRPr="001E07CA">
        <w:rPr>
          <w:lang w:val="sv-SE"/>
        </w:rPr>
        <w:t>ärmare bestämmelser om</w:t>
      </w:r>
      <w:r w:rsidR="00C77E23" w:rsidRPr="001E07CA">
        <w:rPr>
          <w:lang w:val="sv-SE"/>
        </w:rPr>
        <w:t xml:space="preserve"> kraven på utrustning utfärdas genom förordning av statsrådet.</w:t>
      </w:r>
    </w:p>
    <w:p w:rsidR="006A0A79" w:rsidRPr="001E07CA" w:rsidRDefault="006A0A79" w:rsidP="006A0A79">
      <w:pPr>
        <w:rPr>
          <w:lang w:val="sv-SE"/>
        </w:rPr>
      </w:pPr>
    </w:p>
    <w:p w:rsidR="006A0A79" w:rsidRPr="001E07CA" w:rsidRDefault="007D2ED0" w:rsidP="006A0A79">
      <w:pPr>
        <w:rPr>
          <w:lang w:val="sv-SE"/>
        </w:rPr>
      </w:pPr>
      <w:r w:rsidRPr="001E07CA">
        <w:rPr>
          <w:lang w:val="sv-SE"/>
        </w:rPr>
        <w:t xml:space="preserve">5 §. </w:t>
      </w:r>
      <w:r w:rsidRPr="001E07CA">
        <w:rPr>
          <w:i/>
          <w:lang w:val="sv-SE"/>
        </w:rPr>
        <w:t>Språkkr</w:t>
      </w:r>
      <w:r w:rsidR="007C7B26" w:rsidRPr="001E07CA">
        <w:rPr>
          <w:i/>
          <w:lang w:val="sv-SE"/>
        </w:rPr>
        <w:t>av</w:t>
      </w:r>
      <w:r w:rsidRPr="001E07CA">
        <w:rPr>
          <w:i/>
          <w:lang w:val="sv-SE"/>
        </w:rPr>
        <w:t xml:space="preserve"> i fråga om</w:t>
      </w:r>
      <w:r w:rsidR="00C77E23" w:rsidRPr="001E07CA">
        <w:rPr>
          <w:i/>
          <w:lang w:val="sv-SE"/>
        </w:rPr>
        <w:t xml:space="preserve"> märkningar</w:t>
      </w:r>
      <w:r w:rsidR="007C7B26" w:rsidRPr="001E07CA">
        <w:rPr>
          <w:i/>
          <w:lang w:val="sv-SE"/>
        </w:rPr>
        <w:t>na på</w:t>
      </w:r>
      <w:r w:rsidR="00C77E23" w:rsidRPr="001E07CA">
        <w:rPr>
          <w:i/>
          <w:lang w:val="sv-SE"/>
        </w:rPr>
        <w:t xml:space="preserve"> och anvisningar</w:t>
      </w:r>
      <w:r w:rsidR="007C7B26" w:rsidRPr="001E07CA">
        <w:rPr>
          <w:i/>
          <w:lang w:val="sv-SE"/>
        </w:rPr>
        <w:t>na</w:t>
      </w:r>
      <w:r w:rsidR="00C77E23" w:rsidRPr="001E07CA">
        <w:rPr>
          <w:i/>
          <w:lang w:val="sv-SE"/>
        </w:rPr>
        <w:t xml:space="preserve"> för gasanordningar</w:t>
      </w:r>
    </w:p>
    <w:p w:rsidR="006A0A79" w:rsidRPr="001E07CA" w:rsidRDefault="006A0A79" w:rsidP="006A0A79">
      <w:pPr>
        <w:rPr>
          <w:b/>
          <w:lang w:val="sv-SE"/>
        </w:rPr>
      </w:pPr>
    </w:p>
    <w:p w:rsidR="006A0A79" w:rsidRPr="001E07CA" w:rsidRDefault="000A7E78" w:rsidP="006A0A79">
      <w:pPr>
        <w:rPr>
          <w:lang w:val="sv-SE"/>
        </w:rPr>
      </w:pPr>
      <w:r w:rsidRPr="001E07CA">
        <w:rPr>
          <w:lang w:val="sv-SE"/>
        </w:rPr>
        <w:t>De märkningar på, säkerhetsuppgifter om och anvisningar för gasanordningar som avses i artiklarna 7, 9, 10 och 15 i gasanordningsförordningen samt i bilagorna I, III och V till gasanordnignsförordningen samt de handlingar som åtföljer en gasanordning ska finnas på finska och svenska.</w:t>
      </w:r>
    </w:p>
    <w:p w:rsidR="006A0A79" w:rsidRPr="001E07CA" w:rsidRDefault="006A0A79" w:rsidP="006A0A79">
      <w:pPr>
        <w:rPr>
          <w:lang w:val="sv-SE"/>
        </w:rPr>
      </w:pPr>
    </w:p>
    <w:p w:rsidR="006A0A79" w:rsidRPr="001E07CA" w:rsidRDefault="00AF1493" w:rsidP="006A0A79">
      <w:pPr>
        <w:rPr>
          <w:lang w:val="sv-SE"/>
        </w:rPr>
      </w:pPr>
      <w:r w:rsidRPr="001E07CA">
        <w:rPr>
          <w:lang w:val="sv-SE"/>
        </w:rPr>
        <w:t xml:space="preserve">3 kap. </w:t>
      </w:r>
      <w:r w:rsidR="000A7E78" w:rsidRPr="001E07CA">
        <w:rPr>
          <w:lang w:val="sv-SE"/>
        </w:rPr>
        <w:t>Anmälda organ</w:t>
      </w:r>
    </w:p>
    <w:p w:rsidR="006A0A79" w:rsidRPr="001E07CA" w:rsidRDefault="006A0A79" w:rsidP="006A0A79">
      <w:pPr>
        <w:rPr>
          <w:b/>
          <w:lang w:val="sv-SE"/>
        </w:rPr>
      </w:pPr>
    </w:p>
    <w:p w:rsidR="006A0A79" w:rsidRPr="001E07CA" w:rsidRDefault="00AF1493" w:rsidP="006A0A79">
      <w:pPr>
        <w:rPr>
          <w:lang w:val="sv-SE"/>
        </w:rPr>
      </w:pPr>
      <w:r w:rsidRPr="001E07CA">
        <w:rPr>
          <w:lang w:val="sv-SE"/>
        </w:rPr>
        <w:t xml:space="preserve">6 § </w:t>
      </w:r>
      <w:r w:rsidRPr="001E07CA">
        <w:rPr>
          <w:i/>
          <w:lang w:val="sv-SE"/>
        </w:rPr>
        <w:t>Anmälan</w:t>
      </w:r>
    </w:p>
    <w:p w:rsidR="006A0A79" w:rsidRPr="001E07CA" w:rsidRDefault="006A0A79" w:rsidP="006A0A79">
      <w:pPr>
        <w:rPr>
          <w:b/>
          <w:lang w:val="sv-SE"/>
        </w:rPr>
      </w:pPr>
    </w:p>
    <w:p w:rsidR="006A0A79" w:rsidRPr="001E07CA" w:rsidRDefault="00933DDA" w:rsidP="006A0A79">
      <w:pPr>
        <w:rPr>
          <w:lang w:val="sv-SE"/>
        </w:rPr>
      </w:pPr>
      <w:r w:rsidRPr="001E07CA">
        <w:rPr>
          <w:lang w:val="sv-SE"/>
        </w:rPr>
        <w:t>De o</w:t>
      </w:r>
      <w:r w:rsidR="00AF1493" w:rsidRPr="001E07CA">
        <w:rPr>
          <w:lang w:val="sv-SE"/>
        </w:rPr>
        <w:t xml:space="preserve">rgan för bedömning av överensstämmelse som ansöker om </w:t>
      </w:r>
      <w:r w:rsidRPr="001E07CA">
        <w:rPr>
          <w:lang w:val="sv-SE"/>
        </w:rPr>
        <w:t>tillstånd att i egenskap av tre</w:t>
      </w:r>
      <w:r w:rsidR="00225B50" w:rsidRPr="001E07CA">
        <w:rPr>
          <w:lang w:val="sv-SE"/>
        </w:rPr>
        <w:t>dje</w:t>
      </w:r>
      <w:r w:rsidR="00AF1493" w:rsidRPr="001E07CA">
        <w:rPr>
          <w:lang w:val="sv-SE"/>
        </w:rPr>
        <w:t>part</w:t>
      </w:r>
      <w:r w:rsidRPr="001E07CA">
        <w:rPr>
          <w:lang w:val="sv-SE"/>
        </w:rPr>
        <w:t>sorgan</w:t>
      </w:r>
      <w:r w:rsidR="00AF1493" w:rsidRPr="001E07CA">
        <w:rPr>
          <w:lang w:val="sv-SE"/>
        </w:rPr>
        <w:t xml:space="preserve"> utföra uppgifter för bedömning av överensstämmelse i enlighet med gasanordningsförordningen</w:t>
      </w:r>
      <w:r w:rsidR="00904CDE" w:rsidRPr="001E07CA">
        <w:rPr>
          <w:lang w:val="sv-SE"/>
        </w:rPr>
        <w:t xml:space="preserve"> bedöms enligt artiklarna 23.2 −</w:t>
      </w:r>
      <w:r w:rsidR="00AF1493" w:rsidRPr="001E07CA">
        <w:rPr>
          <w:lang w:val="sv-SE"/>
        </w:rPr>
        <w:t xml:space="preserve"> 23.11 i gasanordningsförordningen.</w:t>
      </w:r>
      <w:r w:rsidR="005C33D6" w:rsidRPr="001E07CA">
        <w:rPr>
          <w:lang w:val="sv-SE"/>
        </w:rPr>
        <w:t xml:space="preserve"> </w:t>
      </w:r>
      <w:r w:rsidR="00AF1493" w:rsidRPr="001E07CA">
        <w:rPr>
          <w:lang w:val="sv-SE"/>
        </w:rPr>
        <w:t>Ett organ för bedömning av överensstämmelse</w:t>
      </w:r>
      <w:r w:rsidR="00E41ABA" w:rsidRPr="001E07CA">
        <w:rPr>
          <w:lang w:val="sv-SE"/>
        </w:rPr>
        <w:t xml:space="preserve"> som uppfyller kraven</w:t>
      </w:r>
      <w:r w:rsidR="00AF1493" w:rsidRPr="001E07CA">
        <w:rPr>
          <w:lang w:val="sv-SE"/>
        </w:rPr>
        <w:t xml:space="preserve"> godkänns och anmäls till Europeiska kommissionen och till övriga medlemsstater i enlighet med lagen om anmälda organ för vissa produktgrupper (278/2016).</w:t>
      </w:r>
      <w:r w:rsidR="006A0A79" w:rsidRPr="001E07CA">
        <w:rPr>
          <w:lang w:val="sv-SE"/>
        </w:rPr>
        <w:t xml:space="preserve"> </w:t>
      </w:r>
    </w:p>
    <w:p w:rsidR="006A0A79" w:rsidRPr="001E07CA" w:rsidRDefault="006A0A79" w:rsidP="006A0A79">
      <w:pPr>
        <w:rPr>
          <w:lang w:val="sv-SE"/>
        </w:rPr>
      </w:pPr>
    </w:p>
    <w:p w:rsidR="006A0A79" w:rsidRPr="001E07CA" w:rsidRDefault="00AF1493" w:rsidP="006A0A79">
      <w:pPr>
        <w:rPr>
          <w:lang w:val="sv-SE"/>
        </w:rPr>
      </w:pPr>
      <w:r w:rsidRPr="001E07CA">
        <w:rPr>
          <w:lang w:val="sv-SE"/>
        </w:rPr>
        <w:t xml:space="preserve">7 § </w:t>
      </w:r>
      <w:r w:rsidRPr="001E07CA">
        <w:rPr>
          <w:i/>
          <w:lang w:val="sv-SE"/>
        </w:rPr>
        <w:t>Intyg om överensstämmelse</w:t>
      </w:r>
    </w:p>
    <w:p w:rsidR="006A0A79" w:rsidRPr="001E07CA" w:rsidRDefault="006A0A79" w:rsidP="006A0A79">
      <w:pPr>
        <w:rPr>
          <w:b/>
          <w:lang w:val="sv-SE"/>
        </w:rPr>
      </w:pPr>
    </w:p>
    <w:p w:rsidR="006A0A79" w:rsidRPr="001E07CA" w:rsidRDefault="00AF1493" w:rsidP="006A0A79">
      <w:pPr>
        <w:rPr>
          <w:lang w:val="sv-SE"/>
        </w:rPr>
      </w:pPr>
      <w:r w:rsidRPr="001E07CA">
        <w:rPr>
          <w:lang w:val="sv-SE"/>
        </w:rPr>
        <w:lastRenderedPageBreak/>
        <w:t xml:space="preserve">Det anmälda organet ska utfärda ett EU-typintyg till tillverkaren, om </w:t>
      </w:r>
      <w:r w:rsidR="00DD1A50" w:rsidRPr="001E07CA">
        <w:rPr>
          <w:lang w:val="sv-SE"/>
        </w:rPr>
        <w:t xml:space="preserve">gasanordningen </w:t>
      </w:r>
      <w:r w:rsidRPr="001E07CA">
        <w:rPr>
          <w:lang w:val="sv-SE"/>
        </w:rPr>
        <w:t>uppfyller kraven i denna lag.</w:t>
      </w:r>
    </w:p>
    <w:p w:rsidR="00F704C0" w:rsidRPr="001E07CA" w:rsidRDefault="00F704C0" w:rsidP="006A0A79">
      <w:pPr>
        <w:rPr>
          <w:lang w:val="sv-SE"/>
        </w:rPr>
      </w:pPr>
    </w:p>
    <w:p w:rsidR="006A0A79" w:rsidRPr="001E07CA" w:rsidRDefault="00DD1A50" w:rsidP="006A0A79">
      <w:pPr>
        <w:rPr>
          <w:lang w:val="sv-SE"/>
        </w:rPr>
      </w:pPr>
      <w:r w:rsidRPr="001E07CA">
        <w:rPr>
          <w:lang w:val="sv-SE"/>
        </w:rPr>
        <w:t>Anmälda organ ska bevara kopior av intyg som avses i 1 mom. och tillägg till dem samt den tekniska dokumentationen, inklusive dokumentation som utarbetats av tillverkaren, så länge som intyget i fråga är giltigt.</w:t>
      </w:r>
    </w:p>
    <w:p w:rsidR="006A0A79" w:rsidRPr="001E07CA" w:rsidRDefault="006A0A79" w:rsidP="006A0A79">
      <w:pPr>
        <w:rPr>
          <w:lang w:val="sv-SE"/>
        </w:rPr>
      </w:pPr>
    </w:p>
    <w:p w:rsidR="006A0A79" w:rsidRPr="001E07CA" w:rsidRDefault="00DD1A50" w:rsidP="006A0A79">
      <w:pPr>
        <w:rPr>
          <w:lang w:val="sv-SE"/>
        </w:rPr>
      </w:pPr>
      <w:r w:rsidRPr="001E07CA">
        <w:rPr>
          <w:lang w:val="sv-SE"/>
        </w:rPr>
        <w:t xml:space="preserve">8 § </w:t>
      </w:r>
      <w:r w:rsidRPr="001E07CA">
        <w:rPr>
          <w:i/>
          <w:lang w:val="sv-SE"/>
        </w:rPr>
        <w:t>Avslag och återkallande av intyg</w:t>
      </w:r>
    </w:p>
    <w:p w:rsidR="006A0A79" w:rsidRPr="001E07CA" w:rsidRDefault="006A0A79" w:rsidP="006A0A79">
      <w:pPr>
        <w:rPr>
          <w:b/>
          <w:lang w:val="sv-SE"/>
        </w:rPr>
      </w:pPr>
    </w:p>
    <w:p w:rsidR="006A0A79" w:rsidRPr="001E07CA" w:rsidRDefault="00DD1A50" w:rsidP="006A0A79">
      <w:pPr>
        <w:rPr>
          <w:lang w:val="sv-SE"/>
        </w:rPr>
      </w:pPr>
      <w:r w:rsidRPr="001E07CA">
        <w:rPr>
          <w:lang w:val="sv-SE"/>
        </w:rPr>
        <w:t>Om ett anmält organ upptäcker att en gasanordning inte uppfyller de grundläggande säkerhetskrav som gäller den, ska organet ålägga tillverkaren att avhjälpa bristen, och organet får inte ge tillverkaren något intyg över överensstämmelse med kraven.</w:t>
      </w:r>
    </w:p>
    <w:p w:rsidR="00F704C0" w:rsidRPr="001E07CA" w:rsidRDefault="00F704C0" w:rsidP="006A0A79">
      <w:pPr>
        <w:rPr>
          <w:lang w:val="sv-SE"/>
        </w:rPr>
      </w:pPr>
    </w:p>
    <w:p w:rsidR="006A0A79" w:rsidRPr="001E07CA" w:rsidRDefault="00DD1A50" w:rsidP="006A0A79">
      <w:pPr>
        <w:rPr>
          <w:lang w:val="sv-SE"/>
        </w:rPr>
      </w:pPr>
      <w:r w:rsidRPr="001E07CA">
        <w:rPr>
          <w:lang w:val="sv-SE"/>
        </w:rPr>
        <w:t>Om ett anmält organ efter det att ett intyg har utfärdats anser att en gasanordning inte längre överensstämmer med kraven, ska organet kräva att tillverkaren avhjälper bristen och vid behov återkalla intyget tillfälligt eller slutgiltigt.</w:t>
      </w:r>
    </w:p>
    <w:p w:rsidR="00F704C0" w:rsidRPr="001E07CA" w:rsidRDefault="00F704C0" w:rsidP="006A0A79">
      <w:pPr>
        <w:rPr>
          <w:lang w:val="sv-SE"/>
        </w:rPr>
      </w:pPr>
    </w:p>
    <w:p w:rsidR="006A0A79" w:rsidRPr="001E07CA" w:rsidRDefault="00DD1A50" w:rsidP="006A0A79">
      <w:pPr>
        <w:rPr>
          <w:lang w:val="sv-SE"/>
        </w:rPr>
      </w:pPr>
      <w:r w:rsidRPr="001E07CA">
        <w:rPr>
          <w:lang w:val="sv-SE"/>
        </w:rPr>
        <w:t>Om tillverkaren inte avhjälper bristen eller om dennes åtgärder inte får önskat resultat, ska det anmälda organet återkalla intyget tillfälligt eller slutgiltigt eller belägga intyget med restriktioner.</w:t>
      </w:r>
    </w:p>
    <w:p w:rsidR="006A0A79" w:rsidRPr="001E07CA" w:rsidRDefault="006A0A79" w:rsidP="006A0A79">
      <w:pPr>
        <w:rPr>
          <w:lang w:val="sv-SE"/>
        </w:rPr>
      </w:pPr>
    </w:p>
    <w:p w:rsidR="006A0A79" w:rsidRPr="001E07CA" w:rsidRDefault="00DD1A50" w:rsidP="006A0A79">
      <w:pPr>
        <w:rPr>
          <w:lang w:val="sv-SE"/>
        </w:rPr>
      </w:pPr>
      <w:r w:rsidRPr="001E07CA">
        <w:rPr>
          <w:lang w:val="sv-SE"/>
        </w:rPr>
        <w:t xml:space="preserve">9 § </w:t>
      </w:r>
      <w:r w:rsidRPr="001E07CA">
        <w:rPr>
          <w:i/>
          <w:lang w:val="sv-SE"/>
        </w:rPr>
        <w:t>Ändringssökande</w:t>
      </w:r>
    </w:p>
    <w:p w:rsidR="006A0A79" w:rsidRPr="001E07CA" w:rsidRDefault="006A0A79" w:rsidP="006A0A79">
      <w:pPr>
        <w:rPr>
          <w:b/>
          <w:lang w:val="sv-SE"/>
        </w:rPr>
      </w:pPr>
    </w:p>
    <w:p w:rsidR="006A0A79" w:rsidRPr="001E07CA" w:rsidRDefault="0036747E" w:rsidP="006A0A79">
      <w:pPr>
        <w:rPr>
          <w:lang w:val="sv-SE"/>
        </w:rPr>
      </w:pPr>
      <w:r w:rsidRPr="001E07CA">
        <w:rPr>
          <w:lang w:val="sv-SE"/>
        </w:rPr>
        <w:t>Omprövning av ett anmält organs beslut som gäller intyg över överensstämmelse får begäras på det sätt som anges i förvaltningslagen (434/2003).</w:t>
      </w:r>
    </w:p>
    <w:p w:rsidR="003F0BAB" w:rsidRPr="001E07CA" w:rsidRDefault="003F0BAB" w:rsidP="006A0A79">
      <w:pPr>
        <w:rPr>
          <w:lang w:val="sv-SE"/>
        </w:rPr>
      </w:pPr>
    </w:p>
    <w:p w:rsidR="00F07558" w:rsidRPr="001E07CA" w:rsidRDefault="0036747E" w:rsidP="006A0A79">
      <w:pPr>
        <w:rPr>
          <w:lang w:val="sv-SE"/>
        </w:rPr>
      </w:pPr>
      <w:r w:rsidRPr="001E07CA">
        <w:rPr>
          <w:lang w:val="sv-SE"/>
        </w:rPr>
        <w:t>Ett beslut som ett anmält organ meddelar med anledning av begäran om omprövning får överklagas genom besvär hos förvaltningsdomstolen på det sätt som anges i förvaltningsprocesslagen (586/1996).</w:t>
      </w:r>
      <w:r w:rsidR="006A0A79" w:rsidRPr="001E07CA">
        <w:rPr>
          <w:lang w:val="sv-SE"/>
        </w:rPr>
        <w:t xml:space="preserve"> </w:t>
      </w:r>
      <w:r w:rsidR="00F07558" w:rsidRPr="001E07CA">
        <w:rPr>
          <w:lang w:val="sv-SE"/>
        </w:rPr>
        <w:t>Förvaltningsdomstolens beslut får överklagas genom besvär hos högsta förvaltningsdomstolen bara om högsta förvaltningsdomstolen beviljar besvärstillstånd.</w:t>
      </w:r>
    </w:p>
    <w:p w:rsidR="006A0A79" w:rsidRPr="001E07CA" w:rsidRDefault="006A0A79" w:rsidP="006A0A79">
      <w:pPr>
        <w:rPr>
          <w:lang w:val="sv-SE"/>
        </w:rPr>
      </w:pPr>
    </w:p>
    <w:p w:rsidR="006A0A79" w:rsidRPr="001E07CA" w:rsidRDefault="006A0A79" w:rsidP="006A0A79">
      <w:pPr>
        <w:rPr>
          <w:lang w:val="sv-SE"/>
        </w:rPr>
      </w:pPr>
    </w:p>
    <w:p w:rsidR="006A0A79" w:rsidRPr="001E07CA" w:rsidRDefault="0036747E" w:rsidP="006A0A79">
      <w:pPr>
        <w:rPr>
          <w:lang w:val="sv-SE"/>
        </w:rPr>
      </w:pPr>
      <w:r w:rsidRPr="001E07CA">
        <w:rPr>
          <w:lang w:val="sv-SE"/>
        </w:rPr>
        <w:t>4 kap. Särskilda bestämmelser</w:t>
      </w:r>
    </w:p>
    <w:p w:rsidR="006A0A79" w:rsidRPr="001E07CA" w:rsidRDefault="006A0A79" w:rsidP="006A0A79">
      <w:pPr>
        <w:rPr>
          <w:b/>
          <w:lang w:val="sv-SE"/>
        </w:rPr>
      </w:pPr>
    </w:p>
    <w:p w:rsidR="00E6002E" w:rsidRPr="001E07CA" w:rsidRDefault="0036747E" w:rsidP="00E6002E">
      <w:pPr>
        <w:rPr>
          <w:lang w:val="sv-SE"/>
        </w:rPr>
      </w:pPr>
      <w:r w:rsidRPr="001E07CA">
        <w:rPr>
          <w:lang w:val="sv-SE"/>
        </w:rPr>
        <w:t xml:space="preserve">10 § </w:t>
      </w:r>
      <w:r w:rsidRPr="001E07CA">
        <w:rPr>
          <w:i/>
          <w:lang w:val="sv-SE"/>
        </w:rPr>
        <w:t>Tillsyn</w:t>
      </w:r>
    </w:p>
    <w:p w:rsidR="00E6002E" w:rsidRPr="001E07CA" w:rsidRDefault="00E6002E" w:rsidP="00E6002E">
      <w:pPr>
        <w:rPr>
          <w:b/>
          <w:lang w:val="sv-SE"/>
        </w:rPr>
      </w:pPr>
    </w:p>
    <w:p w:rsidR="0020508C" w:rsidRPr="001E07CA" w:rsidRDefault="0036747E" w:rsidP="00E6002E">
      <w:pPr>
        <w:rPr>
          <w:lang w:val="sv-SE"/>
        </w:rPr>
      </w:pPr>
      <w:r w:rsidRPr="001E07CA">
        <w:rPr>
          <w:lang w:val="sv-SE"/>
        </w:rPr>
        <w:t>Bestämmelser om tillsynen över efterlevnaden</w:t>
      </w:r>
      <w:r w:rsidR="00144D57" w:rsidRPr="001E07CA">
        <w:rPr>
          <w:lang w:val="sv-SE"/>
        </w:rPr>
        <w:t xml:space="preserve"> av denna lag</w:t>
      </w:r>
      <w:r w:rsidRPr="001E07CA">
        <w:rPr>
          <w:lang w:val="sv-SE"/>
        </w:rPr>
        <w:t xml:space="preserve"> </w:t>
      </w:r>
      <w:r w:rsidR="00144D57" w:rsidRPr="001E07CA">
        <w:rPr>
          <w:lang w:val="sv-SE"/>
        </w:rPr>
        <w:t>och om styrningen av tillsynen finns i kapitel V i gasanordningsförordningen, NLF-förordningen och lagen om marknadskontrollen av vissa produkter (1137/2016).</w:t>
      </w:r>
    </w:p>
    <w:p w:rsidR="0020508C" w:rsidRPr="001E07CA" w:rsidRDefault="0020508C" w:rsidP="00E6002E">
      <w:pPr>
        <w:rPr>
          <w:lang w:val="sv-SE"/>
        </w:rPr>
      </w:pPr>
    </w:p>
    <w:p w:rsidR="00E6002E" w:rsidRPr="001E07CA" w:rsidRDefault="00144D57" w:rsidP="00E6002E">
      <w:pPr>
        <w:rPr>
          <w:lang w:val="sv-SE"/>
        </w:rPr>
      </w:pPr>
      <w:r w:rsidRPr="001E07CA">
        <w:rPr>
          <w:lang w:val="sv-SE"/>
        </w:rPr>
        <w:t>Säkerhets- och kemikalieverket svarar för de uppgifter som i kapitel V i gasanordningsförordningen åläggs marknadstillsynsmyndigheten och medlemsstaten.</w:t>
      </w:r>
    </w:p>
    <w:p w:rsidR="00E6002E" w:rsidRPr="001E07CA" w:rsidRDefault="00E6002E" w:rsidP="006A0A79">
      <w:pPr>
        <w:rPr>
          <w:b/>
          <w:lang w:val="sv-SE"/>
        </w:rPr>
      </w:pPr>
    </w:p>
    <w:p w:rsidR="0016334E" w:rsidRPr="001E07CA" w:rsidRDefault="00144D57" w:rsidP="0016334E">
      <w:pPr>
        <w:rPr>
          <w:lang w:val="sv-SE"/>
        </w:rPr>
      </w:pPr>
      <w:r w:rsidRPr="001E07CA">
        <w:rPr>
          <w:lang w:val="sv-SE"/>
        </w:rPr>
        <w:t xml:space="preserve">11 § </w:t>
      </w:r>
      <w:r w:rsidRPr="001E07CA">
        <w:rPr>
          <w:i/>
          <w:lang w:val="sv-SE"/>
        </w:rPr>
        <w:t>Straffbestämmelser</w:t>
      </w:r>
    </w:p>
    <w:p w:rsidR="0016334E" w:rsidRPr="001E07CA" w:rsidRDefault="0016334E" w:rsidP="0016334E">
      <w:pPr>
        <w:rPr>
          <w:b/>
          <w:lang w:val="sv-SE"/>
        </w:rPr>
      </w:pPr>
    </w:p>
    <w:p w:rsidR="0016334E" w:rsidRPr="001E07CA" w:rsidRDefault="00144D57" w:rsidP="0016334E">
      <w:pPr>
        <w:rPr>
          <w:lang w:val="sv-SE"/>
        </w:rPr>
      </w:pPr>
      <w:r w:rsidRPr="001E07CA">
        <w:rPr>
          <w:lang w:val="sv-SE"/>
        </w:rPr>
        <w:t>Den som uppsåtl</w:t>
      </w:r>
      <w:r w:rsidR="00537A0F" w:rsidRPr="001E07CA">
        <w:rPr>
          <w:lang w:val="sv-SE"/>
        </w:rPr>
        <w:t>igen eller av o</w:t>
      </w:r>
      <w:r w:rsidRPr="001E07CA">
        <w:rPr>
          <w:lang w:val="sv-SE"/>
        </w:rPr>
        <w:t xml:space="preserve">aktsamhet bryter mot följande </w:t>
      </w:r>
      <w:r w:rsidR="00537A0F" w:rsidRPr="001E07CA">
        <w:rPr>
          <w:lang w:val="sv-SE"/>
        </w:rPr>
        <w:t>i</w:t>
      </w:r>
      <w:r w:rsidRPr="001E07CA">
        <w:rPr>
          <w:lang w:val="sv-SE"/>
        </w:rPr>
        <w:t xml:space="preserve"> denna lag och </w:t>
      </w:r>
      <w:r w:rsidR="00537A0F" w:rsidRPr="001E07CA">
        <w:rPr>
          <w:lang w:val="sv-SE"/>
        </w:rPr>
        <w:t>i gasanordningsförordningen</w:t>
      </w:r>
      <w:r w:rsidR="0042597F" w:rsidRPr="001E07CA">
        <w:rPr>
          <w:lang w:val="sv-SE"/>
        </w:rPr>
        <w:t xml:space="preserve"> angivna förpliktelser</w:t>
      </w:r>
      <w:r w:rsidR="00E421EE" w:rsidRPr="001E07CA">
        <w:rPr>
          <w:lang w:val="sv-SE"/>
        </w:rPr>
        <w:t>:</w:t>
      </w:r>
    </w:p>
    <w:p w:rsidR="0016334E" w:rsidRPr="001E07CA" w:rsidRDefault="0016334E" w:rsidP="0016334E">
      <w:pPr>
        <w:rPr>
          <w:lang w:val="sv-SE"/>
        </w:rPr>
      </w:pPr>
    </w:p>
    <w:p w:rsidR="0016334E" w:rsidRPr="001E07CA" w:rsidRDefault="00537A0F" w:rsidP="0016334E">
      <w:pPr>
        <w:spacing w:after="240"/>
        <w:rPr>
          <w:lang w:val="sv-SE"/>
        </w:rPr>
      </w:pPr>
      <w:r w:rsidRPr="001E07CA">
        <w:rPr>
          <w:lang w:val="sv-SE"/>
        </w:rPr>
        <w:t xml:space="preserve">1) tillverkarens skyldighet enligt artikel 7.1 eller artikel 14 att </w:t>
      </w:r>
      <w:r w:rsidR="00C20DFC" w:rsidRPr="001E07CA">
        <w:rPr>
          <w:lang w:val="sv-SE"/>
        </w:rPr>
        <w:t>se till</w:t>
      </w:r>
      <w:r w:rsidRPr="001E07CA">
        <w:rPr>
          <w:lang w:val="sv-SE"/>
        </w:rPr>
        <w:t xml:space="preserve"> att g</w:t>
      </w:r>
      <w:r w:rsidR="0031595E" w:rsidRPr="001E07CA">
        <w:rPr>
          <w:lang w:val="sv-SE"/>
        </w:rPr>
        <w:t>asanordningen överensstämmer med</w:t>
      </w:r>
      <w:r w:rsidRPr="001E07CA">
        <w:rPr>
          <w:lang w:val="sv-SE"/>
        </w:rPr>
        <w:t xml:space="preserve"> de grundläggande säkerhetskraven,</w:t>
      </w:r>
    </w:p>
    <w:p w:rsidR="0016334E" w:rsidRPr="001E07CA" w:rsidRDefault="00537A0F" w:rsidP="0016334E">
      <w:pPr>
        <w:spacing w:after="240"/>
        <w:rPr>
          <w:lang w:val="sv-SE"/>
        </w:rPr>
      </w:pPr>
      <w:r w:rsidRPr="001E07CA">
        <w:rPr>
          <w:lang w:val="sv-SE"/>
        </w:rPr>
        <w:lastRenderedPageBreak/>
        <w:t>2) tillverkarens skyldighet e</w:t>
      </w:r>
      <w:r w:rsidR="005348F4" w:rsidRPr="001E07CA">
        <w:rPr>
          <w:lang w:val="sv-SE"/>
        </w:rPr>
        <w:t xml:space="preserve">nligt artikel 14 att </w:t>
      </w:r>
      <w:r w:rsidR="001852E1" w:rsidRPr="001E07CA">
        <w:rPr>
          <w:lang w:val="sv-SE"/>
        </w:rPr>
        <w:t>låta anordningen genomgå ett förfarande för bedömning av överensstämmelse genom iakttagande av ett lämpligt förfarande för bedömning av överensstämmelse och genom anlitande av ett anmält organ,</w:t>
      </w:r>
    </w:p>
    <w:p w:rsidR="0016334E" w:rsidRPr="001E07CA" w:rsidRDefault="005348F4" w:rsidP="0016334E">
      <w:pPr>
        <w:spacing w:after="240"/>
        <w:rPr>
          <w:lang w:val="sv-SE"/>
        </w:rPr>
      </w:pPr>
      <w:r w:rsidRPr="001E07CA">
        <w:rPr>
          <w:lang w:val="sv-SE"/>
        </w:rPr>
        <w:t>3) tillverkarens skyldighet</w:t>
      </w:r>
      <w:r w:rsidR="001852E1" w:rsidRPr="001E07CA">
        <w:rPr>
          <w:lang w:val="sv-SE"/>
        </w:rPr>
        <w:t xml:space="preserve"> enligt artikel 7.2 att utarbeta</w:t>
      </w:r>
      <w:r w:rsidRPr="001E07CA">
        <w:rPr>
          <w:lang w:val="sv-SE"/>
        </w:rPr>
        <w:t xml:space="preserve"> den tekniska dokumentationen,</w:t>
      </w:r>
    </w:p>
    <w:p w:rsidR="0016334E" w:rsidRPr="001E07CA" w:rsidRDefault="005348F4" w:rsidP="0016334E">
      <w:pPr>
        <w:spacing w:after="240"/>
        <w:rPr>
          <w:lang w:val="sv-SE"/>
        </w:rPr>
      </w:pPr>
      <w:r w:rsidRPr="001E07CA">
        <w:rPr>
          <w:lang w:val="sv-SE"/>
        </w:rPr>
        <w:t>4) tillverkarens skyldighet enligt artikel 7.2 att upprätta EU-försäkran om överensstämmelse och fästa CE-märkning på gasanordningen,</w:t>
      </w:r>
    </w:p>
    <w:p w:rsidR="0016334E" w:rsidRPr="001E07CA" w:rsidRDefault="005348F4" w:rsidP="0016334E">
      <w:pPr>
        <w:spacing w:after="240"/>
        <w:rPr>
          <w:lang w:val="sv-SE"/>
        </w:rPr>
      </w:pPr>
      <w:r w:rsidRPr="001E07CA">
        <w:rPr>
          <w:lang w:val="sv-SE"/>
        </w:rPr>
        <w:t>5) tillverkarens skyldighet e</w:t>
      </w:r>
      <w:r w:rsidR="001852E1" w:rsidRPr="001E07CA">
        <w:rPr>
          <w:lang w:val="sv-SE"/>
        </w:rPr>
        <w:t>nli</w:t>
      </w:r>
      <w:r w:rsidR="009E082A" w:rsidRPr="001E07CA">
        <w:rPr>
          <w:lang w:val="sv-SE"/>
        </w:rPr>
        <w:t>gt artikel 7.4</w:t>
      </w:r>
      <w:r w:rsidR="001852E1" w:rsidRPr="001E07CA">
        <w:rPr>
          <w:lang w:val="sv-SE"/>
        </w:rPr>
        <w:t xml:space="preserve"> att se till</w:t>
      </w:r>
      <w:r w:rsidRPr="001E07CA">
        <w:rPr>
          <w:lang w:val="sv-SE"/>
        </w:rPr>
        <w:t xml:space="preserve"> att en gasanordning som tillverkas i serie överensstämmer med de grundläggande säkerhetskraven, </w:t>
      </w:r>
    </w:p>
    <w:p w:rsidR="0016334E" w:rsidRPr="001E07CA" w:rsidRDefault="005348F4" w:rsidP="0016334E">
      <w:pPr>
        <w:spacing w:after="240"/>
        <w:rPr>
          <w:lang w:val="sv-SE"/>
        </w:rPr>
      </w:pPr>
      <w:r w:rsidRPr="001E07CA">
        <w:rPr>
          <w:lang w:val="sv-SE"/>
        </w:rPr>
        <w:t>6) tillverkarens skyldighet enligt artikel 7.</w:t>
      </w:r>
      <w:r w:rsidR="00501AFF">
        <w:rPr>
          <w:lang w:val="sv-SE"/>
        </w:rPr>
        <w:t>5 och artikel 18</w:t>
      </w:r>
      <w:r w:rsidR="009E082A" w:rsidRPr="001E07CA">
        <w:rPr>
          <w:lang w:val="sv-SE"/>
        </w:rPr>
        <w:t xml:space="preserve"> att se till</w:t>
      </w:r>
      <w:r w:rsidRPr="001E07CA">
        <w:rPr>
          <w:lang w:val="sv-SE"/>
        </w:rPr>
        <w:t xml:space="preserve"> att en gasanordning som släppts ut på marknaden har de märkningar som krävs och att gasanordningen åtföljs av tillverkarens identifikationsuppgifter enligt artikel 7.6 samt </w:t>
      </w:r>
      <w:r w:rsidR="009E082A" w:rsidRPr="001E07CA">
        <w:rPr>
          <w:lang w:val="sv-SE"/>
        </w:rPr>
        <w:t xml:space="preserve">av </w:t>
      </w:r>
      <w:r w:rsidRPr="001E07CA">
        <w:rPr>
          <w:lang w:val="sv-SE"/>
        </w:rPr>
        <w:t>bruksan</w:t>
      </w:r>
      <w:r w:rsidR="009E082A" w:rsidRPr="001E07CA">
        <w:rPr>
          <w:lang w:val="sv-SE"/>
        </w:rPr>
        <w:t>visningar och säkerhetsföreskrifter</w:t>
      </w:r>
      <w:r w:rsidRPr="001E07CA">
        <w:rPr>
          <w:lang w:val="sv-SE"/>
        </w:rPr>
        <w:t xml:space="preserve"> enligt artikel 7.7,</w:t>
      </w:r>
    </w:p>
    <w:p w:rsidR="0016334E" w:rsidRPr="001E07CA" w:rsidRDefault="00A776FC" w:rsidP="0016334E">
      <w:pPr>
        <w:spacing w:after="240"/>
        <w:rPr>
          <w:lang w:val="sv-SE"/>
        </w:rPr>
      </w:pPr>
      <w:r w:rsidRPr="001E07CA">
        <w:rPr>
          <w:lang w:val="sv-SE"/>
        </w:rPr>
        <w:t xml:space="preserve">7) förbudet </w:t>
      </w:r>
      <w:r w:rsidR="009E082A" w:rsidRPr="001E07CA">
        <w:rPr>
          <w:lang w:val="sv-SE"/>
        </w:rPr>
        <w:t xml:space="preserve">enligt artikel 9.1 </w:t>
      </w:r>
      <w:r w:rsidRPr="001E07CA">
        <w:rPr>
          <w:lang w:val="sv-SE"/>
        </w:rPr>
        <w:t xml:space="preserve">för importören </w:t>
      </w:r>
      <w:r w:rsidR="009E082A" w:rsidRPr="001E07CA">
        <w:rPr>
          <w:lang w:val="sv-SE"/>
        </w:rPr>
        <w:t>att inte släppa ut på marknaden andra gasanordningar än sådana som överensstämmer med de grundläggande kraven,</w:t>
      </w:r>
    </w:p>
    <w:p w:rsidR="0016334E" w:rsidRPr="001E07CA" w:rsidRDefault="005A695C" w:rsidP="0016334E">
      <w:pPr>
        <w:spacing w:after="240"/>
        <w:rPr>
          <w:lang w:val="sv-SE"/>
        </w:rPr>
      </w:pPr>
      <w:r w:rsidRPr="001E07CA">
        <w:rPr>
          <w:lang w:val="sv-SE"/>
        </w:rPr>
        <w:t xml:space="preserve">8) importörens skyldighet enligt artikel 9.2 att se till att tillverkaren har utfört bedömningen av överensstämmelse, att tillverkaren har upprättat den tekniska dokumentationen, att gasanordningen har försetts med CE-märkning, att gasanordningen åtföljs </w:t>
      </w:r>
      <w:r w:rsidR="00DB7D49" w:rsidRPr="001E07CA">
        <w:rPr>
          <w:lang w:val="sv-SE"/>
        </w:rPr>
        <w:t xml:space="preserve">av </w:t>
      </w:r>
      <w:r w:rsidRPr="001E07CA">
        <w:rPr>
          <w:lang w:val="sv-SE"/>
        </w:rPr>
        <w:t>EU-försäkran om överensstämmelse, att gasanordningen försetts med de märkningar och uppgifter som krävs samt att gasanordningen åtföljs av bruksanvisningar och säkerhetsföreskrifter på finska och svenska,</w:t>
      </w:r>
    </w:p>
    <w:p w:rsidR="0016334E" w:rsidRPr="001E07CA" w:rsidRDefault="005A695C" w:rsidP="0016334E">
      <w:pPr>
        <w:spacing w:after="240"/>
        <w:rPr>
          <w:lang w:val="sv-SE"/>
        </w:rPr>
      </w:pPr>
      <w:r w:rsidRPr="001E07CA">
        <w:rPr>
          <w:lang w:val="sv-SE"/>
        </w:rPr>
        <w:t xml:space="preserve">9) importörens skyldighet enligt artikel 9.2 att informera </w:t>
      </w:r>
      <w:r w:rsidR="00717E77" w:rsidRPr="001E07CA">
        <w:rPr>
          <w:lang w:val="sv-SE"/>
        </w:rPr>
        <w:t>tillverkaren och Säkerhets- och kemikaliverket om risk</w:t>
      </w:r>
      <w:r w:rsidR="008D29B8" w:rsidRPr="001E07CA">
        <w:rPr>
          <w:lang w:val="sv-SE"/>
        </w:rPr>
        <w:t>er,</w:t>
      </w:r>
    </w:p>
    <w:p w:rsidR="0016334E" w:rsidRPr="001E07CA" w:rsidRDefault="00717E77" w:rsidP="0016334E">
      <w:pPr>
        <w:spacing w:after="240"/>
        <w:rPr>
          <w:lang w:val="sv-SE"/>
        </w:rPr>
      </w:pPr>
      <w:r w:rsidRPr="001E07CA">
        <w:rPr>
          <w:lang w:val="sv-SE"/>
        </w:rPr>
        <w:t xml:space="preserve">10) distributörens skyldighet enligt artikel 10.2 att se till att gasanordningen eller tillbehören har försetts med CE-märkning, att gasanordningen </w:t>
      </w:r>
      <w:r w:rsidR="006F5ED3" w:rsidRPr="001E07CA">
        <w:rPr>
          <w:lang w:val="sv-SE"/>
        </w:rPr>
        <w:t xml:space="preserve">av </w:t>
      </w:r>
      <w:r w:rsidRPr="001E07CA">
        <w:rPr>
          <w:lang w:val="sv-SE"/>
        </w:rPr>
        <w:t>åtföljs EU-försäkran om överensstämmelse, att gasanordningen försetts med de märkningar och uppgifter som krävs samt att gasanordningen åtföljs av de bruksanvisningar och säkerhetsföreskrifter som krävs,</w:t>
      </w:r>
    </w:p>
    <w:p w:rsidR="0016334E" w:rsidRPr="001E07CA" w:rsidRDefault="00717E77" w:rsidP="0016334E">
      <w:pPr>
        <w:spacing w:after="240"/>
        <w:rPr>
          <w:lang w:val="sv-SE"/>
        </w:rPr>
      </w:pPr>
      <w:r w:rsidRPr="001E07CA">
        <w:rPr>
          <w:lang w:val="sv-SE"/>
        </w:rPr>
        <w:t xml:space="preserve">11) importörens skyldighet enligt artikel 10.2 att informera tillverkaren </w:t>
      </w:r>
      <w:r w:rsidR="009B5022" w:rsidRPr="001E07CA">
        <w:rPr>
          <w:lang w:val="sv-SE"/>
        </w:rPr>
        <w:t xml:space="preserve">eller importören </w:t>
      </w:r>
      <w:r w:rsidRPr="001E07CA">
        <w:rPr>
          <w:lang w:val="sv-SE"/>
        </w:rPr>
        <w:t>och Säke</w:t>
      </w:r>
      <w:r w:rsidR="009D0B94" w:rsidRPr="001E07CA">
        <w:rPr>
          <w:lang w:val="sv-SE"/>
        </w:rPr>
        <w:t xml:space="preserve">rhets- och kemikaliverket om </w:t>
      </w:r>
      <w:r w:rsidRPr="001E07CA">
        <w:rPr>
          <w:lang w:val="sv-SE"/>
        </w:rPr>
        <w:t>risk</w:t>
      </w:r>
      <w:r w:rsidR="009D0B94" w:rsidRPr="001E07CA">
        <w:rPr>
          <w:lang w:val="sv-SE"/>
        </w:rPr>
        <w:t>er</w:t>
      </w:r>
      <w:r w:rsidRPr="001E07CA">
        <w:rPr>
          <w:lang w:val="sv-SE"/>
        </w:rPr>
        <w:t xml:space="preserve">, </w:t>
      </w:r>
    </w:p>
    <w:p w:rsidR="0016334E" w:rsidRPr="001E07CA" w:rsidRDefault="00F75EA1" w:rsidP="0016334E">
      <w:pPr>
        <w:spacing w:after="240"/>
        <w:rPr>
          <w:lang w:val="sv-SE"/>
        </w:rPr>
      </w:pPr>
      <w:r w:rsidRPr="001E07CA">
        <w:rPr>
          <w:lang w:val="sv-SE"/>
        </w:rPr>
        <w:t>12</w:t>
      </w:r>
      <w:r w:rsidR="009B5022" w:rsidRPr="001E07CA">
        <w:rPr>
          <w:lang w:val="sv-SE"/>
        </w:rPr>
        <w:t>) tillverkarens skyldighet enligt artikel 7.8, importörens skyldighet enligt artikel 9.7 och distributörens skyldighet enligt artikel 10.4 att vidta korrigerande åtgärder och skyldighet att informera Säke</w:t>
      </w:r>
      <w:r w:rsidR="00D15EC0" w:rsidRPr="001E07CA">
        <w:rPr>
          <w:lang w:val="sv-SE"/>
        </w:rPr>
        <w:t xml:space="preserve">rhets- och kemikaliverket om </w:t>
      </w:r>
      <w:r w:rsidR="009B5022" w:rsidRPr="001E07CA">
        <w:rPr>
          <w:lang w:val="sv-SE"/>
        </w:rPr>
        <w:t>risk</w:t>
      </w:r>
      <w:r w:rsidR="00D15EC0" w:rsidRPr="001E07CA">
        <w:rPr>
          <w:lang w:val="sv-SE"/>
        </w:rPr>
        <w:t>er</w:t>
      </w:r>
      <w:r w:rsidR="009B5022" w:rsidRPr="001E07CA">
        <w:rPr>
          <w:lang w:val="sv-SE"/>
        </w:rPr>
        <w:t xml:space="preserve">, </w:t>
      </w:r>
    </w:p>
    <w:p w:rsidR="0016334E" w:rsidRPr="001E07CA" w:rsidRDefault="009B5022" w:rsidP="0016334E">
      <w:pPr>
        <w:spacing w:after="240"/>
        <w:rPr>
          <w:lang w:val="sv-SE"/>
        </w:rPr>
      </w:pPr>
      <w:r w:rsidRPr="001E07CA">
        <w:rPr>
          <w:lang w:val="sv-SE"/>
        </w:rPr>
        <w:t xml:space="preserve">13) tillverkarens skyldighet enligt artikel 7.8, importörens skyldighet enligt artikel 9.7 och distributörens skyldighet enligt artikel 10.4 att informera Säkerhets- och kemikaliverket om </w:t>
      </w:r>
      <w:r w:rsidR="00417317" w:rsidRPr="001E07CA">
        <w:rPr>
          <w:lang w:val="sv-SE"/>
        </w:rPr>
        <w:t>en gasanordning som utgör risk,</w:t>
      </w:r>
    </w:p>
    <w:p w:rsidR="0016334E" w:rsidRPr="001E07CA" w:rsidRDefault="009B5022" w:rsidP="0016334E">
      <w:pPr>
        <w:rPr>
          <w:lang w:val="sv-SE"/>
        </w:rPr>
      </w:pPr>
      <w:r w:rsidRPr="001E07CA">
        <w:rPr>
          <w:lang w:val="sv-SE"/>
        </w:rPr>
        <w:t xml:space="preserve">ska, om inte strängare straff för gärningen föreskrivs någon annanstans i lag, för </w:t>
      </w:r>
      <w:r w:rsidRPr="001E07CA">
        <w:rPr>
          <w:i/>
          <w:lang w:val="sv-SE"/>
        </w:rPr>
        <w:t>brott mot bestämmelserna om gasanordningarnas överensstäm</w:t>
      </w:r>
      <w:r w:rsidR="0083437D">
        <w:rPr>
          <w:i/>
          <w:lang w:val="sv-SE"/>
        </w:rPr>
        <w:t>m</w:t>
      </w:r>
      <w:r w:rsidRPr="001E07CA">
        <w:rPr>
          <w:i/>
          <w:lang w:val="sv-SE"/>
        </w:rPr>
        <w:t>else med kraven</w:t>
      </w:r>
      <w:r w:rsidRPr="001E07CA">
        <w:rPr>
          <w:lang w:val="sv-SE"/>
        </w:rPr>
        <w:t xml:space="preserve"> dömas till böter.</w:t>
      </w:r>
      <w:r w:rsidR="0016334E" w:rsidRPr="001E07CA">
        <w:rPr>
          <w:lang w:val="sv-SE"/>
        </w:rPr>
        <w:t xml:space="preserve"> </w:t>
      </w:r>
    </w:p>
    <w:p w:rsidR="0016334E" w:rsidRPr="001E07CA" w:rsidRDefault="0016334E" w:rsidP="0016334E">
      <w:pPr>
        <w:rPr>
          <w:lang w:val="sv-SE"/>
        </w:rPr>
      </w:pPr>
    </w:p>
    <w:p w:rsidR="0016334E" w:rsidRPr="001E07CA" w:rsidRDefault="009B5022" w:rsidP="0016334E">
      <w:pPr>
        <w:rPr>
          <w:lang w:val="sv-SE"/>
        </w:rPr>
      </w:pPr>
      <w:r w:rsidRPr="001E07CA">
        <w:rPr>
          <w:lang w:val="sv-SE"/>
        </w:rPr>
        <w:t>Den som bryter mot ett förbud eller ett föreläggande som utfärdats med stöd av denna lag och som förstärkts med vite får inte för samma gärning dömas till straff med stöd av 1 mom.</w:t>
      </w:r>
      <w:r w:rsidR="00906F6D" w:rsidRPr="001E07CA">
        <w:rPr>
          <w:lang w:val="sv-SE"/>
        </w:rPr>
        <w:t xml:space="preserve"> </w:t>
      </w:r>
    </w:p>
    <w:p w:rsidR="0016334E" w:rsidRPr="001E07CA" w:rsidRDefault="0016334E" w:rsidP="0016334E">
      <w:pPr>
        <w:rPr>
          <w:lang w:val="sv-SE"/>
        </w:rPr>
      </w:pPr>
    </w:p>
    <w:p w:rsidR="0016334E" w:rsidRPr="001E07CA" w:rsidRDefault="009B5022" w:rsidP="0016334E">
      <w:pPr>
        <w:rPr>
          <w:lang w:val="sv-SE"/>
        </w:rPr>
      </w:pPr>
      <w:r w:rsidRPr="001E07CA">
        <w:rPr>
          <w:lang w:val="sv-SE"/>
        </w:rPr>
        <w:t>Bestämmelser om CE-märkningsförseelse finns i lagen om CE-märkningsförseelse (187/2010).</w:t>
      </w:r>
    </w:p>
    <w:p w:rsidR="0016334E" w:rsidRPr="001E07CA" w:rsidRDefault="0016334E" w:rsidP="006A0A79">
      <w:pPr>
        <w:rPr>
          <w:b/>
          <w:lang w:val="sv-SE"/>
        </w:rPr>
      </w:pPr>
    </w:p>
    <w:p w:rsidR="006A0A79" w:rsidRPr="001E07CA" w:rsidRDefault="009B5022" w:rsidP="006A0A79">
      <w:pPr>
        <w:rPr>
          <w:lang w:val="sv-SE"/>
        </w:rPr>
      </w:pPr>
      <w:r w:rsidRPr="001E07CA">
        <w:rPr>
          <w:lang w:val="sv-SE"/>
        </w:rPr>
        <w:t xml:space="preserve">12 § </w:t>
      </w:r>
      <w:r w:rsidRPr="001E07CA">
        <w:rPr>
          <w:i/>
          <w:lang w:val="sv-SE"/>
        </w:rPr>
        <w:t xml:space="preserve">Anmälan </w:t>
      </w:r>
      <w:r w:rsidR="009C6C79" w:rsidRPr="001E07CA">
        <w:rPr>
          <w:i/>
          <w:lang w:val="sv-SE"/>
        </w:rPr>
        <w:t xml:space="preserve">till kommissionen </w:t>
      </w:r>
      <w:r w:rsidRPr="001E07CA">
        <w:rPr>
          <w:i/>
          <w:lang w:val="sv-SE"/>
        </w:rPr>
        <w:t>o</w:t>
      </w:r>
      <w:r w:rsidR="009C6C79" w:rsidRPr="001E07CA">
        <w:rPr>
          <w:i/>
          <w:lang w:val="sv-SE"/>
        </w:rPr>
        <w:t>m leveransvillkoren för gas</w:t>
      </w:r>
    </w:p>
    <w:p w:rsidR="006A0A79" w:rsidRPr="001E07CA" w:rsidRDefault="006A0A79" w:rsidP="006A0A79">
      <w:pPr>
        <w:rPr>
          <w:b/>
          <w:lang w:val="sv-SE"/>
        </w:rPr>
      </w:pPr>
    </w:p>
    <w:p w:rsidR="006A0A79" w:rsidRPr="001E07CA" w:rsidRDefault="009B5022" w:rsidP="006A0A79">
      <w:pPr>
        <w:rPr>
          <w:lang w:val="sv-SE"/>
        </w:rPr>
      </w:pPr>
      <w:r w:rsidRPr="001E07CA">
        <w:rPr>
          <w:lang w:val="sv-SE"/>
        </w:rPr>
        <w:t>Arbets- och näringsministeriet anmäler till kommissionen och övriga medlemsstater</w:t>
      </w:r>
      <w:r w:rsidR="003139F8" w:rsidRPr="001E07CA">
        <w:rPr>
          <w:lang w:val="sv-SE"/>
        </w:rPr>
        <w:t xml:space="preserve"> </w:t>
      </w:r>
      <w:r w:rsidR="00FF1A6E" w:rsidRPr="001E07CA">
        <w:rPr>
          <w:lang w:val="sv-SE"/>
        </w:rPr>
        <w:t>de typer av gasformiga bränslen som används</w:t>
      </w:r>
      <w:r w:rsidRPr="001E07CA">
        <w:rPr>
          <w:lang w:val="sv-SE"/>
        </w:rPr>
        <w:t xml:space="preserve"> i Finland </w:t>
      </w:r>
      <w:r w:rsidR="00FF1A6E" w:rsidRPr="001E07CA">
        <w:rPr>
          <w:lang w:val="sv-SE"/>
        </w:rPr>
        <w:t xml:space="preserve">och motsvarande </w:t>
      </w:r>
      <w:r w:rsidR="000C0B75">
        <w:rPr>
          <w:lang w:val="sv-SE"/>
        </w:rPr>
        <w:t>drift</w:t>
      </w:r>
      <w:r w:rsidR="00FF1A6E" w:rsidRPr="001E07CA">
        <w:rPr>
          <w:lang w:val="sv-SE"/>
        </w:rPr>
        <w:t>tryck</w:t>
      </w:r>
      <w:r w:rsidR="00895923" w:rsidRPr="001E07CA">
        <w:rPr>
          <w:lang w:val="sv-SE"/>
        </w:rPr>
        <w:t xml:space="preserve"> i enlighet med artikel 4 i och bilaga II till gasanordningsförordningen</w:t>
      </w:r>
      <w:r w:rsidRPr="001E07CA">
        <w:rPr>
          <w:lang w:val="sv-SE"/>
        </w:rPr>
        <w:t>.</w:t>
      </w:r>
    </w:p>
    <w:p w:rsidR="00A4752F" w:rsidRPr="001E07CA" w:rsidRDefault="00A4752F" w:rsidP="006A0A79">
      <w:pPr>
        <w:rPr>
          <w:lang w:val="sv-SE"/>
        </w:rPr>
      </w:pPr>
    </w:p>
    <w:p w:rsidR="00A4752F" w:rsidRPr="001E07CA" w:rsidRDefault="00895923" w:rsidP="006A0A79">
      <w:pPr>
        <w:rPr>
          <w:lang w:val="sv-SE"/>
        </w:rPr>
      </w:pPr>
      <w:r w:rsidRPr="001E07CA">
        <w:rPr>
          <w:lang w:val="sv-SE"/>
        </w:rPr>
        <w:t>Bestämmels</w:t>
      </w:r>
      <w:r w:rsidR="00E956C7">
        <w:rPr>
          <w:lang w:val="sv-SE"/>
        </w:rPr>
        <w:t xml:space="preserve">er om </w:t>
      </w:r>
      <w:r w:rsidRPr="001E07CA">
        <w:rPr>
          <w:lang w:val="sv-SE"/>
        </w:rPr>
        <w:t>gasanordningar</w:t>
      </w:r>
      <w:r w:rsidR="00904F7C">
        <w:rPr>
          <w:lang w:val="sv-SE"/>
        </w:rPr>
        <w:t>nas drifttryck</w:t>
      </w:r>
      <w:bookmarkStart w:id="0" w:name="_GoBack"/>
      <w:bookmarkEnd w:id="0"/>
      <w:r w:rsidRPr="001E07CA">
        <w:rPr>
          <w:lang w:val="sv-SE"/>
        </w:rPr>
        <w:t xml:space="preserve"> och om variationerna i det samt om sammansättningen hos de gaser som </w:t>
      </w:r>
      <w:r w:rsidR="009034AC" w:rsidRPr="001E07CA">
        <w:rPr>
          <w:lang w:val="sv-SE"/>
        </w:rPr>
        <w:t xml:space="preserve">ska </w:t>
      </w:r>
      <w:r w:rsidRPr="001E07CA">
        <w:rPr>
          <w:lang w:val="sv-SE"/>
        </w:rPr>
        <w:t>förbränn</w:t>
      </w:r>
      <w:r w:rsidR="009034AC" w:rsidRPr="001E07CA">
        <w:rPr>
          <w:lang w:val="sv-SE"/>
        </w:rPr>
        <w:t>a</w:t>
      </w:r>
      <w:r w:rsidR="005546BA" w:rsidRPr="001E07CA">
        <w:rPr>
          <w:lang w:val="sv-SE"/>
        </w:rPr>
        <w:t>s i gasanordningarna och om gasanordningarnas andra</w:t>
      </w:r>
      <w:r w:rsidRPr="001E07CA">
        <w:rPr>
          <w:lang w:val="sv-SE"/>
        </w:rPr>
        <w:t xml:space="preserve"> egenskaper som är väsentliga med tanke på </w:t>
      </w:r>
      <w:r w:rsidR="00042333" w:rsidRPr="001E07CA">
        <w:rPr>
          <w:lang w:val="sv-SE"/>
        </w:rPr>
        <w:t xml:space="preserve">förbränningen och </w:t>
      </w:r>
      <w:r w:rsidRPr="001E07CA">
        <w:rPr>
          <w:lang w:val="sv-SE"/>
        </w:rPr>
        <w:t>gasanordningarnas funktion utfärdas separat genom förordning av statsrådet.</w:t>
      </w:r>
    </w:p>
    <w:p w:rsidR="006A0A79" w:rsidRPr="001E07CA" w:rsidRDefault="006A0A79" w:rsidP="006A0A79">
      <w:pPr>
        <w:rPr>
          <w:lang w:val="sv-SE"/>
        </w:rPr>
      </w:pPr>
    </w:p>
    <w:p w:rsidR="006A0A79" w:rsidRPr="001E07CA" w:rsidRDefault="00895923" w:rsidP="006A0A79">
      <w:pPr>
        <w:rPr>
          <w:lang w:val="sv-SE"/>
        </w:rPr>
      </w:pPr>
      <w:r w:rsidRPr="001E07CA">
        <w:rPr>
          <w:lang w:val="sv-SE"/>
        </w:rPr>
        <w:t xml:space="preserve">13 § </w:t>
      </w:r>
      <w:r w:rsidRPr="001E07CA">
        <w:rPr>
          <w:i/>
          <w:lang w:val="sv-SE"/>
        </w:rPr>
        <w:t>Delegationen för säkerhetsteknik</w:t>
      </w:r>
    </w:p>
    <w:p w:rsidR="006A0A79" w:rsidRPr="001E07CA" w:rsidRDefault="006A0A79" w:rsidP="006A0A79">
      <w:pPr>
        <w:rPr>
          <w:b/>
          <w:lang w:val="sv-SE"/>
        </w:rPr>
      </w:pPr>
    </w:p>
    <w:p w:rsidR="006A0A79" w:rsidRPr="001E07CA" w:rsidRDefault="00A23240" w:rsidP="006A0A79">
      <w:pPr>
        <w:rPr>
          <w:lang w:val="sv-SE"/>
        </w:rPr>
      </w:pPr>
      <w:r w:rsidRPr="001E07CA">
        <w:rPr>
          <w:lang w:val="sv-SE"/>
        </w:rPr>
        <w:t>I fråga om</w:t>
      </w:r>
      <w:r w:rsidR="00895923" w:rsidRPr="001E07CA">
        <w:rPr>
          <w:lang w:val="sv-SE"/>
        </w:rPr>
        <w:t xml:space="preserve"> utvecklingen och uppföljningen av bestämmelserna i denna lag bistås arbets- och näringsministeriet och Säkerhets- och kemikalieverket av delegationen för säkerhetsteknik, som statsrådet tillsätter för tre år i sänder.</w:t>
      </w:r>
    </w:p>
    <w:p w:rsidR="003F0BAB" w:rsidRPr="001E07CA" w:rsidRDefault="003F0BAB" w:rsidP="006A0A79">
      <w:pPr>
        <w:rPr>
          <w:lang w:val="sv-SE"/>
        </w:rPr>
      </w:pPr>
    </w:p>
    <w:p w:rsidR="006A0A79" w:rsidRPr="001E07CA" w:rsidRDefault="00895923" w:rsidP="006A0A79">
      <w:pPr>
        <w:rPr>
          <w:lang w:val="sv-SE"/>
        </w:rPr>
      </w:pPr>
      <w:r w:rsidRPr="001E07CA">
        <w:rPr>
          <w:lang w:val="sv-SE"/>
        </w:rPr>
        <w:t>Närmare bestämmelser om delegationens sammansättning och uppgifter utfärdas genom förordning av st</w:t>
      </w:r>
      <w:r w:rsidR="00017D0E" w:rsidRPr="001E07CA">
        <w:rPr>
          <w:lang w:val="sv-SE"/>
        </w:rPr>
        <w:t>atsrådet.</w:t>
      </w:r>
    </w:p>
    <w:p w:rsidR="006A0A79" w:rsidRPr="001E07CA" w:rsidRDefault="006A0A79" w:rsidP="006A0A79">
      <w:pPr>
        <w:rPr>
          <w:lang w:val="sv-SE"/>
        </w:rPr>
      </w:pPr>
    </w:p>
    <w:p w:rsidR="006A0A79" w:rsidRPr="001E07CA" w:rsidRDefault="00895923" w:rsidP="006A0A79">
      <w:pPr>
        <w:rPr>
          <w:lang w:val="sv-SE"/>
        </w:rPr>
      </w:pPr>
      <w:r w:rsidRPr="001E07CA">
        <w:rPr>
          <w:lang w:val="sv-SE"/>
        </w:rPr>
        <w:t xml:space="preserve">14 § </w:t>
      </w:r>
      <w:r w:rsidRPr="001E07CA">
        <w:rPr>
          <w:i/>
          <w:lang w:val="sv-SE"/>
        </w:rPr>
        <w:t>Ikraftträdande</w:t>
      </w:r>
    </w:p>
    <w:p w:rsidR="006A0A79" w:rsidRPr="001E07CA" w:rsidRDefault="006A0A79" w:rsidP="006A0A79">
      <w:pPr>
        <w:rPr>
          <w:b/>
          <w:lang w:val="sv-SE"/>
        </w:rPr>
      </w:pPr>
    </w:p>
    <w:p w:rsidR="006A0A79" w:rsidRPr="001E07CA" w:rsidRDefault="00895923" w:rsidP="006A0A79">
      <w:pPr>
        <w:rPr>
          <w:lang w:val="sv-SE"/>
        </w:rPr>
      </w:pPr>
      <w:r w:rsidRPr="001E07CA">
        <w:rPr>
          <w:lang w:val="sv-SE"/>
        </w:rPr>
        <w:t>Denna lag träder i kraft den 21 april 2018.</w:t>
      </w:r>
    </w:p>
    <w:p w:rsidR="006A0A79" w:rsidRPr="001E07CA" w:rsidRDefault="006A0A79" w:rsidP="006A0A79">
      <w:pPr>
        <w:rPr>
          <w:lang w:val="sv-SE"/>
        </w:rPr>
      </w:pPr>
    </w:p>
    <w:p w:rsidR="006A0A79" w:rsidRPr="001E07CA" w:rsidRDefault="00895923" w:rsidP="006A0A79">
      <w:pPr>
        <w:rPr>
          <w:lang w:val="sv-SE"/>
        </w:rPr>
      </w:pPr>
      <w:r w:rsidRPr="001E07CA">
        <w:rPr>
          <w:lang w:val="sv-SE"/>
        </w:rPr>
        <w:t>Genom denna lag upphävs 47 § i lagen om säkerhet vid hantering av farliga kemikalier och explosiva varor och gasanordningsförordningen (1434/1993).</w:t>
      </w:r>
    </w:p>
    <w:p w:rsidR="006A0A79" w:rsidRPr="001E07CA" w:rsidRDefault="006A0A79" w:rsidP="006A0A79">
      <w:pPr>
        <w:rPr>
          <w:lang w:val="sv-SE"/>
        </w:rPr>
      </w:pPr>
    </w:p>
    <w:p w:rsidR="006A0A79" w:rsidRPr="001E07CA" w:rsidRDefault="00895923" w:rsidP="006A0A79">
      <w:pPr>
        <w:rPr>
          <w:lang w:val="sv-SE"/>
        </w:rPr>
      </w:pPr>
      <w:r w:rsidRPr="001E07CA">
        <w:rPr>
          <w:lang w:val="sv-SE"/>
        </w:rPr>
        <w:t>Gasanordningar som släppts ut på marknaden före denna lags ikraftträdande och vars överensstämmelse med kraven har säkerställts i enlighet med bestämmelser som var i kraft vid ikraftträdandet av denna lag får ti</w:t>
      </w:r>
      <w:r w:rsidR="00774F18" w:rsidRPr="001E07CA">
        <w:rPr>
          <w:lang w:val="sv-SE"/>
        </w:rPr>
        <w:t xml:space="preserve">llhandahållas på marknaden </w:t>
      </w:r>
      <w:r w:rsidR="00BF2550" w:rsidRPr="001E07CA">
        <w:rPr>
          <w:lang w:val="sv-SE"/>
        </w:rPr>
        <w:t>efter</w:t>
      </w:r>
      <w:r w:rsidR="00774F18" w:rsidRPr="001E07CA">
        <w:rPr>
          <w:lang w:val="sv-SE"/>
        </w:rPr>
        <w:t xml:space="preserve"> </w:t>
      </w:r>
      <w:r w:rsidRPr="001E07CA">
        <w:rPr>
          <w:lang w:val="sv-SE"/>
        </w:rPr>
        <w:t>lagen</w:t>
      </w:r>
      <w:r w:rsidR="00BF2550" w:rsidRPr="001E07CA">
        <w:rPr>
          <w:lang w:val="sv-SE"/>
        </w:rPr>
        <w:t>s ikraftträdande</w:t>
      </w:r>
      <w:r w:rsidRPr="001E07CA">
        <w:rPr>
          <w:lang w:val="sv-SE"/>
        </w:rPr>
        <w:t>.</w:t>
      </w:r>
    </w:p>
    <w:p w:rsidR="006A0A79" w:rsidRPr="001E07CA" w:rsidRDefault="006A0A79" w:rsidP="006A0A79">
      <w:pPr>
        <w:rPr>
          <w:lang w:val="sv-SE"/>
        </w:rPr>
      </w:pPr>
    </w:p>
    <w:p w:rsidR="006A0A79" w:rsidRPr="001E07CA" w:rsidRDefault="00772603" w:rsidP="006A0A79">
      <w:pPr>
        <w:rPr>
          <w:lang w:val="sv-SE"/>
        </w:rPr>
      </w:pPr>
      <w:r w:rsidRPr="001E07CA">
        <w:rPr>
          <w:lang w:val="sv-SE"/>
        </w:rPr>
        <w:t>Den delegation</w:t>
      </w:r>
      <w:r w:rsidR="00A77A7E" w:rsidRPr="001E07CA">
        <w:rPr>
          <w:lang w:val="sv-SE"/>
        </w:rPr>
        <w:t xml:space="preserve"> för säkerhetsteknik som tillsatts före ikraftträdandet av denna lag fortsätter till mandatperiodens slut.</w:t>
      </w:r>
    </w:p>
    <w:p w:rsidR="006A0A79" w:rsidRPr="001E07CA" w:rsidRDefault="006A0A79" w:rsidP="006A0A79">
      <w:pPr>
        <w:rPr>
          <w:lang w:val="sv-SE"/>
        </w:rPr>
      </w:pPr>
    </w:p>
    <w:p w:rsidR="00565F42" w:rsidRPr="001E07CA" w:rsidRDefault="00565F42" w:rsidP="00565F42">
      <w:pPr>
        <w:rPr>
          <w:b/>
          <w:lang w:val="sv-SE"/>
        </w:rPr>
      </w:pPr>
      <w:r w:rsidRPr="001E07CA">
        <w:rPr>
          <w:lang w:val="sv-SE"/>
        </w:rPr>
        <w:br w:type="column"/>
      </w:r>
      <w:r w:rsidR="0061614D" w:rsidRPr="001E07CA">
        <w:rPr>
          <w:b/>
          <w:lang w:val="sv-SE"/>
        </w:rPr>
        <w:lastRenderedPageBreak/>
        <w:t>2.</w:t>
      </w:r>
    </w:p>
    <w:p w:rsidR="0061614D" w:rsidRPr="001E07CA" w:rsidRDefault="0061614D" w:rsidP="00565F42">
      <w:pPr>
        <w:rPr>
          <w:lang w:val="sv-SE"/>
        </w:rPr>
      </w:pPr>
    </w:p>
    <w:p w:rsidR="00565F42" w:rsidRPr="001E07CA" w:rsidRDefault="006C0215" w:rsidP="00565F42">
      <w:pPr>
        <w:rPr>
          <w:lang w:val="sv-SE"/>
        </w:rPr>
      </w:pPr>
      <w:r w:rsidRPr="001E07CA">
        <w:rPr>
          <w:b/>
          <w:lang w:val="sv-SE"/>
        </w:rPr>
        <w:t>Lag om ändring av 1 § i lagen om marknadskontrollen av vissa produkter</w:t>
      </w:r>
    </w:p>
    <w:p w:rsidR="00565F42" w:rsidRPr="001E07CA" w:rsidRDefault="00565F42" w:rsidP="00565F42">
      <w:pPr>
        <w:rPr>
          <w:lang w:val="sv-SE"/>
        </w:rPr>
      </w:pPr>
    </w:p>
    <w:p w:rsidR="00565F42" w:rsidRPr="001E07CA" w:rsidRDefault="00565F42" w:rsidP="00565F42">
      <w:pPr>
        <w:rPr>
          <w:lang w:val="sv-SE"/>
        </w:rPr>
      </w:pPr>
    </w:p>
    <w:p w:rsidR="00565F42" w:rsidRPr="001E07CA" w:rsidRDefault="006C0215" w:rsidP="00565F42">
      <w:pPr>
        <w:rPr>
          <w:lang w:val="sv-SE"/>
        </w:rPr>
      </w:pPr>
      <w:r w:rsidRPr="001E07CA">
        <w:rPr>
          <w:lang w:val="sv-SE"/>
        </w:rPr>
        <w:t>I enlighet med riksdagens beslut</w:t>
      </w:r>
    </w:p>
    <w:p w:rsidR="00565F42" w:rsidRPr="001E07CA" w:rsidRDefault="00565F42" w:rsidP="00565F42">
      <w:pPr>
        <w:rPr>
          <w:lang w:val="sv-SE"/>
        </w:rPr>
      </w:pPr>
    </w:p>
    <w:p w:rsidR="00565F42" w:rsidRPr="001E07CA" w:rsidRDefault="006C0215" w:rsidP="00565F42">
      <w:pPr>
        <w:rPr>
          <w:lang w:val="sv-SE"/>
        </w:rPr>
      </w:pPr>
      <w:r w:rsidRPr="001E07CA">
        <w:rPr>
          <w:i/>
          <w:lang w:val="sv-SE"/>
        </w:rPr>
        <w:t xml:space="preserve">ändras </w:t>
      </w:r>
      <w:r w:rsidRPr="001E07CA">
        <w:rPr>
          <w:lang w:val="sv-SE"/>
        </w:rPr>
        <w:t>i lagen om marknadskontrollen av vissa produkter (1137/2016) 1 § som följer:</w:t>
      </w:r>
    </w:p>
    <w:p w:rsidR="00565F42" w:rsidRPr="001E07CA" w:rsidRDefault="00565F42" w:rsidP="00565F42">
      <w:pPr>
        <w:rPr>
          <w:lang w:val="sv-SE"/>
        </w:rPr>
      </w:pPr>
    </w:p>
    <w:p w:rsidR="00565F42" w:rsidRPr="001E07CA" w:rsidRDefault="006C0215" w:rsidP="00565F42">
      <w:pPr>
        <w:rPr>
          <w:bCs/>
          <w:lang w:val="sv-SE"/>
        </w:rPr>
      </w:pPr>
      <w:r w:rsidRPr="001E07CA">
        <w:rPr>
          <w:bCs/>
          <w:lang w:val="sv-SE"/>
        </w:rPr>
        <w:t xml:space="preserve">1 § </w:t>
      </w:r>
      <w:r w:rsidRPr="001E07CA">
        <w:rPr>
          <w:bCs/>
          <w:i/>
          <w:lang w:val="sv-SE"/>
        </w:rPr>
        <w:t>Tillämpningsområde</w:t>
      </w:r>
    </w:p>
    <w:p w:rsidR="00565F42" w:rsidRPr="001E07CA" w:rsidRDefault="00565F42" w:rsidP="00565F42">
      <w:pPr>
        <w:rPr>
          <w:lang w:val="sv-SE"/>
        </w:rPr>
      </w:pPr>
    </w:p>
    <w:p w:rsidR="00565F42" w:rsidRPr="001E07CA" w:rsidRDefault="006C0215" w:rsidP="00565F42">
      <w:pPr>
        <w:rPr>
          <w:lang w:val="sv-SE"/>
        </w:rPr>
      </w:pPr>
      <w:r w:rsidRPr="001E07CA">
        <w:rPr>
          <w:lang w:val="sv-SE"/>
        </w:rPr>
        <w:t xml:space="preserve">Denna lag tillämpas på marknadskontrollen av de produkter som omfattas av tillämpningsområdet för hissäkerhetslagen (1134/2016), lagen om mätinstrument (707/2011), lagen om pyrotekniska artiklars överensstämmelse med kraven (180/2015), lagen om överensstämmelse med kraven för utrustning och säkerhetssystem som är avsedda för användning i explosionsfarliga omgivningar (1139/2016), lagen om tryckbärande anordningar (1144/2016), elsäkerhetslagen (1135/2016), lagen om explosiva varors överensstämmelse med kraven (1140/2016) och </w:t>
      </w:r>
      <w:r w:rsidR="00D8465B" w:rsidRPr="001E07CA">
        <w:rPr>
          <w:lang w:val="sv-SE"/>
        </w:rPr>
        <w:t>gasanordningslagen</w:t>
      </w:r>
      <w:r w:rsidRPr="001E07CA">
        <w:rPr>
          <w:lang w:val="sv-SE"/>
        </w:rPr>
        <w:t xml:space="preserve"> (xxx/2018), om inte något annat föreskrivs i de lagarna.</w:t>
      </w:r>
    </w:p>
    <w:p w:rsidR="00565F42" w:rsidRPr="001E07CA" w:rsidRDefault="00565F42" w:rsidP="00565F42">
      <w:pPr>
        <w:rPr>
          <w:lang w:val="sv-SE"/>
        </w:rPr>
      </w:pPr>
    </w:p>
    <w:p w:rsidR="00565F42" w:rsidRPr="001E07CA" w:rsidRDefault="006C0215" w:rsidP="00565F42">
      <w:pPr>
        <w:rPr>
          <w:lang w:val="sv-SE"/>
        </w:rPr>
      </w:pPr>
      <w:r w:rsidRPr="001E07CA">
        <w:rPr>
          <w:lang w:val="sv-SE"/>
        </w:rPr>
        <w:t xml:space="preserve">Lagen tillämpas dessutom på sådana åtgärder av kontrollmyndigheterna som gäller produkter som omfattas av tillämpningsområdet för de lagar som nämns i 1 mom. och som avses i artiklarna 27–29 i Europaparlamentets och rådets förordning (EG) nr 765/2008 om krav för ackreditering och marknadskontroll i samband med saluföring av produkter och upphävande av förordning (EEG) nr 339/93, nedan </w:t>
      </w:r>
      <w:r w:rsidRPr="001E07CA">
        <w:rPr>
          <w:i/>
          <w:iCs/>
          <w:lang w:val="sv-SE"/>
        </w:rPr>
        <w:t>NLF</w:t>
      </w:r>
      <w:r w:rsidRPr="001E07CA">
        <w:rPr>
          <w:lang w:val="sv-SE"/>
        </w:rPr>
        <w:t>-f</w:t>
      </w:r>
      <w:r w:rsidRPr="001E07CA">
        <w:rPr>
          <w:i/>
          <w:lang w:val="sv-SE"/>
        </w:rPr>
        <w:t>örordningen</w:t>
      </w:r>
      <w:r w:rsidRPr="001E07CA">
        <w:rPr>
          <w:lang w:val="sv-SE"/>
        </w:rPr>
        <w:t>, om inte något annat föreskrivs i de nämnda lagarna.</w:t>
      </w:r>
      <w:r w:rsidR="00565F42" w:rsidRPr="001E07CA">
        <w:rPr>
          <w:lang w:val="sv-SE"/>
        </w:rPr>
        <w:t xml:space="preserve"> </w:t>
      </w:r>
    </w:p>
    <w:p w:rsidR="00565F42" w:rsidRPr="001E07CA" w:rsidRDefault="00565F42" w:rsidP="00565F42">
      <w:pPr>
        <w:rPr>
          <w:lang w:val="sv-SE"/>
        </w:rPr>
      </w:pPr>
    </w:p>
    <w:p w:rsidR="00565F42" w:rsidRPr="001E07CA" w:rsidRDefault="00565F42" w:rsidP="00565F42">
      <w:pPr>
        <w:rPr>
          <w:lang w:val="sv-SE"/>
        </w:rPr>
      </w:pPr>
    </w:p>
    <w:p w:rsidR="00565F42" w:rsidRPr="001E07CA" w:rsidRDefault="00565F42" w:rsidP="00565F42">
      <w:pPr>
        <w:rPr>
          <w:lang w:val="sv-SE"/>
        </w:rPr>
      </w:pPr>
    </w:p>
    <w:p w:rsidR="00565F42" w:rsidRPr="001E07CA" w:rsidRDefault="006C0215" w:rsidP="00565F42">
      <w:pPr>
        <w:rPr>
          <w:lang w:val="sv-SE"/>
        </w:rPr>
      </w:pPr>
      <w:r w:rsidRPr="001E07CA">
        <w:rPr>
          <w:lang w:val="sv-SE"/>
        </w:rPr>
        <w:t>Denna lag träder i kraft den         2018.</w:t>
      </w:r>
    </w:p>
    <w:p w:rsidR="00565F42" w:rsidRPr="001E07CA" w:rsidRDefault="00565F42" w:rsidP="00565F42">
      <w:pPr>
        <w:rPr>
          <w:lang w:val="sv-SE"/>
        </w:rPr>
      </w:pPr>
    </w:p>
    <w:p w:rsidR="00565F42" w:rsidRPr="001E07CA" w:rsidRDefault="00565F42" w:rsidP="00565F42">
      <w:pPr>
        <w:rPr>
          <w:lang w:val="sv-SE"/>
        </w:rPr>
      </w:pPr>
    </w:p>
    <w:p w:rsidR="00565F42" w:rsidRPr="001E07CA" w:rsidRDefault="00565F42" w:rsidP="00565F42">
      <w:pPr>
        <w:rPr>
          <w:b/>
          <w:lang w:val="sv-SE"/>
        </w:rPr>
      </w:pPr>
      <w:r w:rsidRPr="001E07CA">
        <w:rPr>
          <w:lang w:val="sv-SE"/>
        </w:rPr>
        <w:br w:type="column"/>
      </w:r>
      <w:r w:rsidR="0061614D" w:rsidRPr="001E07CA">
        <w:rPr>
          <w:b/>
          <w:lang w:val="sv-SE"/>
        </w:rPr>
        <w:lastRenderedPageBreak/>
        <w:t xml:space="preserve">3. </w:t>
      </w:r>
    </w:p>
    <w:p w:rsidR="0061614D" w:rsidRPr="001E07CA" w:rsidRDefault="0061614D" w:rsidP="00565F42">
      <w:pPr>
        <w:rPr>
          <w:lang w:val="sv-SE"/>
        </w:rPr>
      </w:pPr>
    </w:p>
    <w:p w:rsidR="00565F42" w:rsidRPr="001E07CA" w:rsidRDefault="006C0215" w:rsidP="00565F42">
      <w:pPr>
        <w:rPr>
          <w:lang w:val="sv-SE"/>
        </w:rPr>
      </w:pPr>
      <w:r w:rsidRPr="001E07CA">
        <w:rPr>
          <w:b/>
          <w:lang w:val="sv-SE"/>
        </w:rPr>
        <w:t>Lag om ändring av 1 och 5 § i lagen om anmälda organ för vissa produktgrupper</w:t>
      </w:r>
    </w:p>
    <w:p w:rsidR="00565F42" w:rsidRPr="001E07CA" w:rsidRDefault="00565F42" w:rsidP="00565F42">
      <w:pPr>
        <w:rPr>
          <w:lang w:val="sv-SE"/>
        </w:rPr>
      </w:pPr>
    </w:p>
    <w:p w:rsidR="00565F42" w:rsidRPr="001E07CA" w:rsidRDefault="00565F42" w:rsidP="00565F42">
      <w:pPr>
        <w:rPr>
          <w:lang w:val="sv-SE"/>
        </w:rPr>
      </w:pPr>
    </w:p>
    <w:p w:rsidR="00565F42" w:rsidRPr="001E07CA" w:rsidRDefault="006C0215" w:rsidP="00565F42">
      <w:pPr>
        <w:rPr>
          <w:lang w:val="sv-SE"/>
        </w:rPr>
      </w:pPr>
      <w:r w:rsidRPr="001E07CA">
        <w:rPr>
          <w:lang w:val="sv-SE"/>
        </w:rPr>
        <w:t>I enlighet med riksdagens beslut</w:t>
      </w:r>
    </w:p>
    <w:p w:rsidR="00565F42" w:rsidRPr="001E07CA" w:rsidRDefault="00565F42" w:rsidP="00565F42">
      <w:pPr>
        <w:rPr>
          <w:lang w:val="sv-SE"/>
        </w:rPr>
      </w:pPr>
    </w:p>
    <w:p w:rsidR="00565F42" w:rsidRPr="001E07CA" w:rsidRDefault="00565F42" w:rsidP="00565F42">
      <w:pPr>
        <w:rPr>
          <w:lang w:val="sv-SE"/>
        </w:rPr>
      </w:pPr>
    </w:p>
    <w:p w:rsidR="00565F42" w:rsidRPr="001E07CA" w:rsidRDefault="006C0215" w:rsidP="00565F42">
      <w:pPr>
        <w:rPr>
          <w:lang w:val="sv-SE"/>
        </w:rPr>
      </w:pPr>
      <w:r w:rsidRPr="001E07CA">
        <w:rPr>
          <w:i/>
          <w:lang w:val="sv-SE"/>
        </w:rPr>
        <w:t xml:space="preserve">ändras </w:t>
      </w:r>
      <w:r w:rsidRPr="001E07CA">
        <w:rPr>
          <w:lang w:val="sv-SE"/>
        </w:rPr>
        <w:t>i lagen om anmälda organ för vissa produktgrupper (278/2016) 1 och 5 § som följer:</w:t>
      </w:r>
    </w:p>
    <w:p w:rsidR="00565F42" w:rsidRPr="001E07CA" w:rsidRDefault="00565F42" w:rsidP="00565F42">
      <w:pPr>
        <w:rPr>
          <w:lang w:val="sv-SE"/>
        </w:rPr>
      </w:pPr>
    </w:p>
    <w:p w:rsidR="00565F42" w:rsidRPr="001E07CA" w:rsidRDefault="006C0215" w:rsidP="00565F42">
      <w:pPr>
        <w:rPr>
          <w:bCs/>
          <w:lang w:val="sv-SE"/>
        </w:rPr>
      </w:pPr>
      <w:r w:rsidRPr="001E07CA">
        <w:rPr>
          <w:lang w:val="sv-SE"/>
        </w:rPr>
        <w:t xml:space="preserve">1 § </w:t>
      </w:r>
      <w:r w:rsidRPr="001E07CA">
        <w:rPr>
          <w:i/>
          <w:lang w:val="sv-SE"/>
        </w:rPr>
        <w:t>Tillämpningsområde</w:t>
      </w:r>
    </w:p>
    <w:p w:rsidR="00565F42" w:rsidRPr="001E07CA" w:rsidRDefault="00565F42" w:rsidP="00565F42">
      <w:pPr>
        <w:rPr>
          <w:lang w:val="sv-SE"/>
        </w:rPr>
      </w:pPr>
    </w:p>
    <w:p w:rsidR="00565F42" w:rsidRPr="001E07CA" w:rsidRDefault="006C0215" w:rsidP="00565F42">
      <w:pPr>
        <w:rPr>
          <w:lang w:val="sv-SE"/>
        </w:rPr>
      </w:pPr>
      <w:r w:rsidRPr="001E07CA">
        <w:rPr>
          <w:lang w:val="sv-SE"/>
        </w:rPr>
        <w:t xml:space="preserve">Denna lag innehåller bestämmelser om godkännande av organ för bedömning av överensstämmelse med kraven för produkter som omfattas av tillämpningsområdet för hissäkerhetslagen (1134/2016), </w:t>
      </w:r>
      <w:r w:rsidR="00701AA4" w:rsidRPr="001E07CA">
        <w:rPr>
          <w:lang w:val="sv-SE"/>
        </w:rPr>
        <w:t>gasanordningslagen</w:t>
      </w:r>
      <w:r w:rsidRPr="001E07CA">
        <w:rPr>
          <w:lang w:val="sv-SE"/>
        </w:rPr>
        <w:t xml:space="preserve"> (xxx/2018), lagen om mätinstrument (707/2011), lagen om tryckbärande anordningar (1144/2016), lagen om pyrotekniska artiklars överensstämmelse med kraven (180/2015), lagen om överensstämmelse med kraven för utrustning och säkerhetssystem som är avsedda för användning i explosionsfarliga omgivningar (1139/2016), lagen om explosiva varors överensstämmelse med kraven (1140/2016), elsäkerhetslagen (1135/2016) och 30 kap. i informationssamhällsbalken (917/2014) som anmälda organ och om de skyldigheter som gäller dessa organs verksamhet.</w:t>
      </w:r>
    </w:p>
    <w:p w:rsidR="00565F42" w:rsidRPr="001E07CA" w:rsidRDefault="00565F42" w:rsidP="00565F42">
      <w:pPr>
        <w:rPr>
          <w:lang w:val="sv-SE"/>
        </w:rPr>
      </w:pPr>
    </w:p>
    <w:p w:rsidR="00565F42" w:rsidRPr="001E07CA" w:rsidRDefault="006C0215" w:rsidP="00565F42">
      <w:pPr>
        <w:rPr>
          <w:lang w:val="sv-SE"/>
        </w:rPr>
      </w:pPr>
      <w:r w:rsidRPr="001E07CA">
        <w:rPr>
          <w:lang w:val="sv-SE"/>
        </w:rPr>
        <w:t xml:space="preserve">5 § </w:t>
      </w:r>
      <w:r w:rsidRPr="001E07CA">
        <w:rPr>
          <w:i/>
          <w:lang w:val="sv-SE"/>
        </w:rPr>
        <w:t>Behörig myndighet</w:t>
      </w:r>
      <w:r w:rsidR="00565F42" w:rsidRPr="001E07CA">
        <w:rPr>
          <w:lang w:val="sv-SE"/>
        </w:rPr>
        <w:t xml:space="preserve"> </w:t>
      </w:r>
    </w:p>
    <w:p w:rsidR="00565F42" w:rsidRPr="001E07CA" w:rsidRDefault="00565F42" w:rsidP="00565F42">
      <w:pPr>
        <w:rPr>
          <w:lang w:val="sv-SE"/>
        </w:rPr>
      </w:pPr>
      <w:r w:rsidRPr="001E07CA">
        <w:rPr>
          <w:lang w:val="sv-SE"/>
        </w:rPr>
        <w:t xml:space="preserve"> </w:t>
      </w:r>
    </w:p>
    <w:p w:rsidR="00565F42" w:rsidRPr="001E07CA" w:rsidRDefault="006C0215" w:rsidP="00565F42">
      <w:pPr>
        <w:rPr>
          <w:lang w:val="sv-SE"/>
        </w:rPr>
      </w:pPr>
      <w:r w:rsidRPr="001E07CA">
        <w:rPr>
          <w:lang w:val="sv-SE"/>
        </w:rPr>
        <w:t xml:space="preserve">Arbets- och näringsministeriet är behörig myndighet, om ansökan gäller att till anmälda organ utse organ för bedömning av sådana produkters överensstämmelse med kraven som omfattas av tillämpningsområdet för hissäkerhetslagen, </w:t>
      </w:r>
      <w:r w:rsidR="004D1888" w:rsidRPr="001E07CA">
        <w:rPr>
          <w:lang w:val="sv-SE"/>
        </w:rPr>
        <w:t>gasanordningslagen</w:t>
      </w:r>
      <w:r w:rsidRPr="001E07CA">
        <w:rPr>
          <w:lang w:val="sv-SE"/>
        </w:rPr>
        <w:t>, lagen om mätinstrument, lagen om tryckbärande anordningar, lagen om pyrotekniska artiklars överensstämmelse med kraven, lagen om överensstämmelse med kraven för utrustning och säkerhetssystem som är avsedda för användning i explosionsfarliga omgivningar, lagen om explosiva varors överensstämmelse m</w:t>
      </w:r>
      <w:r w:rsidR="00034709" w:rsidRPr="001E07CA">
        <w:rPr>
          <w:lang w:val="sv-SE"/>
        </w:rPr>
        <w:t>ed kraven och elsäkerhetslagen.</w:t>
      </w:r>
      <w:r w:rsidR="00565F42" w:rsidRPr="001E07CA">
        <w:rPr>
          <w:lang w:val="sv-SE"/>
        </w:rPr>
        <w:t xml:space="preserve"> </w:t>
      </w:r>
    </w:p>
    <w:p w:rsidR="00565F42" w:rsidRPr="001E07CA" w:rsidRDefault="00565F42" w:rsidP="00565F42">
      <w:pPr>
        <w:rPr>
          <w:lang w:val="sv-SE"/>
        </w:rPr>
      </w:pPr>
      <w:r w:rsidRPr="001E07CA">
        <w:rPr>
          <w:lang w:val="sv-SE"/>
        </w:rPr>
        <w:t xml:space="preserve"> </w:t>
      </w:r>
    </w:p>
    <w:p w:rsidR="00565F42" w:rsidRPr="001E07CA" w:rsidRDefault="006C0215" w:rsidP="00565F42">
      <w:pPr>
        <w:rPr>
          <w:lang w:val="sv-SE"/>
        </w:rPr>
      </w:pPr>
      <w:r w:rsidRPr="001E07CA">
        <w:rPr>
          <w:lang w:val="sv-SE"/>
        </w:rPr>
        <w:t>Kommunikationsverket är behörig myndighet, om ansökan gäller att till anmälda organ utse organ för bedömning av överensstämmelse för produkter som hör till tillämpningsområdet för informationssamhällsbalken.</w:t>
      </w:r>
      <w:r w:rsidR="00565F42" w:rsidRPr="001E07CA">
        <w:rPr>
          <w:lang w:val="sv-SE"/>
        </w:rPr>
        <w:t xml:space="preserve"> </w:t>
      </w:r>
    </w:p>
    <w:p w:rsidR="00565F42" w:rsidRPr="001E07CA" w:rsidRDefault="00565F42" w:rsidP="00565F42">
      <w:pPr>
        <w:rPr>
          <w:lang w:val="sv-SE"/>
        </w:rPr>
      </w:pPr>
    </w:p>
    <w:p w:rsidR="00565F42" w:rsidRPr="001E07CA" w:rsidRDefault="006C0215" w:rsidP="00565F42">
      <w:pPr>
        <w:rPr>
          <w:lang w:val="sv-SE"/>
        </w:rPr>
      </w:pPr>
      <w:r w:rsidRPr="001E07CA">
        <w:rPr>
          <w:lang w:val="sv-SE"/>
        </w:rPr>
        <w:t>De behöriga myndigheterna övervakar de anmälda organ som de har godkänt.</w:t>
      </w:r>
    </w:p>
    <w:p w:rsidR="00565F42" w:rsidRPr="001E07CA" w:rsidRDefault="00565F42" w:rsidP="00565F42">
      <w:pPr>
        <w:rPr>
          <w:lang w:val="sv-SE"/>
        </w:rPr>
      </w:pPr>
    </w:p>
    <w:p w:rsidR="00565F42" w:rsidRPr="001E07CA" w:rsidRDefault="00565F42" w:rsidP="00565F42">
      <w:pPr>
        <w:rPr>
          <w:lang w:val="sv-SE"/>
        </w:rPr>
      </w:pPr>
    </w:p>
    <w:p w:rsidR="00565F42" w:rsidRPr="001E07CA" w:rsidRDefault="00565F42" w:rsidP="00565F42">
      <w:pPr>
        <w:rPr>
          <w:lang w:val="sv-SE"/>
        </w:rPr>
      </w:pPr>
    </w:p>
    <w:p w:rsidR="00565F42" w:rsidRPr="001E07CA" w:rsidRDefault="006C0215" w:rsidP="00565F42">
      <w:pPr>
        <w:rPr>
          <w:lang w:val="sv-SE"/>
        </w:rPr>
      </w:pPr>
      <w:r w:rsidRPr="001E07CA">
        <w:rPr>
          <w:lang w:val="sv-SE"/>
        </w:rPr>
        <w:t>Denna lag träder i kraft den     2018.</w:t>
      </w:r>
    </w:p>
    <w:p w:rsidR="00565F42" w:rsidRPr="001E07CA" w:rsidRDefault="00565F42" w:rsidP="00565F42">
      <w:pPr>
        <w:rPr>
          <w:lang w:val="sv-SE"/>
        </w:rPr>
      </w:pPr>
    </w:p>
    <w:p w:rsidR="00565F42" w:rsidRPr="001E07CA" w:rsidRDefault="00565F42" w:rsidP="00565F42">
      <w:pPr>
        <w:rPr>
          <w:lang w:val="sv-SE"/>
        </w:rPr>
      </w:pPr>
    </w:p>
    <w:p w:rsidR="00565F42" w:rsidRPr="001E07CA" w:rsidRDefault="00565F42" w:rsidP="00565F42">
      <w:pPr>
        <w:rPr>
          <w:b/>
          <w:lang w:val="sv-SE"/>
        </w:rPr>
      </w:pPr>
      <w:r w:rsidRPr="001E07CA">
        <w:rPr>
          <w:lang w:val="sv-SE"/>
        </w:rPr>
        <w:br w:type="column"/>
      </w:r>
      <w:r w:rsidR="0061614D" w:rsidRPr="001E07CA">
        <w:rPr>
          <w:b/>
          <w:lang w:val="sv-SE"/>
        </w:rPr>
        <w:lastRenderedPageBreak/>
        <w:t xml:space="preserve">4. </w:t>
      </w:r>
    </w:p>
    <w:p w:rsidR="0061614D" w:rsidRPr="001E07CA" w:rsidRDefault="0061614D" w:rsidP="00565F42">
      <w:pPr>
        <w:rPr>
          <w:lang w:val="sv-SE"/>
        </w:rPr>
      </w:pPr>
    </w:p>
    <w:p w:rsidR="00565F42" w:rsidRPr="001E07CA" w:rsidRDefault="006C0215" w:rsidP="00565F42">
      <w:pPr>
        <w:rPr>
          <w:lang w:val="sv-SE"/>
        </w:rPr>
      </w:pPr>
      <w:r w:rsidRPr="001E07CA">
        <w:rPr>
          <w:b/>
          <w:lang w:val="sv-SE"/>
        </w:rPr>
        <w:t>Lag om ändring av lagen om säkerhet vid hantering av farliga kemikalier och explosiva varor</w:t>
      </w:r>
    </w:p>
    <w:p w:rsidR="00565F42" w:rsidRPr="001E07CA" w:rsidRDefault="00565F42" w:rsidP="00565F42">
      <w:pPr>
        <w:rPr>
          <w:lang w:val="sv-SE"/>
        </w:rPr>
      </w:pPr>
    </w:p>
    <w:p w:rsidR="00565F42" w:rsidRPr="001E07CA" w:rsidRDefault="00565F42" w:rsidP="00565F42">
      <w:pPr>
        <w:rPr>
          <w:lang w:val="sv-SE"/>
        </w:rPr>
      </w:pPr>
    </w:p>
    <w:p w:rsidR="00565F42" w:rsidRPr="001E07CA" w:rsidRDefault="006C0215" w:rsidP="00565F42">
      <w:pPr>
        <w:rPr>
          <w:lang w:val="sv-SE"/>
        </w:rPr>
      </w:pPr>
      <w:r w:rsidRPr="001E07CA">
        <w:rPr>
          <w:lang w:val="sv-SE"/>
        </w:rPr>
        <w:t>I enlighet med riksdagens beslut</w:t>
      </w:r>
    </w:p>
    <w:p w:rsidR="00565F42" w:rsidRPr="001E07CA" w:rsidRDefault="00565F42" w:rsidP="00565F42">
      <w:pPr>
        <w:rPr>
          <w:lang w:val="sv-SE"/>
        </w:rPr>
      </w:pPr>
    </w:p>
    <w:p w:rsidR="00565F42" w:rsidRPr="001E07CA" w:rsidRDefault="006C0215" w:rsidP="00565F42">
      <w:pPr>
        <w:rPr>
          <w:lang w:val="sv-SE"/>
        </w:rPr>
      </w:pPr>
      <w:r w:rsidRPr="001E07CA">
        <w:rPr>
          <w:i/>
          <w:lang w:val="sv-SE"/>
        </w:rPr>
        <w:t xml:space="preserve">upphävs </w:t>
      </w:r>
      <w:r w:rsidRPr="001E07CA">
        <w:rPr>
          <w:lang w:val="sv-SE"/>
        </w:rPr>
        <w:t>i lagen om säkerhet vid hantering av farliga kemikalier och explosiva varor (390/2005) 47 § och</w:t>
      </w:r>
    </w:p>
    <w:p w:rsidR="00565F42" w:rsidRPr="001E07CA" w:rsidRDefault="00565F42" w:rsidP="00565F42">
      <w:pPr>
        <w:rPr>
          <w:lang w:val="sv-SE"/>
        </w:rPr>
      </w:pPr>
    </w:p>
    <w:p w:rsidR="00565F42" w:rsidRPr="001E07CA" w:rsidRDefault="006C0215" w:rsidP="00565F42">
      <w:pPr>
        <w:rPr>
          <w:lang w:val="sv-SE"/>
        </w:rPr>
      </w:pPr>
      <w:r w:rsidRPr="001E07CA">
        <w:rPr>
          <w:i/>
          <w:lang w:val="sv-SE"/>
        </w:rPr>
        <w:t>ändras</w:t>
      </w:r>
      <w:r w:rsidRPr="001E07CA">
        <w:rPr>
          <w:lang w:val="sv-SE"/>
        </w:rPr>
        <w:t xml:space="preserve"> 50 § 1 mom., 51 § 1 mom., 52 § 1 mom. och 125 § 1 mom. punkten 5 punkten, av dem 50 § 1 </w:t>
      </w:r>
      <w:r w:rsidR="007B7DCD" w:rsidRPr="001E07CA">
        <w:rPr>
          <w:lang w:val="sv-SE"/>
        </w:rPr>
        <w:t xml:space="preserve">mom. </w:t>
      </w:r>
      <w:r w:rsidRPr="001E07CA">
        <w:rPr>
          <w:lang w:val="sv-SE"/>
        </w:rPr>
        <w:t>och 52 § 1 mom. sådana de lyder i lag (1142/2016) och 125 § 1 mom. 5 punkten i lag 358/2015, som följer:</w:t>
      </w:r>
    </w:p>
    <w:p w:rsidR="00565F42" w:rsidRPr="001E07CA" w:rsidRDefault="00565F42" w:rsidP="00565F42">
      <w:pPr>
        <w:rPr>
          <w:lang w:val="sv-SE"/>
        </w:rPr>
      </w:pPr>
    </w:p>
    <w:p w:rsidR="00565F42" w:rsidRPr="001E07CA" w:rsidRDefault="006C0215" w:rsidP="00565F42">
      <w:pPr>
        <w:rPr>
          <w:lang w:val="sv-SE"/>
        </w:rPr>
      </w:pPr>
      <w:r w:rsidRPr="001E07CA">
        <w:rPr>
          <w:lang w:val="sv-SE"/>
        </w:rPr>
        <w:t xml:space="preserve">50 § </w:t>
      </w:r>
      <w:r w:rsidRPr="001E07CA">
        <w:rPr>
          <w:i/>
          <w:lang w:val="sv-SE"/>
        </w:rPr>
        <w:t>Visande av överensstämmelse med kraven</w:t>
      </w:r>
    </w:p>
    <w:p w:rsidR="00565F42" w:rsidRPr="001E07CA" w:rsidRDefault="00565F42" w:rsidP="00565F42">
      <w:pPr>
        <w:rPr>
          <w:lang w:val="sv-SE"/>
        </w:rPr>
      </w:pPr>
    </w:p>
    <w:p w:rsidR="00565F42" w:rsidRPr="001E07CA" w:rsidRDefault="006C0215" w:rsidP="00565F42">
      <w:pPr>
        <w:rPr>
          <w:lang w:val="sv-SE"/>
        </w:rPr>
      </w:pPr>
      <w:r w:rsidRPr="001E07CA">
        <w:rPr>
          <w:lang w:val="sv-SE"/>
        </w:rPr>
        <w:t>Den som på marknaden släpper ut en sådan produkt som avses i 48 och 49 § ska försäkra sig om och visa att produkten uppfyller de krav som gäller den.</w:t>
      </w:r>
      <w:r w:rsidR="00565F42" w:rsidRPr="001E07CA">
        <w:rPr>
          <w:lang w:val="sv-SE"/>
        </w:rPr>
        <w:t xml:space="preserve"> </w:t>
      </w:r>
      <w:r w:rsidRPr="001E07CA">
        <w:rPr>
          <w:lang w:val="sv-SE"/>
        </w:rPr>
        <w:t>Vid bedömningen av överensstämmelse med kraven ska ett besiktningsorgan som avses i 100 § anlitas när produktens egenskaper och användningsändamål kräver detta.</w:t>
      </w:r>
    </w:p>
    <w:p w:rsidR="00565F42" w:rsidRPr="001E07CA" w:rsidRDefault="00565F42" w:rsidP="00565F42">
      <w:pPr>
        <w:rPr>
          <w:lang w:val="sv-SE"/>
        </w:rPr>
      </w:pPr>
      <w:r w:rsidRPr="001E07CA">
        <w:rPr>
          <w:lang w:val="sv-SE"/>
        </w:rPr>
        <w:t>----------------</w:t>
      </w:r>
    </w:p>
    <w:p w:rsidR="00565F42" w:rsidRPr="001E07CA" w:rsidRDefault="00565F42" w:rsidP="00565F42">
      <w:pPr>
        <w:rPr>
          <w:lang w:val="sv-SE"/>
        </w:rPr>
      </w:pPr>
    </w:p>
    <w:p w:rsidR="00565F42" w:rsidRPr="001E07CA" w:rsidRDefault="006C0215" w:rsidP="00565F42">
      <w:pPr>
        <w:rPr>
          <w:lang w:val="sv-SE"/>
        </w:rPr>
      </w:pPr>
      <w:r w:rsidRPr="001E07CA">
        <w:rPr>
          <w:lang w:val="sv-SE"/>
        </w:rPr>
        <w:t xml:space="preserve">51 § </w:t>
      </w:r>
      <w:r w:rsidRPr="001E07CA">
        <w:rPr>
          <w:i/>
          <w:lang w:val="sv-SE"/>
        </w:rPr>
        <w:t>Anvisningar och märkningar</w:t>
      </w:r>
    </w:p>
    <w:p w:rsidR="00565F42" w:rsidRPr="001E07CA" w:rsidRDefault="00565F42" w:rsidP="00565F42">
      <w:pPr>
        <w:rPr>
          <w:lang w:val="sv-SE"/>
        </w:rPr>
      </w:pPr>
    </w:p>
    <w:p w:rsidR="00565F42" w:rsidRPr="001E07CA" w:rsidRDefault="006C0215" w:rsidP="00565F42">
      <w:pPr>
        <w:rPr>
          <w:lang w:val="sv-SE"/>
        </w:rPr>
      </w:pPr>
      <w:r w:rsidRPr="001E07CA">
        <w:rPr>
          <w:lang w:val="sv-SE"/>
        </w:rPr>
        <w:t>Den som på marknaden släpper ut en produkt som avses i 48 och 49 § ska se till att med produkten följer de uppgifter och anvisningar som förutsätts för att produkten ska kunna installeras, tas i bruk, användas och underhållas på ett säkert sätt.</w:t>
      </w:r>
    </w:p>
    <w:p w:rsidR="00565F42" w:rsidRPr="001E07CA" w:rsidRDefault="00565F42" w:rsidP="00565F42">
      <w:pPr>
        <w:rPr>
          <w:lang w:val="sv-SE"/>
        </w:rPr>
      </w:pPr>
      <w:r w:rsidRPr="001E07CA">
        <w:rPr>
          <w:lang w:val="sv-SE"/>
        </w:rPr>
        <w:t>----------------</w:t>
      </w:r>
    </w:p>
    <w:p w:rsidR="00565F42" w:rsidRPr="001E07CA" w:rsidRDefault="00565F42" w:rsidP="00565F42">
      <w:pPr>
        <w:rPr>
          <w:lang w:val="sv-SE"/>
        </w:rPr>
      </w:pPr>
    </w:p>
    <w:p w:rsidR="00565F42" w:rsidRPr="001E07CA" w:rsidRDefault="006C0215" w:rsidP="00565F42">
      <w:pPr>
        <w:rPr>
          <w:lang w:val="sv-SE"/>
        </w:rPr>
      </w:pPr>
      <w:r w:rsidRPr="001E07CA">
        <w:rPr>
          <w:lang w:val="sv-SE"/>
        </w:rPr>
        <w:t xml:space="preserve">52 § </w:t>
      </w:r>
      <w:r w:rsidRPr="001E07CA">
        <w:rPr>
          <w:i/>
          <w:lang w:val="sv-SE"/>
        </w:rPr>
        <w:t>Bemyndigande att utfärda förordning om produkter som är förknippade med farliga kemikalier</w:t>
      </w:r>
    </w:p>
    <w:p w:rsidR="00565F42" w:rsidRPr="001E07CA" w:rsidRDefault="00565F42" w:rsidP="00565F42">
      <w:pPr>
        <w:rPr>
          <w:lang w:val="sv-SE"/>
        </w:rPr>
      </w:pPr>
    </w:p>
    <w:p w:rsidR="00565F42" w:rsidRPr="001E07CA" w:rsidRDefault="006C0215" w:rsidP="00565F42">
      <w:pPr>
        <w:rPr>
          <w:lang w:val="sv-SE"/>
        </w:rPr>
      </w:pPr>
      <w:r w:rsidRPr="001E07CA">
        <w:rPr>
          <w:lang w:val="sv-SE"/>
        </w:rPr>
        <w:t>Genom förordning av statsrådet utfärdas det i fråga om de produkter som avses i 48 och 49 § närmare bestämmelser om detaljerade säkerhetskrav, visande av överensstämmelse med kraven och anlitande av besiktningsorgan vid bedömningen av överensstämmelsen med kraven, märkningar av produkter samt de anvisningar och uppgifter som ska följa med produkterna.</w:t>
      </w:r>
    </w:p>
    <w:p w:rsidR="00565F42" w:rsidRPr="001E07CA" w:rsidRDefault="00565F42" w:rsidP="00565F42">
      <w:pPr>
        <w:rPr>
          <w:lang w:val="sv-SE"/>
        </w:rPr>
      </w:pPr>
      <w:r w:rsidRPr="001E07CA">
        <w:rPr>
          <w:lang w:val="sv-SE"/>
        </w:rPr>
        <w:t>---------------</w:t>
      </w:r>
    </w:p>
    <w:p w:rsidR="00565F42" w:rsidRPr="001E07CA" w:rsidRDefault="00565F42" w:rsidP="00565F42">
      <w:pPr>
        <w:rPr>
          <w:lang w:val="sv-SE"/>
        </w:rPr>
      </w:pPr>
    </w:p>
    <w:p w:rsidR="00565F42" w:rsidRPr="001E07CA" w:rsidRDefault="006C0215" w:rsidP="00565F42">
      <w:pPr>
        <w:rPr>
          <w:lang w:val="sv-SE"/>
        </w:rPr>
      </w:pPr>
      <w:r w:rsidRPr="001E07CA">
        <w:rPr>
          <w:lang w:val="sv-SE"/>
        </w:rPr>
        <w:t xml:space="preserve">125 § </w:t>
      </w:r>
      <w:r w:rsidRPr="001E07CA">
        <w:rPr>
          <w:i/>
          <w:lang w:val="sv-SE"/>
        </w:rPr>
        <w:t>Brott mot bestämmelserna om explosiva varor</w:t>
      </w:r>
    </w:p>
    <w:p w:rsidR="008A0857" w:rsidRPr="001E07CA" w:rsidRDefault="008A0857" w:rsidP="00565F42">
      <w:pPr>
        <w:rPr>
          <w:lang w:val="sv-SE"/>
        </w:rPr>
      </w:pPr>
    </w:p>
    <w:p w:rsidR="008A0857" w:rsidRPr="001E07CA" w:rsidRDefault="006C0215" w:rsidP="00565F42">
      <w:pPr>
        <w:rPr>
          <w:lang w:val="sv-SE"/>
        </w:rPr>
      </w:pPr>
      <w:r w:rsidRPr="001E07CA">
        <w:rPr>
          <w:lang w:val="sv-SE"/>
        </w:rPr>
        <w:t>Den som uppsåtligen eller av oaktsamhet i strid med denna lag eller en bestämmelse som utfärdats med stöd av den bryter mot</w:t>
      </w:r>
    </w:p>
    <w:p w:rsidR="00565F42" w:rsidRPr="001E07CA" w:rsidRDefault="00565F42" w:rsidP="00565F42">
      <w:pPr>
        <w:rPr>
          <w:lang w:val="sv-SE"/>
        </w:rPr>
      </w:pPr>
      <w:r w:rsidRPr="001E07CA">
        <w:rPr>
          <w:lang w:val="sv-SE"/>
        </w:rPr>
        <w:t>-----------------</w:t>
      </w:r>
    </w:p>
    <w:p w:rsidR="00565F42" w:rsidRPr="001E07CA" w:rsidRDefault="006C0215" w:rsidP="00565F42">
      <w:pPr>
        <w:rPr>
          <w:lang w:val="sv-SE"/>
        </w:rPr>
      </w:pPr>
      <w:r w:rsidRPr="001E07CA">
        <w:rPr>
          <w:lang w:val="sv-SE"/>
        </w:rPr>
        <w:t>5) skyldigheten enligt 5 kap. som gäller tillverkning, import eller utsläppande på marknaden av en produkt som avses i 48 och 49 § eller motsvarande skyldighet enligt 67–69 eller 69 a § som gäller explosiva varor,</w:t>
      </w:r>
    </w:p>
    <w:p w:rsidR="00565F42" w:rsidRPr="001E07CA" w:rsidRDefault="00565F42" w:rsidP="00565F42">
      <w:pPr>
        <w:rPr>
          <w:lang w:val="sv-SE"/>
        </w:rPr>
      </w:pPr>
      <w:r w:rsidRPr="001E07CA">
        <w:rPr>
          <w:lang w:val="sv-SE"/>
        </w:rPr>
        <w:t>----------------</w:t>
      </w:r>
    </w:p>
    <w:p w:rsidR="00565F42" w:rsidRPr="001E07CA" w:rsidRDefault="00565F42" w:rsidP="00565F42">
      <w:pPr>
        <w:rPr>
          <w:lang w:val="sv-SE"/>
        </w:rPr>
      </w:pPr>
    </w:p>
    <w:p w:rsidR="00565F42" w:rsidRPr="001E07CA" w:rsidRDefault="00521EB2" w:rsidP="00565F42">
      <w:pPr>
        <w:rPr>
          <w:lang w:val="sv-SE"/>
        </w:rPr>
      </w:pPr>
      <w:r w:rsidRPr="001E07CA">
        <w:rPr>
          <w:lang w:val="sv-SE"/>
        </w:rPr>
        <w:t>Denna lag träder i kraft den   2018.</w:t>
      </w:r>
    </w:p>
    <w:p w:rsidR="00565F42" w:rsidRPr="001E07CA" w:rsidRDefault="00565F42" w:rsidP="00565F42">
      <w:pPr>
        <w:rPr>
          <w:lang w:val="sv-SE"/>
        </w:rPr>
      </w:pPr>
    </w:p>
    <w:p w:rsidR="00957522" w:rsidRPr="001E07CA" w:rsidRDefault="00957522" w:rsidP="00957522">
      <w:pPr>
        <w:rPr>
          <w:b/>
          <w:lang w:val="sv-SE"/>
        </w:rPr>
      </w:pPr>
      <w:r w:rsidRPr="001E07CA">
        <w:rPr>
          <w:lang w:val="sv-SE"/>
        </w:rPr>
        <w:br w:type="column"/>
      </w:r>
      <w:r w:rsidR="00D93CCC">
        <w:rPr>
          <w:lang w:val="sv-SE"/>
        </w:rPr>
        <w:lastRenderedPageBreak/>
        <w:t>[</w:t>
      </w:r>
      <w:r w:rsidR="000C5E88" w:rsidRPr="001E07CA">
        <w:rPr>
          <w:b/>
          <w:lang w:val="sv-SE"/>
        </w:rPr>
        <w:t>Regeringens proposition till riksdagen med förslag till lag om gasanordningars överensstämmelse med kraven och till vissa lagar som har samband med den</w:t>
      </w:r>
      <w:r w:rsidRPr="001E07CA">
        <w:rPr>
          <w:b/>
          <w:lang w:val="sv-SE"/>
        </w:rPr>
        <w:t xml:space="preserve"> </w:t>
      </w:r>
      <w:r w:rsidR="00D93CCC">
        <w:rPr>
          <w:b/>
          <w:lang w:val="sv-SE"/>
        </w:rPr>
        <w:t>]</w:t>
      </w:r>
    </w:p>
    <w:p w:rsidR="00957522" w:rsidRPr="001E07CA" w:rsidRDefault="000C5E88" w:rsidP="00957522">
      <w:pPr>
        <w:ind w:left="5216"/>
        <w:rPr>
          <w:lang w:val="sv-SE"/>
        </w:rPr>
      </w:pPr>
      <w:r w:rsidRPr="001E07CA">
        <w:rPr>
          <w:lang w:val="sv-SE"/>
        </w:rPr>
        <w:t xml:space="preserve">Bilaga </w:t>
      </w:r>
      <w:r w:rsidR="00FF3E71">
        <w:rPr>
          <w:lang w:val="sv-SE"/>
        </w:rPr>
        <w:tab/>
      </w:r>
      <w:r w:rsidR="00FF3E71">
        <w:rPr>
          <w:lang w:val="sv-SE"/>
        </w:rPr>
        <w:tab/>
      </w:r>
      <w:r w:rsidRPr="001E07CA">
        <w:rPr>
          <w:lang w:val="sv-SE"/>
        </w:rPr>
        <w:t>Parallelltexter</w:t>
      </w:r>
    </w:p>
    <w:p w:rsidR="00957522" w:rsidRPr="001E07CA" w:rsidRDefault="00957522" w:rsidP="00957522">
      <w:pPr>
        <w:rPr>
          <w:lang w:val="sv-SE"/>
        </w:rPr>
      </w:pPr>
    </w:p>
    <w:p w:rsidR="00957522" w:rsidRPr="001E07CA" w:rsidRDefault="00957522" w:rsidP="00957522">
      <w:pPr>
        <w:rPr>
          <w:lang w:val="sv-SE"/>
        </w:rPr>
      </w:pPr>
    </w:p>
    <w:p w:rsidR="00957522" w:rsidRPr="001E07CA" w:rsidRDefault="00957522" w:rsidP="00957522">
      <w:pPr>
        <w:rPr>
          <w:lang w:val="sv-SE"/>
        </w:rPr>
      </w:pPr>
    </w:p>
    <w:p w:rsidR="00957522" w:rsidRPr="001E07CA" w:rsidRDefault="00FF3E71" w:rsidP="00957522">
      <w:pPr>
        <w:rPr>
          <w:lang w:val="sv-SE"/>
        </w:rPr>
      </w:pPr>
      <w:r w:rsidRPr="00FF3E71">
        <w:rPr>
          <w:b/>
          <w:sz w:val="28"/>
          <w:szCs w:val="28"/>
          <w:lang w:val="sv-SE"/>
        </w:rPr>
        <w:t>2.</w:t>
      </w:r>
      <w:r>
        <w:rPr>
          <w:b/>
          <w:lang w:val="sv-SE"/>
        </w:rPr>
        <w:t xml:space="preserve"> </w:t>
      </w:r>
      <w:r w:rsidR="000C5E88" w:rsidRPr="001E07CA">
        <w:rPr>
          <w:b/>
          <w:lang w:val="sv-SE"/>
        </w:rPr>
        <w:t>Lag om ändring av 1 § i lagen om marknadskontrollen av vissa produkter</w:t>
      </w:r>
    </w:p>
    <w:p w:rsidR="00957522" w:rsidRPr="001E07CA" w:rsidRDefault="00957522" w:rsidP="00957522">
      <w:pPr>
        <w:rPr>
          <w:lang w:val="sv-SE"/>
        </w:rPr>
      </w:pPr>
    </w:p>
    <w:p w:rsidR="00957522" w:rsidRPr="001E07CA" w:rsidRDefault="00957522" w:rsidP="00957522">
      <w:pPr>
        <w:rPr>
          <w:lang w:val="sv-SE"/>
        </w:rPr>
      </w:pPr>
    </w:p>
    <w:p w:rsidR="00957522" w:rsidRPr="001E07CA" w:rsidRDefault="000C5E88" w:rsidP="00957522">
      <w:pPr>
        <w:rPr>
          <w:lang w:val="sv-SE"/>
        </w:rPr>
      </w:pPr>
      <w:r w:rsidRPr="001E07CA">
        <w:rPr>
          <w:lang w:val="sv-SE"/>
        </w:rPr>
        <w:t>I enlighet med riksdagens beslut</w:t>
      </w:r>
    </w:p>
    <w:p w:rsidR="00957522" w:rsidRPr="001E07CA" w:rsidRDefault="00957522" w:rsidP="00957522">
      <w:pPr>
        <w:rPr>
          <w:lang w:val="sv-SE"/>
        </w:rPr>
      </w:pPr>
    </w:p>
    <w:p w:rsidR="00957522" w:rsidRPr="001E07CA" w:rsidRDefault="000C5E88" w:rsidP="00957522">
      <w:pPr>
        <w:rPr>
          <w:lang w:val="sv-SE"/>
        </w:rPr>
      </w:pPr>
      <w:r w:rsidRPr="001E07CA">
        <w:rPr>
          <w:i/>
          <w:lang w:val="sv-SE"/>
        </w:rPr>
        <w:t xml:space="preserve">ändras </w:t>
      </w:r>
      <w:r w:rsidRPr="001E07CA">
        <w:rPr>
          <w:lang w:val="sv-SE"/>
        </w:rPr>
        <w:t>i lagen om marknadskontrollen av vissa produkter (1137/2016) 1 § 1 mom. som följer:</w:t>
      </w:r>
    </w:p>
    <w:p w:rsidR="00957522" w:rsidRPr="001E07CA" w:rsidRDefault="00957522" w:rsidP="00957522">
      <w:pPr>
        <w:rPr>
          <w:lang w:val="sv-SE"/>
        </w:rPr>
      </w:pPr>
    </w:p>
    <w:p w:rsidR="00957522" w:rsidRPr="001E07CA" w:rsidRDefault="00957522" w:rsidP="00957522">
      <w:pPr>
        <w:rPr>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957522" w:rsidRPr="001E07CA" w:rsidTr="000520B1">
        <w:tc>
          <w:tcPr>
            <w:tcW w:w="4889" w:type="dxa"/>
          </w:tcPr>
          <w:p w:rsidR="00957522" w:rsidRPr="001E07CA" w:rsidRDefault="000C5E88" w:rsidP="00DE3100">
            <w:pPr>
              <w:rPr>
                <w:lang w:val="sv-SE"/>
              </w:rPr>
            </w:pPr>
            <w:r w:rsidRPr="001E07CA">
              <w:rPr>
                <w:lang w:val="sv-SE"/>
              </w:rPr>
              <w:t>Gällande lydelse</w:t>
            </w:r>
          </w:p>
        </w:tc>
        <w:tc>
          <w:tcPr>
            <w:tcW w:w="4889" w:type="dxa"/>
          </w:tcPr>
          <w:p w:rsidR="00957522" w:rsidRPr="001E07CA" w:rsidRDefault="000C5E88" w:rsidP="00DE3100">
            <w:pPr>
              <w:rPr>
                <w:lang w:val="sv-SE"/>
              </w:rPr>
            </w:pPr>
            <w:r w:rsidRPr="001E07CA">
              <w:rPr>
                <w:lang w:val="sv-SE"/>
              </w:rPr>
              <w:t>Föreslagen lydelse</w:t>
            </w:r>
          </w:p>
        </w:tc>
      </w:tr>
      <w:tr w:rsidR="00957522" w:rsidRPr="001E07CA" w:rsidTr="000520B1">
        <w:tc>
          <w:tcPr>
            <w:tcW w:w="4889" w:type="dxa"/>
          </w:tcPr>
          <w:p w:rsidR="00957522" w:rsidRPr="001E07CA" w:rsidRDefault="00957522" w:rsidP="00521177">
            <w:pPr>
              <w:rPr>
                <w:lang w:val="sv-SE"/>
              </w:rPr>
            </w:pPr>
          </w:p>
        </w:tc>
        <w:tc>
          <w:tcPr>
            <w:tcW w:w="4889" w:type="dxa"/>
          </w:tcPr>
          <w:p w:rsidR="00957522" w:rsidRPr="001E07CA" w:rsidRDefault="00957522" w:rsidP="00521177">
            <w:pPr>
              <w:rPr>
                <w:lang w:val="sv-SE"/>
              </w:rPr>
            </w:pPr>
          </w:p>
        </w:tc>
      </w:tr>
      <w:tr w:rsidR="00957522" w:rsidRPr="001E07CA" w:rsidTr="000520B1">
        <w:tc>
          <w:tcPr>
            <w:tcW w:w="4889" w:type="dxa"/>
          </w:tcPr>
          <w:p w:rsidR="00957522" w:rsidRPr="001E07CA" w:rsidRDefault="00957522" w:rsidP="00521177">
            <w:pPr>
              <w:jc w:val="center"/>
              <w:rPr>
                <w:lang w:val="sv-SE"/>
              </w:rPr>
            </w:pPr>
            <w:r w:rsidRPr="001E07CA">
              <w:rPr>
                <w:lang w:val="sv-SE"/>
              </w:rPr>
              <w:t>1 §</w:t>
            </w:r>
          </w:p>
          <w:p w:rsidR="00957522" w:rsidRPr="001E07CA" w:rsidRDefault="000520B1" w:rsidP="00DE3100">
            <w:pPr>
              <w:jc w:val="center"/>
              <w:rPr>
                <w:i/>
                <w:lang w:val="sv-SE"/>
              </w:rPr>
            </w:pPr>
            <w:r w:rsidRPr="001E07CA">
              <w:rPr>
                <w:i/>
                <w:lang w:val="sv-SE"/>
              </w:rPr>
              <w:t>Tillämpningsområde</w:t>
            </w:r>
          </w:p>
        </w:tc>
        <w:tc>
          <w:tcPr>
            <w:tcW w:w="4889" w:type="dxa"/>
          </w:tcPr>
          <w:p w:rsidR="00957522" w:rsidRPr="001E07CA" w:rsidRDefault="00957522" w:rsidP="00521177">
            <w:pPr>
              <w:jc w:val="center"/>
              <w:rPr>
                <w:lang w:val="sv-SE"/>
              </w:rPr>
            </w:pPr>
            <w:r w:rsidRPr="001E07CA">
              <w:rPr>
                <w:lang w:val="sv-SE"/>
              </w:rPr>
              <w:t>1 §</w:t>
            </w:r>
          </w:p>
          <w:p w:rsidR="00957522" w:rsidRPr="001E07CA" w:rsidRDefault="000520B1" w:rsidP="00DE3100">
            <w:pPr>
              <w:jc w:val="center"/>
              <w:rPr>
                <w:i/>
                <w:lang w:val="sv-SE"/>
              </w:rPr>
            </w:pPr>
            <w:r w:rsidRPr="001E07CA">
              <w:rPr>
                <w:i/>
                <w:lang w:val="sv-SE"/>
              </w:rPr>
              <w:t>Tillämpningsområde</w:t>
            </w:r>
          </w:p>
        </w:tc>
      </w:tr>
      <w:tr w:rsidR="00957522" w:rsidRPr="001E07CA" w:rsidTr="000520B1">
        <w:tc>
          <w:tcPr>
            <w:tcW w:w="4889" w:type="dxa"/>
          </w:tcPr>
          <w:p w:rsidR="00957522" w:rsidRPr="001E07CA" w:rsidRDefault="00957522" w:rsidP="00521177">
            <w:pPr>
              <w:rPr>
                <w:lang w:val="sv-SE"/>
              </w:rPr>
            </w:pPr>
          </w:p>
        </w:tc>
        <w:tc>
          <w:tcPr>
            <w:tcW w:w="4889" w:type="dxa"/>
          </w:tcPr>
          <w:p w:rsidR="00957522" w:rsidRPr="001E07CA" w:rsidRDefault="00957522" w:rsidP="00521177">
            <w:pPr>
              <w:rPr>
                <w:lang w:val="sv-SE"/>
              </w:rPr>
            </w:pPr>
          </w:p>
        </w:tc>
      </w:tr>
      <w:tr w:rsidR="00957522" w:rsidRPr="00B3112C" w:rsidTr="000520B1">
        <w:tc>
          <w:tcPr>
            <w:tcW w:w="4889" w:type="dxa"/>
          </w:tcPr>
          <w:p w:rsidR="00957522" w:rsidRPr="001E07CA" w:rsidRDefault="000520B1" w:rsidP="00521177">
            <w:pPr>
              <w:rPr>
                <w:lang w:val="sv-SE"/>
              </w:rPr>
            </w:pPr>
            <w:r w:rsidRPr="001E07CA">
              <w:rPr>
                <w:lang w:val="sv-SE"/>
              </w:rPr>
              <w:t>Denna lag tillämpas på marknadskontrollen av de produkter som omfattas av tillämpningsområdet för hissäkerhetslagen (1134/2016), lagen om mätinstrument (707/2011), lagen om pyrotekniska artiklars överensstämmelse med kraven (180/2015), lagen om överensstämmelse med kraven för utrustning och säkerhetssystem som är avsedda för användning i explosionsfarliga omgivningar (1139/2016), lagen om tryckbärande anordningar (1144/2016), elsäkerhetslagen (1135/2016) och lagen om explosiva varors överensstämmelse med kraven (1140/2016), om inte något annat föreskrivs i de lagarna.</w:t>
            </w:r>
          </w:p>
          <w:p w:rsidR="00957522" w:rsidRPr="001E07CA" w:rsidRDefault="00957522" w:rsidP="00521177">
            <w:pPr>
              <w:rPr>
                <w:lang w:val="sv-SE"/>
              </w:rPr>
            </w:pPr>
          </w:p>
          <w:p w:rsidR="00957522" w:rsidRPr="001E07CA" w:rsidRDefault="00957522" w:rsidP="00521177">
            <w:pPr>
              <w:rPr>
                <w:lang w:val="sv-SE"/>
              </w:rPr>
            </w:pPr>
          </w:p>
        </w:tc>
        <w:tc>
          <w:tcPr>
            <w:tcW w:w="4889" w:type="dxa"/>
          </w:tcPr>
          <w:p w:rsidR="00957522" w:rsidRPr="001E07CA" w:rsidRDefault="000520B1" w:rsidP="00521177">
            <w:pPr>
              <w:rPr>
                <w:lang w:val="sv-SE"/>
              </w:rPr>
            </w:pPr>
            <w:r w:rsidRPr="001E07CA">
              <w:rPr>
                <w:lang w:val="sv-SE"/>
              </w:rPr>
              <w:t xml:space="preserve">Denna lag tillämpas på marknadskontrollen av de produkter som omfattas av tillämpningsområdet för hissäkerhetslagen (1134/2016), lagen om mätinstrument (707/2011), lagen om pyrotekniska artiklars överensstämmelse med kraven (180/2015), lagen om överensstämmelse med kraven för utrustning och säkerhetssystem som är avsedda för användning i explosionsfarliga omgivningar (1139/2016), lagen om tryckbärande anordningar (1144/2016), elsäkerhetslagen (1135/2016), lagen om explosiva varors överensstämmelse med kraven (1140/2016) </w:t>
            </w:r>
            <w:r w:rsidRPr="001E07CA">
              <w:rPr>
                <w:i/>
                <w:lang w:val="sv-SE"/>
              </w:rPr>
              <w:t xml:space="preserve">och </w:t>
            </w:r>
            <w:r w:rsidR="0088759D" w:rsidRPr="001E07CA">
              <w:rPr>
                <w:i/>
                <w:lang w:val="sv-SE"/>
              </w:rPr>
              <w:t xml:space="preserve">gasanordningslagen </w:t>
            </w:r>
            <w:r w:rsidRPr="001E07CA">
              <w:rPr>
                <w:i/>
                <w:lang w:val="sv-SE"/>
              </w:rPr>
              <w:t>(</w:t>
            </w:r>
            <w:r w:rsidR="00804057" w:rsidRPr="001E07CA">
              <w:rPr>
                <w:i/>
                <w:lang w:val="sv-SE"/>
              </w:rPr>
              <w:t>xxx</w:t>
            </w:r>
            <w:r w:rsidRPr="001E07CA">
              <w:rPr>
                <w:i/>
                <w:lang w:val="sv-SE"/>
              </w:rPr>
              <w:t>/2018)</w:t>
            </w:r>
            <w:r w:rsidRPr="001E07CA">
              <w:rPr>
                <w:lang w:val="sv-SE"/>
              </w:rPr>
              <w:t>, om inte något annat föreskrivs i de lagarna.</w:t>
            </w:r>
          </w:p>
          <w:p w:rsidR="00957522" w:rsidRPr="001E07CA" w:rsidRDefault="00957522" w:rsidP="00521177">
            <w:pPr>
              <w:rPr>
                <w:lang w:val="sv-SE"/>
              </w:rPr>
            </w:pPr>
          </w:p>
          <w:p w:rsidR="00957522" w:rsidRPr="001E07CA" w:rsidRDefault="00957522" w:rsidP="00521177">
            <w:pPr>
              <w:rPr>
                <w:lang w:val="sv-SE"/>
              </w:rPr>
            </w:pPr>
          </w:p>
        </w:tc>
      </w:tr>
      <w:tr w:rsidR="00957522" w:rsidRPr="00B3112C" w:rsidTr="000520B1">
        <w:tc>
          <w:tcPr>
            <w:tcW w:w="4889" w:type="dxa"/>
          </w:tcPr>
          <w:p w:rsidR="00957522" w:rsidRPr="001E07CA" w:rsidRDefault="00957522" w:rsidP="00521177">
            <w:pPr>
              <w:rPr>
                <w:lang w:val="sv-SE"/>
              </w:rPr>
            </w:pPr>
          </w:p>
        </w:tc>
        <w:tc>
          <w:tcPr>
            <w:tcW w:w="4889" w:type="dxa"/>
          </w:tcPr>
          <w:p w:rsidR="00957522" w:rsidRPr="001E07CA" w:rsidRDefault="00957522" w:rsidP="00521177">
            <w:pPr>
              <w:rPr>
                <w:i/>
                <w:lang w:val="sv-SE"/>
              </w:rPr>
            </w:pPr>
          </w:p>
          <w:p w:rsidR="00957522" w:rsidRPr="001E07CA" w:rsidRDefault="000520B1" w:rsidP="00DE3100">
            <w:pPr>
              <w:rPr>
                <w:lang w:val="sv-SE"/>
              </w:rPr>
            </w:pPr>
            <w:r w:rsidRPr="001E07CA">
              <w:rPr>
                <w:i/>
                <w:lang w:val="sv-SE"/>
              </w:rPr>
              <w:t>Denna lag träder i kraft den          2018.</w:t>
            </w:r>
          </w:p>
        </w:tc>
      </w:tr>
    </w:tbl>
    <w:p w:rsidR="00957522" w:rsidRPr="001E07CA" w:rsidRDefault="00957522" w:rsidP="00957522">
      <w:pPr>
        <w:rPr>
          <w:lang w:val="sv-SE"/>
        </w:rPr>
      </w:pPr>
    </w:p>
    <w:p w:rsidR="00957522" w:rsidRPr="001E07CA" w:rsidRDefault="00957522" w:rsidP="00957522">
      <w:pPr>
        <w:rPr>
          <w:lang w:val="sv-SE"/>
        </w:rPr>
      </w:pPr>
      <w:r w:rsidRPr="001E07CA">
        <w:rPr>
          <w:lang w:val="sv-SE"/>
        </w:rPr>
        <w:br w:type="column"/>
      </w:r>
      <w:r w:rsidR="00CA3857" w:rsidRPr="00CA3857">
        <w:rPr>
          <w:b/>
          <w:sz w:val="28"/>
          <w:szCs w:val="28"/>
          <w:lang w:val="sv-SE"/>
        </w:rPr>
        <w:lastRenderedPageBreak/>
        <w:t xml:space="preserve">3. </w:t>
      </w:r>
      <w:r w:rsidR="00804057" w:rsidRPr="001E07CA">
        <w:rPr>
          <w:b/>
          <w:lang w:val="sv-SE"/>
        </w:rPr>
        <w:t>Lag om ändring av 1 och 5 § i lagen om anmälda organ för vissa produktgrupper</w:t>
      </w:r>
    </w:p>
    <w:p w:rsidR="00957522" w:rsidRPr="001E07CA" w:rsidRDefault="00957522" w:rsidP="00957522">
      <w:pPr>
        <w:rPr>
          <w:lang w:val="sv-SE"/>
        </w:rPr>
      </w:pPr>
    </w:p>
    <w:p w:rsidR="00B336D0" w:rsidRDefault="00B336D0" w:rsidP="00957522">
      <w:pPr>
        <w:rPr>
          <w:lang w:val="sv-SE"/>
        </w:rPr>
      </w:pPr>
    </w:p>
    <w:p w:rsidR="00957522" w:rsidRPr="001E07CA" w:rsidRDefault="00804057" w:rsidP="00957522">
      <w:pPr>
        <w:rPr>
          <w:lang w:val="sv-SE"/>
        </w:rPr>
      </w:pPr>
      <w:r w:rsidRPr="001E07CA">
        <w:rPr>
          <w:lang w:val="sv-SE"/>
        </w:rPr>
        <w:t>I enlighet med riksdagens beslut</w:t>
      </w:r>
    </w:p>
    <w:p w:rsidR="00957522" w:rsidRPr="001E07CA" w:rsidRDefault="00957522" w:rsidP="00957522">
      <w:pPr>
        <w:rPr>
          <w:lang w:val="sv-SE"/>
        </w:rPr>
      </w:pPr>
    </w:p>
    <w:p w:rsidR="00957522" w:rsidRPr="001E07CA" w:rsidRDefault="00804057" w:rsidP="00957522">
      <w:pPr>
        <w:rPr>
          <w:lang w:val="sv-SE"/>
        </w:rPr>
      </w:pPr>
      <w:r w:rsidRPr="001E07CA">
        <w:rPr>
          <w:i/>
          <w:lang w:val="sv-SE"/>
        </w:rPr>
        <w:t xml:space="preserve">ändras </w:t>
      </w:r>
      <w:r w:rsidRPr="001E07CA">
        <w:rPr>
          <w:lang w:val="sv-SE"/>
        </w:rPr>
        <w:t>i lagen om anmälda organ för vissa produktgrupper (278/2016) 1 och 5 § som följer:</w:t>
      </w:r>
    </w:p>
    <w:p w:rsidR="00957522" w:rsidRPr="001E07CA" w:rsidRDefault="00957522" w:rsidP="00957522">
      <w:pPr>
        <w:rPr>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957522" w:rsidRPr="001E07CA" w:rsidTr="00BB5D67">
        <w:tc>
          <w:tcPr>
            <w:tcW w:w="4889" w:type="dxa"/>
          </w:tcPr>
          <w:p w:rsidR="00B336D0" w:rsidRDefault="00B336D0" w:rsidP="00DE3100">
            <w:pPr>
              <w:rPr>
                <w:lang w:val="sv-SE"/>
              </w:rPr>
            </w:pPr>
          </w:p>
          <w:p w:rsidR="00957522" w:rsidRPr="001E07CA" w:rsidRDefault="00804057" w:rsidP="00DE3100">
            <w:pPr>
              <w:rPr>
                <w:lang w:val="sv-SE"/>
              </w:rPr>
            </w:pPr>
            <w:r w:rsidRPr="001E07CA">
              <w:rPr>
                <w:lang w:val="sv-SE"/>
              </w:rPr>
              <w:t>Gällande lydelse</w:t>
            </w:r>
          </w:p>
        </w:tc>
        <w:tc>
          <w:tcPr>
            <w:tcW w:w="4889" w:type="dxa"/>
          </w:tcPr>
          <w:p w:rsidR="00957522" w:rsidRPr="001E07CA" w:rsidRDefault="00804057" w:rsidP="00DE3100">
            <w:pPr>
              <w:rPr>
                <w:lang w:val="sv-SE"/>
              </w:rPr>
            </w:pPr>
            <w:r w:rsidRPr="001E07CA">
              <w:rPr>
                <w:lang w:val="sv-SE"/>
              </w:rPr>
              <w:t>Föreslagen lydelse</w:t>
            </w:r>
          </w:p>
        </w:tc>
      </w:tr>
      <w:tr w:rsidR="00957522" w:rsidRPr="001E07CA" w:rsidTr="00BB5D67">
        <w:tc>
          <w:tcPr>
            <w:tcW w:w="4889" w:type="dxa"/>
          </w:tcPr>
          <w:p w:rsidR="00957522" w:rsidRPr="001E07CA" w:rsidRDefault="00957522" w:rsidP="00521177">
            <w:pPr>
              <w:rPr>
                <w:lang w:val="sv-SE"/>
              </w:rPr>
            </w:pPr>
          </w:p>
        </w:tc>
        <w:tc>
          <w:tcPr>
            <w:tcW w:w="4889" w:type="dxa"/>
          </w:tcPr>
          <w:p w:rsidR="00957522" w:rsidRPr="001E07CA" w:rsidRDefault="00957522" w:rsidP="00521177">
            <w:pPr>
              <w:rPr>
                <w:lang w:val="sv-SE"/>
              </w:rPr>
            </w:pPr>
          </w:p>
        </w:tc>
      </w:tr>
      <w:tr w:rsidR="00957522" w:rsidRPr="001E07CA" w:rsidTr="00BB5D67">
        <w:tc>
          <w:tcPr>
            <w:tcW w:w="4889" w:type="dxa"/>
          </w:tcPr>
          <w:p w:rsidR="00957522" w:rsidRPr="001E07CA" w:rsidRDefault="00957522" w:rsidP="00521177">
            <w:pPr>
              <w:jc w:val="center"/>
              <w:rPr>
                <w:lang w:val="sv-SE"/>
              </w:rPr>
            </w:pPr>
            <w:r w:rsidRPr="001E07CA">
              <w:rPr>
                <w:lang w:val="sv-SE"/>
              </w:rPr>
              <w:t>1 §</w:t>
            </w:r>
          </w:p>
          <w:p w:rsidR="00957522" w:rsidRPr="001E07CA" w:rsidRDefault="00804057" w:rsidP="00521177">
            <w:pPr>
              <w:jc w:val="center"/>
              <w:rPr>
                <w:i/>
                <w:lang w:val="sv-SE"/>
              </w:rPr>
            </w:pPr>
            <w:r w:rsidRPr="001E07CA">
              <w:rPr>
                <w:i/>
                <w:lang w:val="sv-SE"/>
              </w:rPr>
              <w:t>Tillämpningsområde</w:t>
            </w:r>
          </w:p>
          <w:p w:rsidR="00957522" w:rsidRPr="001E07CA" w:rsidRDefault="00957522" w:rsidP="00521177">
            <w:pPr>
              <w:jc w:val="center"/>
              <w:rPr>
                <w:i/>
                <w:lang w:val="sv-SE"/>
              </w:rPr>
            </w:pPr>
          </w:p>
        </w:tc>
        <w:tc>
          <w:tcPr>
            <w:tcW w:w="4889" w:type="dxa"/>
          </w:tcPr>
          <w:p w:rsidR="00957522" w:rsidRPr="001E07CA" w:rsidRDefault="00957522" w:rsidP="00521177">
            <w:pPr>
              <w:jc w:val="center"/>
              <w:rPr>
                <w:lang w:val="sv-SE"/>
              </w:rPr>
            </w:pPr>
            <w:r w:rsidRPr="001E07CA">
              <w:rPr>
                <w:lang w:val="sv-SE"/>
              </w:rPr>
              <w:t>1 §</w:t>
            </w:r>
          </w:p>
          <w:p w:rsidR="00957522" w:rsidRPr="001E07CA" w:rsidRDefault="00BB5D67" w:rsidP="00DE3100">
            <w:pPr>
              <w:jc w:val="center"/>
              <w:rPr>
                <w:i/>
                <w:lang w:val="sv-SE"/>
              </w:rPr>
            </w:pPr>
            <w:r w:rsidRPr="001E07CA">
              <w:rPr>
                <w:i/>
                <w:lang w:val="sv-SE"/>
              </w:rPr>
              <w:t>Tillämpningsområde</w:t>
            </w:r>
          </w:p>
        </w:tc>
      </w:tr>
      <w:tr w:rsidR="00957522" w:rsidRPr="00B3112C" w:rsidTr="00BB5D67">
        <w:tc>
          <w:tcPr>
            <w:tcW w:w="4889" w:type="dxa"/>
          </w:tcPr>
          <w:p w:rsidR="00957522" w:rsidRPr="001E07CA" w:rsidRDefault="00804057" w:rsidP="00DE3100">
            <w:pPr>
              <w:rPr>
                <w:lang w:val="sv-SE"/>
              </w:rPr>
            </w:pPr>
            <w:r w:rsidRPr="001E07CA">
              <w:rPr>
                <w:lang w:val="sv-SE"/>
              </w:rPr>
              <w:t>Denna lag innehåller bestämmelser om godkännande av organ för bedömning av överensstämmelse med kraven för produkter som omfattas av tillämpningsområdet för hissäkerhetslagen (1134/2016), lagen om mätinstrument (707/2011), lagen om tryckbärande anordningar (1144/2016), lagen om pyrotekniska artiklars överensstämmelse med kraven (180/2015), lagen om överensstämmelse med kraven för utrustning och säkerhetssystem som är avsedda för användning i explosionsfarliga omgivningar (1139/2016), lagen om explosiva varors överensstämmelse med kraven (1140/2016), elsäkerhetslagen (1135/2016) och 30 kap. i informationssamhällsbalken (917/2014) som anmälda organ och om de skyldigheter som gäller dessa organs verksamhet.</w:t>
            </w:r>
          </w:p>
        </w:tc>
        <w:tc>
          <w:tcPr>
            <w:tcW w:w="4889" w:type="dxa"/>
          </w:tcPr>
          <w:p w:rsidR="00957522" w:rsidRPr="001E07CA" w:rsidRDefault="00804057" w:rsidP="00804057">
            <w:pPr>
              <w:rPr>
                <w:lang w:val="sv-SE"/>
              </w:rPr>
            </w:pPr>
            <w:r w:rsidRPr="001E07CA">
              <w:rPr>
                <w:lang w:val="sv-SE"/>
              </w:rPr>
              <w:t xml:space="preserve">Denna lag innehåller bestämmelser om godkännande av organ för bedömning av överensstämmelse med kraven för produkter som omfattas av tillämpningsområdet för hissäkerhetslagen (1134/2016), </w:t>
            </w:r>
            <w:r w:rsidR="00431229" w:rsidRPr="001E07CA">
              <w:rPr>
                <w:i/>
                <w:lang w:val="sv-SE"/>
              </w:rPr>
              <w:t xml:space="preserve">gasanordningslagen </w:t>
            </w:r>
            <w:r w:rsidRPr="001E07CA">
              <w:rPr>
                <w:i/>
                <w:lang w:val="sv-SE"/>
              </w:rPr>
              <w:t>(xxx/2018)</w:t>
            </w:r>
            <w:r w:rsidRPr="001E07CA">
              <w:rPr>
                <w:lang w:val="sv-SE"/>
              </w:rPr>
              <w:t>, lagen om mätinstrument (707/2011), lagen om tryckbärande anordningar (1144/2016), lagen om pyrotekniska artiklars överensstämmelse med kraven (180/2015), lagen om överensstämmelse med kraven för utrustning och säkerhetssystem som är avsedda för användning i explosionsfarliga omgivningar (1139/2016), lagen om explosiva varors överensstämmelse med kraven (1140/2016), elsäkerhetslagen (1135/2016) och 30 kap. i informationssamhällsbalken (917/2014) som anmälda organ och om de skyldigheter som gäller dessa organs verksamhet.</w:t>
            </w:r>
          </w:p>
          <w:p w:rsidR="00804057" w:rsidRPr="001E07CA" w:rsidRDefault="00804057" w:rsidP="00804057">
            <w:pPr>
              <w:rPr>
                <w:lang w:val="sv-SE"/>
              </w:rPr>
            </w:pPr>
          </w:p>
        </w:tc>
      </w:tr>
      <w:tr w:rsidR="00957522" w:rsidRPr="001E07CA" w:rsidTr="00BB5D67">
        <w:tc>
          <w:tcPr>
            <w:tcW w:w="4889" w:type="dxa"/>
          </w:tcPr>
          <w:p w:rsidR="00957522" w:rsidRPr="001E07CA" w:rsidRDefault="00957522" w:rsidP="00521177">
            <w:pPr>
              <w:jc w:val="center"/>
              <w:rPr>
                <w:lang w:val="sv-SE"/>
              </w:rPr>
            </w:pPr>
            <w:r w:rsidRPr="001E07CA">
              <w:rPr>
                <w:lang w:val="sv-SE"/>
              </w:rPr>
              <w:t>5 §</w:t>
            </w:r>
          </w:p>
          <w:p w:rsidR="00957522" w:rsidRPr="001E07CA" w:rsidRDefault="00C73A5A" w:rsidP="00521177">
            <w:pPr>
              <w:jc w:val="center"/>
              <w:rPr>
                <w:i/>
                <w:lang w:val="sv-SE"/>
              </w:rPr>
            </w:pPr>
            <w:r w:rsidRPr="001E07CA">
              <w:rPr>
                <w:i/>
                <w:lang w:val="sv-SE"/>
              </w:rPr>
              <w:t>Behörig myndighet</w:t>
            </w:r>
          </w:p>
          <w:p w:rsidR="00957522" w:rsidRPr="001E07CA" w:rsidRDefault="00957522" w:rsidP="00521177">
            <w:pPr>
              <w:jc w:val="center"/>
              <w:rPr>
                <w:i/>
                <w:lang w:val="sv-SE"/>
              </w:rPr>
            </w:pPr>
          </w:p>
        </w:tc>
        <w:tc>
          <w:tcPr>
            <w:tcW w:w="4889" w:type="dxa"/>
          </w:tcPr>
          <w:p w:rsidR="00957522" w:rsidRPr="001E07CA" w:rsidRDefault="00957522" w:rsidP="00521177">
            <w:pPr>
              <w:jc w:val="center"/>
              <w:rPr>
                <w:lang w:val="sv-SE"/>
              </w:rPr>
            </w:pPr>
            <w:r w:rsidRPr="001E07CA">
              <w:rPr>
                <w:lang w:val="sv-SE"/>
              </w:rPr>
              <w:t>5 §</w:t>
            </w:r>
          </w:p>
          <w:p w:rsidR="00957522" w:rsidRPr="001E07CA" w:rsidRDefault="005D1133" w:rsidP="00DE3100">
            <w:pPr>
              <w:jc w:val="center"/>
              <w:rPr>
                <w:i/>
                <w:lang w:val="sv-SE"/>
              </w:rPr>
            </w:pPr>
            <w:r w:rsidRPr="001E07CA">
              <w:rPr>
                <w:i/>
                <w:lang w:val="sv-SE"/>
              </w:rPr>
              <w:t>Behörig myndighet</w:t>
            </w:r>
          </w:p>
        </w:tc>
      </w:tr>
      <w:tr w:rsidR="00957522" w:rsidRPr="00B3112C" w:rsidTr="00BB5D67">
        <w:tc>
          <w:tcPr>
            <w:tcW w:w="4889" w:type="dxa"/>
          </w:tcPr>
          <w:p w:rsidR="00957522" w:rsidRPr="001E07CA" w:rsidRDefault="00C73A5A" w:rsidP="00521177">
            <w:pPr>
              <w:rPr>
                <w:lang w:val="sv-SE"/>
              </w:rPr>
            </w:pPr>
            <w:r w:rsidRPr="001E07CA">
              <w:rPr>
                <w:lang w:val="sv-SE"/>
              </w:rPr>
              <w:t>Arbets- och näringsministeriet är behörig myndighet, om ansökan gäller att till anmälda organ utse organ för bedömning av sådana produkters överensstämmelse med kraven som omfattas av tillämpningsområdet för hissäkerhetslagen, lagen om mätinstrument, lagen om tryckbärande anordningar, lagen om pyrotekniska artiklars överensstämmelse med kraven, lagen om överensstämmelse med kraven för utrustning och säkerhetssystem som är avsedda för användning i explosionsfarliga omgivningar, lagen om explosiva varors överensstämmelse m</w:t>
            </w:r>
            <w:r w:rsidR="00404344" w:rsidRPr="001E07CA">
              <w:rPr>
                <w:lang w:val="sv-SE"/>
              </w:rPr>
              <w:t>ed kraven och elsäkerhetslagen.</w:t>
            </w:r>
            <w:r w:rsidR="00957522" w:rsidRPr="001E07CA">
              <w:rPr>
                <w:lang w:val="sv-SE"/>
              </w:rPr>
              <w:t xml:space="preserve"> </w:t>
            </w:r>
          </w:p>
          <w:p w:rsidR="00957522" w:rsidRPr="001E07CA" w:rsidRDefault="00957522" w:rsidP="00521177">
            <w:pPr>
              <w:rPr>
                <w:lang w:val="sv-SE"/>
              </w:rPr>
            </w:pPr>
          </w:p>
          <w:p w:rsidR="00957522" w:rsidRPr="001E07CA" w:rsidRDefault="00957522" w:rsidP="00521177">
            <w:pPr>
              <w:rPr>
                <w:lang w:val="sv-SE"/>
              </w:rPr>
            </w:pPr>
          </w:p>
          <w:p w:rsidR="00957522" w:rsidRPr="001E07CA" w:rsidRDefault="00C73A5A" w:rsidP="00521177">
            <w:pPr>
              <w:rPr>
                <w:lang w:val="sv-SE"/>
              </w:rPr>
            </w:pPr>
            <w:r w:rsidRPr="001E07CA">
              <w:rPr>
                <w:lang w:val="sv-SE"/>
              </w:rPr>
              <w:t xml:space="preserve">Kommunikationsverket är behörig myndighet, om ansökan gäller att till anmälda organ utse organ för bedömning av överensstämmelse för produkter som hör till tillämpningsområdet </w:t>
            </w:r>
            <w:r w:rsidR="00404344" w:rsidRPr="001E07CA">
              <w:rPr>
                <w:lang w:val="sv-SE"/>
              </w:rPr>
              <w:t>för informationssamhällsbalken.</w:t>
            </w:r>
            <w:r w:rsidR="00957522" w:rsidRPr="001E07CA">
              <w:rPr>
                <w:lang w:val="sv-SE"/>
              </w:rPr>
              <w:t xml:space="preserve"> </w:t>
            </w:r>
          </w:p>
          <w:p w:rsidR="00957522" w:rsidRPr="001E07CA" w:rsidRDefault="00957522" w:rsidP="00521177">
            <w:pPr>
              <w:rPr>
                <w:lang w:val="sv-SE"/>
              </w:rPr>
            </w:pPr>
            <w:r w:rsidRPr="001E07CA">
              <w:rPr>
                <w:lang w:val="sv-SE"/>
              </w:rPr>
              <w:t xml:space="preserve"> </w:t>
            </w:r>
          </w:p>
          <w:p w:rsidR="00957522" w:rsidRPr="001E07CA" w:rsidRDefault="00C73A5A" w:rsidP="00DE3100">
            <w:pPr>
              <w:rPr>
                <w:lang w:val="sv-SE"/>
              </w:rPr>
            </w:pPr>
            <w:r w:rsidRPr="001E07CA">
              <w:rPr>
                <w:lang w:val="sv-SE"/>
              </w:rPr>
              <w:lastRenderedPageBreak/>
              <w:t>De behöriga myndigheterna övervakar de anmälda organ som de har godkänt.</w:t>
            </w:r>
          </w:p>
        </w:tc>
        <w:tc>
          <w:tcPr>
            <w:tcW w:w="4889" w:type="dxa"/>
          </w:tcPr>
          <w:p w:rsidR="00957522" w:rsidRPr="001E07CA" w:rsidRDefault="00C73A5A" w:rsidP="00521177">
            <w:pPr>
              <w:rPr>
                <w:lang w:val="sv-SE"/>
              </w:rPr>
            </w:pPr>
            <w:r w:rsidRPr="001E07CA">
              <w:rPr>
                <w:lang w:val="sv-SE"/>
              </w:rPr>
              <w:lastRenderedPageBreak/>
              <w:t xml:space="preserve">Arbets- och näringsministeriet är behörig myndighet, om ansökan gäller att till anmälda organ utse organ för bedömning av sådana produkters överensstämmelse med kraven som omfattas av tillämpningsområdet för hissäkerhetslagen, </w:t>
            </w:r>
            <w:r w:rsidR="003961E7" w:rsidRPr="001E07CA">
              <w:rPr>
                <w:i/>
                <w:lang w:val="sv-SE"/>
              </w:rPr>
              <w:t>gasanordningslagen</w:t>
            </w:r>
            <w:r w:rsidRPr="001E07CA">
              <w:rPr>
                <w:lang w:val="sv-SE"/>
              </w:rPr>
              <w:t>, lagen om mätinstrument, lagen om tryckbärande anordningar, lagen om pyrotekniska artiklars överensstämmelse med kraven, lagen om överensstämmelse med kraven för utrustning och säkerhetssystem som är avsedda för användning i explosionsfarliga omgivningar, lagen om explosiva varors överensstämmelse m</w:t>
            </w:r>
            <w:r w:rsidR="00404344" w:rsidRPr="001E07CA">
              <w:rPr>
                <w:lang w:val="sv-SE"/>
              </w:rPr>
              <w:t>ed kraven och elsäkerhetslagen.</w:t>
            </w:r>
            <w:r w:rsidR="00957522" w:rsidRPr="001E07CA">
              <w:rPr>
                <w:lang w:val="sv-SE"/>
              </w:rPr>
              <w:t xml:space="preserve"> </w:t>
            </w:r>
          </w:p>
          <w:p w:rsidR="00957522" w:rsidRPr="001E07CA" w:rsidRDefault="00957522" w:rsidP="00521177">
            <w:pPr>
              <w:rPr>
                <w:lang w:val="sv-SE"/>
              </w:rPr>
            </w:pPr>
            <w:r w:rsidRPr="001E07CA">
              <w:rPr>
                <w:lang w:val="sv-SE"/>
              </w:rPr>
              <w:t xml:space="preserve"> </w:t>
            </w:r>
          </w:p>
          <w:p w:rsidR="00957522" w:rsidRPr="001E07CA" w:rsidRDefault="00C73A5A" w:rsidP="00521177">
            <w:pPr>
              <w:rPr>
                <w:lang w:val="sv-SE"/>
              </w:rPr>
            </w:pPr>
            <w:r w:rsidRPr="001E07CA">
              <w:rPr>
                <w:lang w:val="sv-SE"/>
              </w:rPr>
              <w:t xml:space="preserve">Kommunikationsverket är behörig myndighet, om ansökan gäller att till anmälda organ utse organ för bedömning av överensstämmelse för produkter som hör till tillämpningsområdet </w:t>
            </w:r>
            <w:r w:rsidR="00404344" w:rsidRPr="001E07CA">
              <w:rPr>
                <w:lang w:val="sv-SE"/>
              </w:rPr>
              <w:t>för informationssamhällsbalken.</w:t>
            </w:r>
            <w:r w:rsidR="00957522" w:rsidRPr="001E07CA">
              <w:rPr>
                <w:lang w:val="sv-SE"/>
              </w:rPr>
              <w:t xml:space="preserve"> </w:t>
            </w:r>
          </w:p>
          <w:p w:rsidR="00957522" w:rsidRPr="001E07CA" w:rsidRDefault="00957522" w:rsidP="00521177">
            <w:pPr>
              <w:rPr>
                <w:lang w:val="sv-SE"/>
              </w:rPr>
            </w:pPr>
          </w:p>
          <w:p w:rsidR="00957522" w:rsidRDefault="00C73A5A" w:rsidP="00DE3100">
            <w:pPr>
              <w:rPr>
                <w:lang w:val="sv-SE"/>
              </w:rPr>
            </w:pPr>
            <w:r w:rsidRPr="001E07CA">
              <w:rPr>
                <w:lang w:val="sv-SE"/>
              </w:rPr>
              <w:lastRenderedPageBreak/>
              <w:t>De behöriga myndigheterna övervakar de anmälda organ som de har godkänt.</w:t>
            </w:r>
          </w:p>
          <w:p w:rsidR="00B336D0" w:rsidRPr="001E07CA" w:rsidRDefault="00B336D0" w:rsidP="00DE3100">
            <w:pPr>
              <w:rPr>
                <w:lang w:val="sv-SE"/>
              </w:rPr>
            </w:pPr>
          </w:p>
        </w:tc>
      </w:tr>
      <w:tr w:rsidR="00957522" w:rsidRPr="00B3112C" w:rsidTr="00BB5D67">
        <w:tc>
          <w:tcPr>
            <w:tcW w:w="4889" w:type="dxa"/>
          </w:tcPr>
          <w:p w:rsidR="00957522" w:rsidRPr="001E07CA" w:rsidRDefault="00957522" w:rsidP="00521177">
            <w:pPr>
              <w:rPr>
                <w:lang w:val="sv-SE"/>
              </w:rPr>
            </w:pPr>
          </w:p>
        </w:tc>
        <w:tc>
          <w:tcPr>
            <w:tcW w:w="4889" w:type="dxa"/>
          </w:tcPr>
          <w:p w:rsidR="00957522" w:rsidRPr="001E07CA" w:rsidRDefault="00957522" w:rsidP="00521177">
            <w:pPr>
              <w:rPr>
                <w:i/>
                <w:lang w:val="sv-SE"/>
              </w:rPr>
            </w:pPr>
          </w:p>
          <w:p w:rsidR="00957522" w:rsidRPr="001E07CA" w:rsidRDefault="00C73A5A" w:rsidP="00DE3100">
            <w:pPr>
              <w:rPr>
                <w:i/>
                <w:lang w:val="sv-SE"/>
              </w:rPr>
            </w:pPr>
            <w:r w:rsidRPr="001E07CA">
              <w:rPr>
                <w:i/>
                <w:lang w:val="sv-SE"/>
              </w:rPr>
              <w:t>Denna lag träder i kraft den     2018.</w:t>
            </w:r>
          </w:p>
        </w:tc>
      </w:tr>
    </w:tbl>
    <w:p w:rsidR="00957522" w:rsidRPr="001E07CA" w:rsidRDefault="00957522" w:rsidP="00957522">
      <w:pPr>
        <w:rPr>
          <w:lang w:val="sv-SE"/>
        </w:rPr>
      </w:pPr>
    </w:p>
    <w:p w:rsidR="00957522" w:rsidRPr="001E07CA" w:rsidRDefault="00957522" w:rsidP="00957522">
      <w:pPr>
        <w:rPr>
          <w:lang w:val="sv-SE"/>
        </w:rPr>
      </w:pPr>
      <w:r w:rsidRPr="001E07CA">
        <w:rPr>
          <w:lang w:val="sv-SE"/>
        </w:rPr>
        <w:br w:type="column"/>
      </w:r>
      <w:r w:rsidR="0016553C" w:rsidRPr="0016553C">
        <w:rPr>
          <w:b/>
          <w:sz w:val="28"/>
          <w:szCs w:val="28"/>
          <w:lang w:val="sv-SE"/>
        </w:rPr>
        <w:lastRenderedPageBreak/>
        <w:t xml:space="preserve">4. </w:t>
      </w:r>
      <w:r w:rsidR="00B47481" w:rsidRPr="001E07CA">
        <w:rPr>
          <w:b/>
          <w:lang w:val="sv-SE"/>
        </w:rPr>
        <w:t>Lag om ändring av lagen om säkerhet vid hantering av farliga kemikalier och explosiva varor</w:t>
      </w:r>
    </w:p>
    <w:p w:rsidR="00957522" w:rsidRPr="001E07CA" w:rsidRDefault="00957522" w:rsidP="00957522">
      <w:pPr>
        <w:rPr>
          <w:lang w:val="sv-SE"/>
        </w:rPr>
      </w:pPr>
    </w:p>
    <w:p w:rsidR="00957522" w:rsidRPr="001E07CA" w:rsidRDefault="00957522" w:rsidP="00957522">
      <w:pPr>
        <w:rPr>
          <w:lang w:val="sv-SE"/>
        </w:rPr>
      </w:pPr>
    </w:p>
    <w:p w:rsidR="00957522" w:rsidRPr="001E07CA" w:rsidRDefault="00B47481" w:rsidP="00957522">
      <w:pPr>
        <w:rPr>
          <w:lang w:val="sv-SE"/>
        </w:rPr>
      </w:pPr>
      <w:r w:rsidRPr="001E07CA">
        <w:rPr>
          <w:lang w:val="sv-SE"/>
        </w:rPr>
        <w:t>I enlighet med riksdagens beslut</w:t>
      </w:r>
    </w:p>
    <w:p w:rsidR="00957522" w:rsidRPr="001E07CA" w:rsidRDefault="00957522" w:rsidP="00957522">
      <w:pPr>
        <w:rPr>
          <w:lang w:val="sv-SE"/>
        </w:rPr>
      </w:pPr>
    </w:p>
    <w:p w:rsidR="00957522" w:rsidRPr="001E07CA" w:rsidRDefault="00B47481" w:rsidP="00957522">
      <w:pPr>
        <w:rPr>
          <w:lang w:val="sv-SE"/>
        </w:rPr>
      </w:pPr>
      <w:r w:rsidRPr="001E07CA">
        <w:rPr>
          <w:i/>
          <w:lang w:val="sv-SE"/>
        </w:rPr>
        <w:t xml:space="preserve">upphävs </w:t>
      </w:r>
      <w:r w:rsidRPr="001E07CA">
        <w:rPr>
          <w:lang w:val="sv-SE"/>
        </w:rPr>
        <w:t>i lagen om säkerhet vid hantering av farliga kemikalier och explosiva varor (390/2005) 47 § och</w:t>
      </w:r>
    </w:p>
    <w:p w:rsidR="00957522" w:rsidRPr="001E07CA" w:rsidRDefault="00957522" w:rsidP="00957522">
      <w:pPr>
        <w:rPr>
          <w:lang w:val="sv-SE"/>
        </w:rPr>
      </w:pPr>
    </w:p>
    <w:p w:rsidR="00957522" w:rsidRPr="001E07CA" w:rsidRDefault="00B47481" w:rsidP="00957522">
      <w:pPr>
        <w:rPr>
          <w:lang w:val="sv-SE"/>
        </w:rPr>
      </w:pPr>
      <w:r w:rsidRPr="001E07CA">
        <w:rPr>
          <w:i/>
          <w:lang w:val="sv-SE"/>
        </w:rPr>
        <w:t xml:space="preserve">ändras </w:t>
      </w:r>
      <w:r w:rsidRPr="001E07CA">
        <w:rPr>
          <w:lang w:val="sv-SE"/>
        </w:rPr>
        <w:t xml:space="preserve">50 § 1 mom., 51 §, 52 § 1 mom. och 125 § 1 mom. 5 </w:t>
      </w:r>
      <w:r w:rsidR="004D43D1" w:rsidRPr="001E07CA">
        <w:rPr>
          <w:lang w:val="sv-SE"/>
        </w:rPr>
        <w:t>punkten, av</w:t>
      </w:r>
      <w:r w:rsidR="00034FAE" w:rsidRPr="001E07CA">
        <w:rPr>
          <w:lang w:val="sv-SE"/>
        </w:rPr>
        <w:t xml:space="preserve"> dem 50 § 1 mom. och 52 § 1 mom. sådana de lyder i lag (1142/2016) och 125 § 1 mom. 5 punkten sådan den lyder i lag (358/2015), som följer:</w:t>
      </w:r>
    </w:p>
    <w:p w:rsidR="00957522" w:rsidRPr="001E07CA" w:rsidRDefault="00957522" w:rsidP="00957522">
      <w:pPr>
        <w:rPr>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957522" w:rsidRPr="001E07CA" w:rsidTr="00EF1D00">
        <w:tc>
          <w:tcPr>
            <w:tcW w:w="4889" w:type="dxa"/>
          </w:tcPr>
          <w:p w:rsidR="00957522" w:rsidRPr="001E07CA" w:rsidRDefault="0010354A" w:rsidP="00DE3100">
            <w:pPr>
              <w:rPr>
                <w:lang w:val="sv-SE"/>
              </w:rPr>
            </w:pPr>
            <w:r w:rsidRPr="001E07CA">
              <w:rPr>
                <w:lang w:val="sv-SE"/>
              </w:rPr>
              <w:t>Gällande lydelse</w:t>
            </w:r>
          </w:p>
        </w:tc>
        <w:tc>
          <w:tcPr>
            <w:tcW w:w="4889" w:type="dxa"/>
          </w:tcPr>
          <w:p w:rsidR="00957522" w:rsidRPr="001E07CA" w:rsidRDefault="0010354A" w:rsidP="00DE3100">
            <w:pPr>
              <w:rPr>
                <w:lang w:val="sv-SE"/>
              </w:rPr>
            </w:pPr>
            <w:r w:rsidRPr="001E07CA">
              <w:rPr>
                <w:lang w:val="sv-SE"/>
              </w:rPr>
              <w:t>Föreslagen lydelse</w:t>
            </w:r>
          </w:p>
        </w:tc>
      </w:tr>
      <w:tr w:rsidR="00957522" w:rsidRPr="001E07CA" w:rsidTr="00EF1D00">
        <w:tc>
          <w:tcPr>
            <w:tcW w:w="4889" w:type="dxa"/>
          </w:tcPr>
          <w:p w:rsidR="00957522" w:rsidRPr="001E07CA" w:rsidRDefault="00957522" w:rsidP="00521177">
            <w:pPr>
              <w:rPr>
                <w:lang w:val="sv-SE"/>
              </w:rPr>
            </w:pPr>
          </w:p>
        </w:tc>
        <w:tc>
          <w:tcPr>
            <w:tcW w:w="4889" w:type="dxa"/>
          </w:tcPr>
          <w:p w:rsidR="00957522" w:rsidRPr="001E07CA" w:rsidRDefault="00957522" w:rsidP="00521177">
            <w:pPr>
              <w:rPr>
                <w:lang w:val="sv-SE"/>
              </w:rPr>
            </w:pPr>
          </w:p>
        </w:tc>
      </w:tr>
      <w:tr w:rsidR="00957522" w:rsidRPr="001E07CA" w:rsidTr="00EF1D00">
        <w:tc>
          <w:tcPr>
            <w:tcW w:w="4889" w:type="dxa"/>
          </w:tcPr>
          <w:p w:rsidR="00957522" w:rsidRPr="001E07CA" w:rsidRDefault="00957522" w:rsidP="00521177">
            <w:pPr>
              <w:jc w:val="center"/>
              <w:rPr>
                <w:lang w:val="sv-SE"/>
              </w:rPr>
            </w:pPr>
            <w:r w:rsidRPr="001E07CA">
              <w:rPr>
                <w:lang w:val="sv-SE"/>
              </w:rPr>
              <w:t>47 §</w:t>
            </w:r>
          </w:p>
          <w:p w:rsidR="00957522" w:rsidRPr="001E07CA" w:rsidRDefault="0010354A" w:rsidP="00521177">
            <w:pPr>
              <w:jc w:val="center"/>
              <w:rPr>
                <w:i/>
                <w:lang w:val="sv-SE"/>
              </w:rPr>
            </w:pPr>
            <w:r w:rsidRPr="001E07CA">
              <w:rPr>
                <w:i/>
                <w:lang w:val="sv-SE"/>
              </w:rPr>
              <w:t>Krav i fråga om gasanordningar</w:t>
            </w:r>
          </w:p>
          <w:p w:rsidR="00957522" w:rsidRPr="001E07CA" w:rsidRDefault="00957522" w:rsidP="00521177">
            <w:pPr>
              <w:jc w:val="center"/>
              <w:rPr>
                <w:i/>
                <w:lang w:val="sv-SE"/>
              </w:rPr>
            </w:pPr>
          </w:p>
        </w:tc>
        <w:tc>
          <w:tcPr>
            <w:tcW w:w="4889" w:type="dxa"/>
          </w:tcPr>
          <w:p w:rsidR="00957522" w:rsidRPr="001E07CA" w:rsidRDefault="00957522" w:rsidP="00521177">
            <w:pPr>
              <w:jc w:val="center"/>
              <w:rPr>
                <w:lang w:val="sv-SE"/>
              </w:rPr>
            </w:pPr>
            <w:r w:rsidRPr="001E07CA">
              <w:rPr>
                <w:lang w:val="sv-SE"/>
              </w:rPr>
              <w:t>47 §</w:t>
            </w:r>
          </w:p>
          <w:p w:rsidR="00957522" w:rsidRPr="001E07CA" w:rsidRDefault="00B97AE3" w:rsidP="00521177">
            <w:pPr>
              <w:jc w:val="center"/>
              <w:rPr>
                <w:i/>
                <w:lang w:val="sv-SE"/>
              </w:rPr>
            </w:pPr>
            <w:r w:rsidRPr="001E07CA">
              <w:rPr>
                <w:i/>
                <w:lang w:val="sv-SE"/>
              </w:rPr>
              <w:t>Krav i fråga om gasanordningar</w:t>
            </w:r>
          </w:p>
          <w:p w:rsidR="00957522" w:rsidRPr="001E07CA" w:rsidRDefault="00957522" w:rsidP="00521177">
            <w:pPr>
              <w:jc w:val="center"/>
              <w:rPr>
                <w:lang w:val="sv-SE"/>
              </w:rPr>
            </w:pPr>
          </w:p>
        </w:tc>
      </w:tr>
      <w:tr w:rsidR="00957522" w:rsidRPr="001E07CA" w:rsidTr="00EF1D00">
        <w:tc>
          <w:tcPr>
            <w:tcW w:w="4889" w:type="dxa"/>
          </w:tcPr>
          <w:p w:rsidR="00957522" w:rsidRPr="001E07CA" w:rsidRDefault="0010354A" w:rsidP="00521177">
            <w:pPr>
              <w:rPr>
                <w:i/>
                <w:lang w:val="sv-SE"/>
              </w:rPr>
            </w:pPr>
            <w:r w:rsidRPr="001E07CA">
              <w:rPr>
                <w:i/>
                <w:lang w:val="sv-SE"/>
              </w:rPr>
              <w:t>De anordningar som använder gasformiga bränslen och deras tillbehör (gasanordningar) ska planeras och tillverkas så att de fungerar tryggt när de drivs i enlighet med sitt driftsändamål.</w:t>
            </w:r>
            <w:r w:rsidR="00957522" w:rsidRPr="001E07CA">
              <w:rPr>
                <w:i/>
                <w:lang w:val="sv-SE"/>
              </w:rPr>
              <w:t xml:space="preserve"> </w:t>
            </w:r>
            <w:r w:rsidRPr="001E07CA">
              <w:rPr>
                <w:i/>
                <w:lang w:val="sv-SE"/>
              </w:rPr>
              <w:t>I synnerhet skall det ombesörjas att</w:t>
            </w:r>
          </w:p>
          <w:p w:rsidR="00957522" w:rsidRPr="001E07CA" w:rsidRDefault="00957522" w:rsidP="00521177">
            <w:pPr>
              <w:rPr>
                <w:i/>
                <w:lang w:val="sv-SE"/>
              </w:rPr>
            </w:pPr>
            <w:r w:rsidRPr="001E07CA">
              <w:rPr>
                <w:i/>
                <w:lang w:val="sv-SE"/>
              </w:rPr>
              <w:t xml:space="preserve"> </w:t>
            </w:r>
          </w:p>
          <w:p w:rsidR="00957522" w:rsidRPr="001E07CA" w:rsidRDefault="0010354A" w:rsidP="00521177">
            <w:pPr>
              <w:rPr>
                <w:i/>
                <w:lang w:val="sv-SE"/>
              </w:rPr>
            </w:pPr>
            <w:r w:rsidRPr="001E07CA">
              <w:rPr>
                <w:i/>
                <w:lang w:val="sv-SE"/>
              </w:rPr>
              <w:t>1) en gasanordnings konstruktionsmaterial tål förutsägbara mekaniska och kemiska verkningar och verkningar av värme,</w:t>
            </w:r>
          </w:p>
          <w:p w:rsidR="00957522" w:rsidRPr="001E07CA" w:rsidRDefault="00957522" w:rsidP="00521177">
            <w:pPr>
              <w:rPr>
                <w:i/>
                <w:lang w:val="sv-SE"/>
              </w:rPr>
            </w:pPr>
            <w:r w:rsidRPr="001E07CA">
              <w:rPr>
                <w:i/>
                <w:lang w:val="sv-SE"/>
              </w:rPr>
              <w:t xml:space="preserve"> </w:t>
            </w:r>
          </w:p>
          <w:p w:rsidR="00957522" w:rsidRPr="001E07CA" w:rsidRDefault="0010354A" w:rsidP="0010354A">
            <w:pPr>
              <w:rPr>
                <w:lang w:val="sv-SE"/>
              </w:rPr>
            </w:pPr>
            <w:r w:rsidRPr="001E07CA">
              <w:rPr>
                <w:i/>
                <w:lang w:val="sv-SE"/>
              </w:rPr>
              <w:t>2) gasanordningens konstruktion samt regler- och varningsanordningar säkerställer att anordningen fungerar stabilt och säkert, så att inga gasläckage förekommer och att förbränningsprodukterna eller en stegring av temperaturen inte förorsakar fara.</w:t>
            </w:r>
          </w:p>
          <w:p w:rsidR="00A14B1A" w:rsidRPr="001E07CA" w:rsidRDefault="00A14B1A" w:rsidP="0010354A">
            <w:pPr>
              <w:rPr>
                <w:lang w:val="sv-SE"/>
              </w:rPr>
            </w:pPr>
          </w:p>
        </w:tc>
        <w:tc>
          <w:tcPr>
            <w:tcW w:w="4889" w:type="dxa"/>
          </w:tcPr>
          <w:p w:rsidR="00957522" w:rsidRPr="001E07CA" w:rsidRDefault="0010354A" w:rsidP="00DE3100">
            <w:pPr>
              <w:rPr>
                <w:lang w:val="sv-SE"/>
              </w:rPr>
            </w:pPr>
            <w:r w:rsidRPr="001E07CA">
              <w:rPr>
                <w:lang w:val="sv-SE"/>
              </w:rPr>
              <w:t>(</w:t>
            </w:r>
            <w:r w:rsidRPr="001E07CA">
              <w:rPr>
                <w:i/>
                <w:lang w:val="sv-SE"/>
              </w:rPr>
              <w:t>upphävs</w:t>
            </w:r>
            <w:r w:rsidRPr="001E07CA">
              <w:rPr>
                <w:lang w:val="sv-SE"/>
              </w:rPr>
              <w:t>)</w:t>
            </w:r>
            <w:r w:rsidR="00957522" w:rsidRPr="001E07CA">
              <w:rPr>
                <w:lang w:val="sv-SE"/>
              </w:rPr>
              <w:t xml:space="preserve"> </w:t>
            </w:r>
          </w:p>
        </w:tc>
      </w:tr>
      <w:tr w:rsidR="00957522" w:rsidRPr="001E07CA" w:rsidTr="00EF1D00">
        <w:tc>
          <w:tcPr>
            <w:tcW w:w="4889" w:type="dxa"/>
          </w:tcPr>
          <w:p w:rsidR="00957522" w:rsidRPr="001E07CA" w:rsidRDefault="00957522" w:rsidP="00521177">
            <w:pPr>
              <w:jc w:val="center"/>
              <w:rPr>
                <w:lang w:val="sv-SE"/>
              </w:rPr>
            </w:pPr>
            <w:r w:rsidRPr="001E07CA">
              <w:rPr>
                <w:lang w:val="sv-SE"/>
              </w:rPr>
              <w:t>50 §</w:t>
            </w:r>
          </w:p>
          <w:p w:rsidR="00957522" w:rsidRPr="001E07CA" w:rsidRDefault="0010354A" w:rsidP="00521177">
            <w:pPr>
              <w:jc w:val="center"/>
              <w:rPr>
                <w:i/>
                <w:lang w:val="sv-SE"/>
              </w:rPr>
            </w:pPr>
            <w:r w:rsidRPr="001E07CA">
              <w:rPr>
                <w:i/>
                <w:lang w:val="sv-SE"/>
              </w:rPr>
              <w:t>Visande av överensstämmelse med kraven</w:t>
            </w:r>
          </w:p>
          <w:p w:rsidR="00957522" w:rsidRPr="001E07CA" w:rsidRDefault="00957522" w:rsidP="00521177">
            <w:pPr>
              <w:jc w:val="center"/>
              <w:rPr>
                <w:i/>
                <w:lang w:val="sv-SE"/>
              </w:rPr>
            </w:pPr>
          </w:p>
        </w:tc>
        <w:tc>
          <w:tcPr>
            <w:tcW w:w="4889" w:type="dxa"/>
          </w:tcPr>
          <w:p w:rsidR="00957522" w:rsidRPr="001E07CA" w:rsidRDefault="00957522" w:rsidP="00521177">
            <w:pPr>
              <w:jc w:val="center"/>
              <w:rPr>
                <w:lang w:val="sv-SE"/>
              </w:rPr>
            </w:pPr>
            <w:r w:rsidRPr="001E07CA">
              <w:rPr>
                <w:lang w:val="sv-SE"/>
              </w:rPr>
              <w:t>50 §</w:t>
            </w:r>
          </w:p>
          <w:p w:rsidR="00957522" w:rsidRPr="001E07CA" w:rsidRDefault="00A14B1A" w:rsidP="00521177">
            <w:pPr>
              <w:jc w:val="center"/>
              <w:rPr>
                <w:i/>
                <w:lang w:val="sv-SE"/>
              </w:rPr>
            </w:pPr>
            <w:r w:rsidRPr="001E07CA">
              <w:rPr>
                <w:i/>
                <w:lang w:val="sv-SE"/>
              </w:rPr>
              <w:t>Visande av överensstämmelse med kraven</w:t>
            </w:r>
          </w:p>
          <w:p w:rsidR="00957522" w:rsidRPr="001E07CA" w:rsidRDefault="00957522" w:rsidP="00521177">
            <w:pPr>
              <w:jc w:val="center"/>
              <w:rPr>
                <w:i/>
                <w:lang w:val="sv-SE"/>
              </w:rPr>
            </w:pPr>
          </w:p>
        </w:tc>
      </w:tr>
      <w:tr w:rsidR="00957522" w:rsidRPr="00B3112C" w:rsidTr="00EF1D00">
        <w:tc>
          <w:tcPr>
            <w:tcW w:w="4889" w:type="dxa"/>
          </w:tcPr>
          <w:p w:rsidR="00957522" w:rsidRPr="001E07CA" w:rsidRDefault="0010354A" w:rsidP="00521177">
            <w:pPr>
              <w:rPr>
                <w:lang w:val="sv-SE"/>
              </w:rPr>
            </w:pPr>
            <w:r w:rsidRPr="001E07CA">
              <w:rPr>
                <w:lang w:val="sv-SE"/>
              </w:rPr>
              <w:t>Den som på marknaden släpper ut en sådan produkt som avses i 47–49 § ska försäkra sig om och visa att produkten uppfyller de krav som gäller den.</w:t>
            </w:r>
            <w:r w:rsidR="00957522" w:rsidRPr="001E07CA">
              <w:rPr>
                <w:lang w:val="sv-SE"/>
              </w:rPr>
              <w:t xml:space="preserve"> </w:t>
            </w:r>
            <w:r w:rsidRPr="001E07CA">
              <w:rPr>
                <w:lang w:val="sv-SE"/>
              </w:rPr>
              <w:t>Vid bedömningen av överensstämmelse med kraven ska ett besiktningsorgan som avses i 100 § anlitas när produktens egenskaper och användningsändamål kräver detta.</w:t>
            </w:r>
          </w:p>
          <w:p w:rsidR="00957522" w:rsidRPr="001E07CA" w:rsidRDefault="00957522" w:rsidP="00521177">
            <w:pPr>
              <w:rPr>
                <w:lang w:val="sv-SE"/>
              </w:rPr>
            </w:pPr>
            <w:r w:rsidRPr="001E07CA">
              <w:rPr>
                <w:lang w:val="sv-SE"/>
              </w:rPr>
              <w:t xml:space="preserve"> </w:t>
            </w:r>
          </w:p>
        </w:tc>
        <w:tc>
          <w:tcPr>
            <w:tcW w:w="4889" w:type="dxa"/>
          </w:tcPr>
          <w:p w:rsidR="00957522" w:rsidRPr="001E07CA" w:rsidRDefault="0010354A" w:rsidP="00521177">
            <w:pPr>
              <w:rPr>
                <w:lang w:val="sv-SE"/>
              </w:rPr>
            </w:pPr>
            <w:r w:rsidRPr="001E07CA">
              <w:rPr>
                <w:lang w:val="sv-SE"/>
              </w:rPr>
              <w:t xml:space="preserve">Den som på marknaden släpper ut en sådan produkt som avses i </w:t>
            </w:r>
            <w:r w:rsidRPr="001E07CA">
              <w:rPr>
                <w:i/>
                <w:lang w:val="sv-SE"/>
              </w:rPr>
              <w:t>48 och 49 §</w:t>
            </w:r>
            <w:r w:rsidRPr="001E07CA">
              <w:rPr>
                <w:lang w:val="sv-SE"/>
              </w:rPr>
              <w:t xml:space="preserve"> ska försäkra sig om och visa att produkten uppfyller de krav som gäller den.</w:t>
            </w:r>
            <w:r w:rsidR="00957522" w:rsidRPr="001E07CA">
              <w:rPr>
                <w:lang w:val="sv-SE"/>
              </w:rPr>
              <w:t xml:space="preserve"> </w:t>
            </w:r>
            <w:r w:rsidRPr="001E07CA">
              <w:rPr>
                <w:lang w:val="sv-SE"/>
              </w:rPr>
              <w:t>Vid bedömningen av överensstämmelse med kraven ska ett besiktningsorgan som avses i 100 § anlitas när produktens egenskaper och användningsändamål kräver detta.</w:t>
            </w:r>
          </w:p>
          <w:p w:rsidR="00957522" w:rsidRPr="001E07CA" w:rsidRDefault="00957522" w:rsidP="00521177">
            <w:pPr>
              <w:rPr>
                <w:lang w:val="sv-SE"/>
              </w:rPr>
            </w:pPr>
          </w:p>
        </w:tc>
      </w:tr>
      <w:tr w:rsidR="00957522" w:rsidRPr="001E07CA" w:rsidTr="00EF1D00">
        <w:tc>
          <w:tcPr>
            <w:tcW w:w="4889" w:type="dxa"/>
          </w:tcPr>
          <w:p w:rsidR="00957522" w:rsidRPr="001E07CA" w:rsidRDefault="00957522" w:rsidP="00521177">
            <w:pPr>
              <w:jc w:val="center"/>
              <w:rPr>
                <w:lang w:val="sv-SE"/>
              </w:rPr>
            </w:pPr>
            <w:r w:rsidRPr="001E07CA">
              <w:rPr>
                <w:lang w:val="sv-SE"/>
              </w:rPr>
              <w:t>51 §</w:t>
            </w:r>
          </w:p>
          <w:p w:rsidR="00957522" w:rsidRPr="001E07CA" w:rsidRDefault="0010354A" w:rsidP="00521177">
            <w:pPr>
              <w:jc w:val="center"/>
              <w:rPr>
                <w:i/>
                <w:lang w:val="sv-SE"/>
              </w:rPr>
            </w:pPr>
            <w:r w:rsidRPr="001E07CA">
              <w:rPr>
                <w:i/>
                <w:lang w:val="sv-SE"/>
              </w:rPr>
              <w:t>Anvisningar och märkningar</w:t>
            </w:r>
          </w:p>
          <w:p w:rsidR="00957522" w:rsidRPr="001E07CA" w:rsidRDefault="00957522" w:rsidP="00521177">
            <w:pPr>
              <w:jc w:val="center"/>
              <w:rPr>
                <w:i/>
                <w:lang w:val="sv-SE"/>
              </w:rPr>
            </w:pPr>
          </w:p>
        </w:tc>
        <w:tc>
          <w:tcPr>
            <w:tcW w:w="4889" w:type="dxa"/>
          </w:tcPr>
          <w:p w:rsidR="00957522" w:rsidRPr="001E07CA" w:rsidRDefault="00957522" w:rsidP="00521177">
            <w:pPr>
              <w:jc w:val="center"/>
              <w:rPr>
                <w:lang w:val="sv-SE"/>
              </w:rPr>
            </w:pPr>
            <w:r w:rsidRPr="001E07CA">
              <w:rPr>
                <w:lang w:val="sv-SE"/>
              </w:rPr>
              <w:t>51 §</w:t>
            </w:r>
          </w:p>
          <w:p w:rsidR="00957522" w:rsidRPr="001E07CA" w:rsidRDefault="001571FF" w:rsidP="00DE3100">
            <w:pPr>
              <w:jc w:val="center"/>
              <w:rPr>
                <w:lang w:val="sv-SE"/>
              </w:rPr>
            </w:pPr>
            <w:r w:rsidRPr="001E07CA">
              <w:rPr>
                <w:i/>
                <w:lang w:val="sv-SE"/>
              </w:rPr>
              <w:t>Anvisningar och märkningar</w:t>
            </w:r>
          </w:p>
        </w:tc>
      </w:tr>
      <w:tr w:rsidR="00957522" w:rsidRPr="00B3112C" w:rsidTr="00EF1D00">
        <w:tc>
          <w:tcPr>
            <w:tcW w:w="4889" w:type="dxa"/>
          </w:tcPr>
          <w:p w:rsidR="00957522" w:rsidRPr="001E07CA" w:rsidRDefault="0010354A" w:rsidP="00521177">
            <w:pPr>
              <w:rPr>
                <w:lang w:val="sv-SE"/>
              </w:rPr>
            </w:pPr>
            <w:r w:rsidRPr="001E07CA">
              <w:rPr>
                <w:lang w:val="sv-SE"/>
              </w:rPr>
              <w:t>Den som på marknaden släpper ut en produkt som avses i 46–49 § skall se till att med produkten följer de uppgifter och anvisningar som förutsätts för att produkten skall kunna installeras, tas i bruk, användas och underhållas på ett säkert sätt.</w:t>
            </w:r>
          </w:p>
          <w:p w:rsidR="00957522" w:rsidRPr="001E07CA" w:rsidRDefault="00957522" w:rsidP="00521177">
            <w:pPr>
              <w:rPr>
                <w:lang w:val="sv-SE"/>
              </w:rPr>
            </w:pPr>
            <w:r w:rsidRPr="001E07CA">
              <w:rPr>
                <w:lang w:val="sv-SE"/>
              </w:rPr>
              <w:lastRenderedPageBreak/>
              <w:t xml:space="preserve"> </w:t>
            </w:r>
          </w:p>
          <w:p w:rsidR="00957522" w:rsidRPr="001E07CA" w:rsidRDefault="0010354A" w:rsidP="0010354A">
            <w:pPr>
              <w:rPr>
                <w:lang w:val="sv-SE"/>
              </w:rPr>
            </w:pPr>
            <w:r w:rsidRPr="001E07CA">
              <w:rPr>
                <w:lang w:val="sv-SE"/>
              </w:rPr>
              <w:t>Den som på marknaden släpper ut en produkt som avses i 46–49 § skall se till att produkten har försetts med de märkningar som krävs för säker användning av produkten och för identifiering av den samt utredning av tillverkaren och den som har släppt ut produkten på marknaden samt med märkningar som visar att produkten stämmer överens med kraven.</w:t>
            </w:r>
          </w:p>
          <w:p w:rsidR="0010354A" w:rsidRPr="001E07CA" w:rsidRDefault="0010354A" w:rsidP="0010354A">
            <w:pPr>
              <w:rPr>
                <w:lang w:val="sv-SE"/>
              </w:rPr>
            </w:pPr>
          </w:p>
        </w:tc>
        <w:tc>
          <w:tcPr>
            <w:tcW w:w="4889" w:type="dxa"/>
          </w:tcPr>
          <w:p w:rsidR="00957522" w:rsidRPr="001E07CA" w:rsidRDefault="0010354A" w:rsidP="00521177">
            <w:pPr>
              <w:rPr>
                <w:lang w:val="sv-SE"/>
              </w:rPr>
            </w:pPr>
            <w:r w:rsidRPr="001E07CA">
              <w:rPr>
                <w:lang w:val="sv-SE"/>
              </w:rPr>
              <w:lastRenderedPageBreak/>
              <w:t xml:space="preserve">Den som på marknaden släpper ut en produkt som avses i </w:t>
            </w:r>
            <w:r w:rsidRPr="001E07CA">
              <w:rPr>
                <w:i/>
                <w:lang w:val="sv-SE"/>
              </w:rPr>
              <w:t>48 och 49 §</w:t>
            </w:r>
            <w:r w:rsidRPr="001E07CA">
              <w:rPr>
                <w:lang w:val="sv-SE"/>
              </w:rPr>
              <w:t xml:space="preserve"> ska se till att med produkten följer de uppgifter och anvisningar som förutsätts för att produkten ska kunna installeras, tas i bruk, användas och underhållas på ett säkert sätt.</w:t>
            </w:r>
          </w:p>
          <w:p w:rsidR="00957522" w:rsidRPr="001E07CA" w:rsidRDefault="00957522" w:rsidP="00521177">
            <w:pPr>
              <w:rPr>
                <w:lang w:val="sv-SE"/>
              </w:rPr>
            </w:pPr>
          </w:p>
          <w:p w:rsidR="00957522" w:rsidRPr="001E07CA" w:rsidRDefault="0010354A" w:rsidP="00DE3100">
            <w:pPr>
              <w:rPr>
                <w:lang w:val="sv-SE"/>
              </w:rPr>
            </w:pPr>
            <w:r w:rsidRPr="001E07CA">
              <w:rPr>
                <w:lang w:val="sv-SE"/>
              </w:rPr>
              <w:t xml:space="preserve">Den som på marknaden släpper ut en produkt som avses i </w:t>
            </w:r>
            <w:r w:rsidRPr="001E07CA">
              <w:rPr>
                <w:i/>
                <w:lang w:val="sv-SE"/>
              </w:rPr>
              <w:t>48 och 49 §</w:t>
            </w:r>
            <w:r w:rsidRPr="001E07CA">
              <w:rPr>
                <w:lang w:val="sv-SE"/>
              </w:rPr>
              <w:t xml:space="preserve"> ska se till att produkten har försetts med de märkningar som krävs för säker användning av produkten och för identifiering av den samt utredning av tillverkaren och den som har släppt ut produkten på marknaden samt med märkningar som visar att produkten stämmer överens med kraven.</w:t>
            </w:r>
          </w:p>
        </w:tc>
      </w:tr>
      <w:tr w:rsidR="00957522" w:rsidRPr="00B3112C" w:rsidTr="00EF1D00">
        <w:tc>
          <w:tcPr>
            <w:tcW w:w="4889" w:type="dxa"/>
          </w:tcPr>
          <w:p w:rsidR="00957522" w:rsidRPr="001E07CA" w:rsidRDefault="00957522" w:rsidP="00521177">
            <w:pPr>
              <w:jc w:val="center"/>
              <w:rPr>
                <w:lang w:val="sv-SE"/>
              </w:rPr>
            </w:pPr>
            <w:r w:rsidRPr="001E07CA">
              <w:rPr>
                <w:lang w:val="sv-SE"/>
              </w:rPr>
              <w:lastRenderedPageBreak/>
              <w:t>52 §</w:t>
            </w:r>
          </w:p>
          <w:p w:rsidR="00957522" w:rsidRPr="001E07CA" w:rsidRDefault="0010354A" w:rsidP="00521177">
            <w:pPr>
              <w:jc w:val="center"/>
              <w:rPr>
                <w:i/>
                <w:lang w:val="sv-SE"/>
              </w:rPr>
            </w:pPr>
            <w:r w:rsidRPr="001E07CA">
              <w:rPr>
                <w:i/>
                <w:lang w:val="sv-SE"/>
              </w:rPr>
              <w:t>Bemyndigande att utfärda förordning om produkter som är förknippade med farliga kemikalier</w:t>
            </w:r>
          </w:p>
          <w:p w:rsidR="00957522" w:rsidRPr="001E07CA" w:rsidRDefault="00957522" w:rsidP="00521177">
            <w:pPr>
              <w:jc w:val="center"/>
              <w:rPr>
                <w:i/>
                <w:lang w:val="sv-SE"/>
              </w:rPr>
            </w:pPr>
          </w:p>
        </w:tc>
        <w:tc>
          <w:tcPr>
            <w:tcW w:w="4889" w:type="dxa"/>
          </w:tcPr>
          <w:p w:rsidR="00957522" w:rsidRPr="001E07CA" w:rsidRDefault="00957522" w:rsidP="00521177">
            <w:pPr>
              <w:jc w:val="center"/>
              <w:rPr>
                <w:lang w:val="sv-SE"/>
              </w:rPr>
            </w:pPr>
            <w:r w:rsidRPr="001E07CA">
              <w:rPr>
                <w:lang w:val="sv-SE"/>
              </w:rPr>
              <w:t>52 §</w:t>
            </w:r>
          </w:p>
          <w:p w:rsidR="00957522" w:rsidRPr="001E07CA" w:rsidRDefault="00315380" w:rsidP="00DE3100">
            <w:pPr>
              <w:jc w:val="center"/>
              <w:rPr>
                <w:lang w:val="sv-SE"/>
              </w:rPr>
            </w:pPr>
            <w:r w:rsidRPr="001E07CA">
              <w:rPr>
                <w:i/>
                <w:lang w:val="sv-SE"/>
              </w:rPr>
              <w:t>Bemyndigande att utfärda förordning om produkter som är förknippade med farliga kemikalier</w:t>
            </w:r>
          </w:p>
        </w:tc>
      </w:tr>
      <w:tr w:rsidR="00957522" w:rsidRPr="00B3112C" w:rsidTr="00EF1D00">
        <w:tc>
          <w:tcPr>
            <w:tcW w:w="4889" w:type="dxa"/>
          </w:tcPr>
          <w:p w:rsidR="00957522" w:rsidRPr="001E07CA" w:rsidRDefault="0010354A" w:rsidP="0010354A">
            <w:pPr>
              <w:rPr>
                <w:lang w:val="sv-SE"/>
              </w:rPr>
            </w:pPr>
            <w:r w:rsidRPr="001E07CA">
              <w:rPr>
                <w:lang w:val="sv-SE"/>
              </w:rPr>
              <w:t>Genom förordning av statsrådet utfärdas det i fråga om de produkter som avses i 47–49 § närmare bestämmelser om detaljerade säkerhetskrav, visande av överensstämmelse med kraven och anlitande av besiktningsorgan vid bedömningen av överensstämmelsen med kraven, märkningar av produkter samt de anvisningar och uppgifter som ska följa med produkterna.</w:t>
            </w:r>
          </w:p>
          <w:p w:rsidR="0010354A" w:rsidRPr="001E07CA" w:rsidRDefault="0010354A" w:rsidP="0010354A">
            <w:pPr>
              <w:rPr>
                <w:lang w:val="sv-SE"/>
              </w:rPr>
            </w:pPr>
          </w:p>
        </w:tc>
        <w:tc>
          <w:tcPr>
            <w:tcW w:w="4889" w:type="dxa"/>
          </w:tcPr>
          <w:p w:rsidR="00957522" w:rsidRPr="001E07CA" w:rsidRDefault="0010354A" w:rsidP="00DE3100">
            <w:pPr>
              <w:rPr>
                <w:lang w:val="sv-SE"/>
              </w:rPr>
            </w:pPr>
            <w:r w:rsidRPr="001E07CA">
              <w:rPr>
                <w:lang w:val="sv-SE"/>
              </w:rPr>
              <w:t xml:space="preserve">Genom förordning av statsrådet utfärdas det i fråga om de produkter som avses i </w:t>
            </w:r>
            <w:r w:rsidRPr="001E07CA">
              <w:rPr>
                <w:i/>
                <w:lang w:val="sv-SE"/>
              </w:rPr>
              <w:t>48 och 49 §</w:t>
            </w:r>
            <w:r w:rsidRPr="001E07CA">
              <w:rPr>
                <w:lang w:val="sv-SE"/>
              </w:rPr>
              <w:t xml:space="preserve"> närmare bestämmelser om detaljerade säkerhetskrav, visande av överensstämmelse med kraven och anlitande av besiktningsorgan vid bedömningen av överensstämmelsen med kraven, märkningar av produkter samt de anvisningar och uppgifter som ska följa med produkterna.</w:t>
            </w:r>
          </w:p>
        </w:tc>
      </w:tr>
      <w:tr w:rsidR="00957522" w:rsidRPr="001E07CA" w:rsidTr="00EF1D00">
        <w:tc>
          <w:tcPr>
            <w:tcW w:w="4889" w:type="dxa"/>
          </w:tcPr>
          <w:p w:rsidR="00957522" w:rsidRPr="001E07CA" w:rsidRDefault="00957522" w:rsidP="00521177">
            <w:pPr>
              <w:jc w:val="center"/>
              <w:rPr>
                <w:lang w:val="sv-SE"/>
              </w:rPr>
            </w:pPr>
            <w:r w:rsidRPr="001E07CA">
              <w:rPr>
                <w:lang w:val="sv-SE"/>
              </w:rPr>
              <w:t>125 §</w:t>
            </w:r>
          </w:p>
          <w:p w:rsidR="00957522" w:rsidRPr="001E07CA" w:rsidRDefault="00A14B1A" w:rsidP="00521177">
            <w:pPr>
              <w:jc w:val="center"/>
              <w:rPr>
                <w:i/>
                <w:lang w:val="sv-SE"/>
              </w:rPr>
            </w:pPr>
            <w:r w:rsidRPr="001E07CA">
              <w:rPr>
                <w:i/>
                <w:lang w:val="sv-SE"/>
              </w:rPr>
              <w:t>Brott mot bestämmelserna om explosiva varor</w:t>
            </w:r>
          </w:p>
          <w:p w:rsidR="00957522" w:rsidRPr="001E07CA" w:rsidRDefault="00957522" w:rsidP="00521177">
            <w:pPr>
              <w:jc w:val="center"/>
              <w:rPr>
                <w:lang w:val="sv-SE"/>
              </w:rPr>
            </w:pPr>
          </w:p>
          <w:p w:rsidR="00A14B1A" w:rsidRPr="001E07CA" w:rsidRDefault="00EF1D00" w:rsidP="00521177">
            <w:pPr>
              <w:jc w:val="center"/>
              <w:rPr>
                <w:lang w:val="sv-SE"/>
              </w:rPr>
            </w:pPr>
            <w:r w:rsidRPr="001E07CA">
              <w:rPr>
                <w:lang w:val="sv-SE"/>
              </w:rPr>
              <w:t>Den som uppsåtligen eller av oaktsamhet i strid med denna lag eller en bestämmelse som utfärdats med stöd av den bryter mot</w:t>
            </w:r>
          </w:p>
          <w:p w:rsidR="00CF3D16" w:rsidRPr="001E07CA" w:rsidRDefault="00CF3D16" w:rsidP="00521177">
            <w:pPr>
              <w:jc w:val="center"/>
              <w:rPr>
                <w:lang w:val="sv-SE"/>
              </w:rPr>
            </w:pPr>
            <w:r w:rsidRPr="001E07CA">
              <w:rPr>
                <w:lang w:val="sv-SE"/>
              </w:rPr>
              <w:t>--------------------------------------------------------</w:t>
            </w:r>
          </w:p>
          <w:p w:rsidR="00A14B1A" w:rsidRPr="001E07CA" w:rsidRDefault="00A14B1A" w:rsidP="00521177">
            <w:pPr>
              <w:jc w:val="center"/>
              <w:rPr>
                <w:lang w:val="sv-SE"/>
              </w:rPr>
            </w:pPr>
          </w:p>
        </w:tc>
        <w:tc>
          <w:tcPr>
            <w:tcW w:w="4889" w:type="dxa"/>
          </w:tcPr>
          <w:p w:rsidR="00957522" w:rsidRPr="001E07CA" w:rsidRDefault="00957522" w:rsidP="00521177">
            <w:pPr>
              <w:jc w:val="center"/>
              <w:rPr>
                <w:lang w:val="sv-SE"/>
              </w:rPr>
            </w:pPr>
            <w:r w:rsidRPr="001E07CA">
              <w:rPr>
                <w:lang w:val="sv-SE"/>
              </w:rPr>
              <w:t>125 §</w:t>
            </w:r>
          </w:p>
          <w:p w:rsidR="00A14B1A" w:rsidRPr="001E07CA" w:rsidRDefault="002E6F5A" w:rsidP="00A14B1A">
            <w:pPr>
              <w:jc w:val="center"/>
              <w:rPr>
                <w:lang w:val="sv-SE"/>
              </w:rPr>
            </w:pPr>
            <w:r w:rsidRPr="001E07CA">
              <w:rPr>
                <w:i/>
                <w:lang w:val="sv-SE"/>
              </w:rPr>
              <w:t>Brott mot bestämmelserna om explosiva varor</w:t>
            </w:r>
          </w:p>
          <w:p w:rsidR="00A14B1A" w:rsidRPr="001E07CA" w:rsidRDefault="00A14B1A" w:rsidP="00A14B1A">
            <w:pPr>
              <w:jc w:val="center"/>
              <w:rPr>
                <w:lang w:val="sv-SE"/>
              </w:rPr>
            </w:pPr>
          </w:p>
          <w:p w:rsidR="00A14B1A" w:rsidRPr="001E07CA" w:rsidRDefault="00EF1D00" w:rsidP="00A14B1A">
            <w:pPr>
              <w:jc w:val="center"/>
              <w:rPr>
                <w:lang w:val="sv-SE"/>
              </w:rPr>
            </w:pPr>
            <w:r w:rsidRPr="001E07CA">
              <w:rPr>
                <w:lang w:val="sv-SE"/>
              </w:rPr>
              <w:t>Den som uppsåtligen eller av oaktsamhet i strid med denna lag eller en bestämmelse som utfärdats med stöd av den bryter mot</w:t>
            </w:r>
          </w:p>
          <w:p w:rsidR="00CF3D16" w:rsidRPr="001E07CA" w:rsidRDefault="00CF3D16" w:rsidP="00A14B1A">
            <w:pPr>
              <w:jc w:val="center"/>
              <w:rPr>
                <w:lang w:val="sv-SE"/>
              </w:rPr>
            </w:pPr>
            <w:r w:rsidRPr="001E07CA">
              <w:rPr>
                <w:lang w:val="sv-SE"/>
              </w:rPr>
              <w:t>----------------------------------------------------------</w:t>
            </w:r>
          </w:p>
          <w:p w:rsidR="00A14B1A" w:rsidRPr="001E07CA" w:rsidRDefault="00A14B1A" w:rsidP="002E6F5A">
            <w:pPr>
              <w:jc w:val="center"/>
              <w:rPr>
                <w:lang w:val="sv-SE"/>
              </w:rPr>
            </w:pPr>
          </w:p>
        </w:tc>
      </w:tr>
      <w:tr w:rsidR="00957522" w:rsidRPr="001E07CA" w:rsidTr="00EF1D00">
        <w:tc>
          <w:tcPr>
            <w:tcW w:w="4889" w:type="dxa"/>
          </w:tcPr>
          <w:p w:rsidR="00957522" w:rsidRPr="001E07CA" w:rsidRDefault="002E6F5A" w:rsidP="002E6F5A">
            <w:pPr>
              <w:rPr>
                <w:lang w:val="sv-SE"/>
              </w:rPr>
            </w:pPr>
            <w:r w:rsidRPr="001E07CA">
              <w:rPr>
                <w:lang w:val="sv-SE"/>
              </w:rPr>
              <w:t>5) skyldigheten enligt 5 kap. som gäller tillverkning, import eller utsläppande på marknaden av en produkt som avses i 46–49 § eller motsvarande skyldighet enligt 67–69 eller 69 a § som gäller explosiva varor,</w:t>
            </w:r>
          </w:p>
          <w:p w:rsidR="007A4ED9" w:rsidRPr="001E07CA" w:rsidRDefault="007A4ED9" w:rsidP="007A4ED9">
            <w:pPr>
              <w:jc w:val="center"/>
              <w:rPr>
                <w:lang w:val="sv-SE"/>
              </w:rPr>
            </w:pPr>
            <w:r w:rsidRPr="001E07CA">
              <w:rPr>
                <w:lang w:val="sv-SE"/>
              </w:rPr>
              <w:t>--------------------------------------------------------</w:t>
            </w:r>
          </w:p>
          <w:p w:rsidR="007A4ED9" w:rsidRPr="001E07CA" w:rsidRDefault="007A4ED9" w:rsidP="002E6F5A">
            <w:pPr>
              <w:rPr>
                <w:lang w:val="sv-SE"/>
              </w:rPr>
            </w:pPr>
          </w:p>
        </w:tc>
        <w:tc>
          <w:tcPr>
            <w:tcW w:w="4889" w:type="dxa"/>
          </w:tcPr>
          <w:p w:rsidR="00957522" w:rsidRPr="001E07CA" w:rsidRDefault="002E6F5A" w:rsidP="00521177">
            <w:pPr>
              <w:rPr>
                <w:lang w:val="sv-SE"/>
              </w:rPr>
            </w:pPr>
            <w:r w:rsidRPr="001E07CA">
              <w:rPr>
                <w:lang w:val="sv-SE"/>
              </w:rPr>
              <w:t xml:space="preserve">5) skyldigheten enligt 5 kap. som gäller tillverkning, import eller utsläppande på marknaden av en produkt som avses i </w:t>
            </w:r>
            <w:r w:rsidRPr="001E07CA">
              <w:rPr>
                <w:i/>
                <w:lang w:val="sv-SE"/>
              </w:rPr>
              <w:t>48 och 49 §</w:t>
            </w:r>
            <w:r w:rsidRPr="001E07CA">
              <w:rPr>
                <w:lang w:val="sv-SE"/>
              </w:rPr>
              <w:t xml:space="preserve"> eller motsvarande skyldighet enligt 67–69 eller 69 a § som gäller explosiva varor,</w:t>
            </w:r>
          </w:p>
          <w:p w:rsidR="007F3684" w:rsidRPr="001E07CA" w:rsidRDefault="007F3684" w:rsidP="007F3684">
            <w:pPr>
              <w:jc w:val="center"/>
              <w:rPr>
                <w:lang w:val="sv-SE"/>
              </w:rPr>
            </w:pPr>
            <w:r w:rsidRPr="001E07CA">
              <w:rPr>
                <w:lang w:val="sv-SE"/>
              </w:rPr>
              <w:t>--------------------------------------------------------</w:t>
            </w:r>
          </w:p>
          <w:p w:rsidR="00957522" w:rsidRPr="001E07CA" w:rsidRDefault="00957522" w:rsidP="00521177">
            <w:pPr>
              <w:rPr>
                <w:lang w:val="sv-SE"/>
              </w:rPr>
            </w:pPr>
          </w:p>
        </w:tc>
      </w:tr>
      <w:tr w:rsidR="00957522" w:rsidRPr="00B3112C" w:rsidTr="00EF1D00">
        <w:tc>
          <w:tcPr>
            <w:tcW w:w="4889" w:type="dxa"/>
          </w:tcPr>
          <w:p w:rsidR="00957522" w:rsidRPr="001E07CA" w:rsidRDefault="00957522" w:rsidP="00521177">
            <w:pPr>
              <w:rPr>
                <w:lang w:val="sv-SE"/>
              </w:rPr>
            </w:pPr>
          </w:p>
        </w:tc>
        <w:tc>
          <w:tcPr>
            <w:tcW w:w="4889" w:type="dxa"/>
          </w:tcPr>
          <w:p w:rsidR="00957522" w:rsidRPr="001E07CA" w:rsidRDefault="00957522" w:rsidP="00521177">
            <w:pPr>
              <w:rPr>
                <w:i/>
                <w:lang w:val="sv-SE"/>
              </w:rPr>
            </w:pPr>
          </w:p>
          <w:p w:rsidR="00957522" w:rsidRPr="001E07CA" w:rsidRDefault="002E6F5A" w:rsidP="00DE3100">
            <w:pPr>
              <w:rPr>
                <w:i/>
                <w:lang w:val="sv-SE"/>
              </w:rPr>
            </w:pPr>
            <w:r w:rsidRPr="001E07CA">
              <w:rPr>
                <w:i/>
                <w:lang w:val="sv-SE"/>
              </w:rPr>
              <w:t>Denna lag träder i kraft den     2018.</w:t>
            </w:r>
          </w:p>
        </w:tc>
      </w:tr>
    </w:tbl>
    <w:p w:rsidR="00957522" w:rsidRPr="001E07CA" w:rsidRDefault="00957522" w:rsidP="00957522">
      <w:pPr>
        <w:rPr>
          <w:lang w:val="sv-SE"/>
        </w:rPr>
      </w:pPr>
    </w:p>
    <w:p w:rsidR="00957522" w:rsidRPr="001E07CA" w:rsidRDefault="00957522" w:rsidP="00957522">
      <w:pPr>
        <w:rPr>
          <w:lang w:val="sv-SE"/>
        </w:rPr>
      </w:pPr>
    </w:p>
    <w:p w:rsidR="00957522" w:rsidRPr="001E07CA" w:rsidRDefault="00957522" w:rsidP="00957522">
      <w:pPr>
        <w:tabs>
          <w:tab w:val="left" w:pos="3394"/>
        </w:tabs>
        <w:rPr>
          <w:lang w:val="sv-SE"/>
        </w:rPr>
      </w:pPr>
      <w:r w:rsidRPr="001E07CA">
        <w:rPr>
          <w:lang w:val="sv-SE"/>
        </w:rPr>
        <w:tab/>
      </w:r>
    </w:p>
    <w:p w:rsidR="00565F42" w:rsidRPr="001E07CA" w:rsidRDefault="00565F42" w:rsidP="006A0A79">
      <w:pPr>
        <w:rPr>
          <w:lang w:val="sv-SE"/>
        </w:rPr>
      </w:pPr>
    </w:p>
    <w:sectPr w:rsidR="00565F42" w:rsidRPr="001E07CA" w:rsidSect="009C287C">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AF" w:rsidRDefault="006C39AF" w:rsidP="00903C6B">
      <w:r>
        <w:separator/>
      </w:r>
    </w:p>
  </w:endnote>
  <w:endnote w:type="continuationSeparator" w:id="0">
    <w:p w:rsidR="006C39AF" w:rsidRDefault="006C39AF" w:rsidP="0090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AF" w:rsidRDefault="006C39AF" w:rsidP="00903C6B">
      <w:r>
        <w:separator/>
      </w:r>
    </w:p>
  </w:footnote>
  <w:footnote w:type="continuationSeparator" w:id="0">
    <w:p w:rsidR="006C39AF" w:rsidRDefault="006C39AF" w:rsidP="0090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809707"/>
      <w:docPartObj>
        <w:docPartGallery w:val="Page Numbers (Top of Page)"/>
        <w:docPartUnique/>
      </w:docPartObj>
    </w:sdtPr>
    <w:sdtEndPr/>
    <w:sdtContent>
      <w:p w:rsidR="006C39AF" w:rsidRDefault="006C39AF">
        <w:pPr>
          <w:pStyle w:val="Yltunniste"/>
          <w:jc w:val="right"/>
        </w:pPr>
        <w:r>
          <w:fldChar w:fldCharType="begin"/>
        </w:r>
        <w:r>
          <w:instrText>PAGE   \* MERGEFORMAT</w:instrText>
        </w:r>
        <w:r>
          <w:fldChar w:fldCharType="separate"/>
        </w:r>
        <w:r w:rsidR="00904F7C">
          <w:rPr>
            <w:noProof/>
          </w:rPr>
          <w:t>25</w:t>
        </w:r>
        <w:r>
          <w:rPr>
            <w:noProof/>
          </w:rPr>
          <w:fldChar w:fldCharType="end"/>
        </w:r>
        <w:r>
          <w:t>/30</w:t>
        </w:r>
      </w:p>
    </w:sdtContent>
  </w:sdt>
  <w:p w:rsidR="006C39AF" w:rsidRDefault="006C39A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946492"/>
    <w:lvl w:ilvl="0">
      <w:start w:val="1"/>
      <w:numFmt w:val="decimal"/>
      <w:pStyle w:val="Numeroituluettelo5"/>
      <w:lvlText w:val="%1."/>
      <w:lvlJc w:val="left"/>
      <w:pPr>
        <w:tabs>
          <w:tab w:val="num" w:pos="1492"/>
        </w:tabs>
        <w:ind w:left="1492" w:hanging="360"/>
      </w:pPr>
    </w:lvl>
  </w:abstractNum>
  <w:abstractNum w:abstractNumId="1">
    <w:nsid w:val="FFFFFF7D"/>
    <w:multiLevelType w:val="singleLevel"/>
    <w:tmpl w:val="1E3C4D2C"/>
    <w:lvl w:ilvl="0">
      <w:start w:val="1"/>
      <w:numFmt w:val="decimal"/>
      <w:pStyle w:val="Numeroituluettelo4"/>
      <w:lvlText w:val="%1."/>
      <w:lvlJc w:val="left"/>
      <w:pPr>
        <w:tabs>
          <w:tab w:val="num" w:pos="1209"/>
        </w:tabs>
        <w:ind w:left="1209" w:hanging="360"/>
      </w:pPr>
    </w:lvl>
  </w:abstractNum>
  <w:abstractNum w:abstractNumId="2">
    <w:nsid w:val="FFFFFF7E"/>
    <w:multiLevelType w:val="singleLevel"/>
    <w:tmpl w:val="BA7E0954"/>
    <w:lvl w:ilvl="0">
      <w:start w:val="1"/>
      <w:numFmt w:val="decimal"/>
      <w:pStyle w:val="Numeroituluettelo3"/>
      <w:lvlText w:val="%1."/>
      <w:lvlJc w:val="left"/>
      <w:pPr>
        <w:tabs>
          <w:tab w:val="num" w:pos="926"/>
        </w:tabs>
        <w:ind w:left="926" w:hanging="360"/>
      </w:pPr>
    </w:lvl>
  </w:abstractNum>
  <w:abstractNum w:abstractNumId="3">
    <w:nsid w:val="FFFFFF7F"/>
    <w:multiLevelType w:val="singleLevel"/>
    <w:tmpl w:val="D1983392"/>
    <w:lvl w:ilvl="0">
      <w:start w:val="1"/>
      <w:numFmt w:val="decimal"/>
      <w:pStyle w:val="Numeroituluettelo2"/>
      <w:lvlText w:val="%1."/>
      <w:lvlJc w:val="left"/>
      <w:pPr>
        <w:tabs>
          <w:tab w:val="num" w:pos="643"/>
        </w:tabs>
        <w:ind w:left="643" w:hanging="360"/>
      </w:pPr>
    </w:lvl>
  </w:abstractNum>
  <w:abstractNum w:abstractNumId="4">
    <w:nsid w:val="FFFFFF80"/>
    <w:multiLevelType w:val="singleLevel"/>
    <w:tmpl w:val="B06A442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nsid w:val="FFFFFF81"/>
    <w:multiLevelType w:val="singleLevel"/>
    <w:tmpl w:val="7A76912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nsid w:val="FFFFFF82"/>
    <w:multiLevelType w:val="singleLevel"/>
    <w:tmpl w:val="B4743292"/>
    <w:lvl w:ilvl="0">
      <w:start w:val="1"/>
      <w:numFmt w:val="bullet"/>
      <w:pStyle w:val="Merkittyluettelo3"/>
      <w:lvlText w:val=""/>
      <w:lvlJc w:val="left"/>
      <w:pPr>
        <w:tabs>
          <w:tab w:val="num" w:pos="926"/>
        </w:tabs>
        <w:ind w:left="926" w:hanging="360"/>
      </w:pPr>
      <w:rPr>
        <w:rFonts w:ascii="Symbol" w:hAnsi="Symbol" w:hint="default"/>
      </w:rPr>
    </w:lvl>
  </w:abstractNum>
  <w:abstractNum w:abstractNumId="7">
    <w:nsid w:val="FFFFFF83"/>
    <w:multiLevelType w:val="singleLevel"/>
    <w:tmpl w:val="A3E61C6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nsid w:val="FFFFFF88"/>
    <w:multiLevelType w:val="singleLevel"/>
    <w:tmpl w:val="4CDE6DD4"/>
    <w:lvl w:ilvl="0">
      <w:start w:val="1"/>
      <w:numFmt w:val="decimal"/>
      <w:pStyle w:val="Numeroituluettelo"/>
      <w:lvlText w:val="%1."/>
      <w:lvlJc w:val="left"/>
      <w:pPr>
        <w:tabs>
          <w:tab w:val="num" w:pos="360"/>
        </w:tabs>
        <w:ind w:left="360" w:hanging="360"/>
      </w:pPr>
    </w:lvl>
  </w:abstractNum>
  <w:abstractNum w:abstractNumId="9">
    <w:nsid w:val="FFFFFF89"/>
    <w:multiLevelType w:val="singleLevel"/>
    <w:tmpl w:val="1D8E3368"/>
    <w:lvl w:ilvl="0">
      <w:start w:val="1"/>
      <w:numFmt w:val="bullet"/>
      <w:pStyle w:val="Merkittyluettelo"/>
      <w:lvlText w:val=""/>
      <w:lvlJc w:val="left"/>
      <w:pPr>
        <w:tabs>
          <w:tab w:val="num" w:pos="360"/>
        </w:tabs>
        <w:ind w:left="360" w:hanging="360"/>
      </w:pPr>
      <w:rPr>
        <w:rFonts w:ascii="Symbol" w:hAnsi="Symbol" w:hint="default"/>
      </w:rPr>
    </w:lvl>
  </w:abstractNum>
  <w:abstractNum w:abstractNumId="10">
    <w:nsid w:val="1625365B"/>
    <w:multiLevelType w:val="hybridMultilevel"/>
    <w:tmpl w:val="DD9063A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167A71C7"/>
    <w:multiLevelType w:val="hybridMultilevel"/>
    <w:tmpl w:val="1D0805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docVars>
    <w:docVar w:name="WfColors" w:val="1"/>
  </w:docVars>
  <w:rsids>
    <w:rsidRoot w:val="003177E7"/>
    <w:rsid w:val="00002C95"/>
    <w:rsid w:val="00004823"/>
    <w:rsid w:val="00005E6F"/>
    <w:rsid w:val="00011BA1"/>
    <w:rsid w:val="00016584"/>
    <w:rsid w:val="0001747A"/>
    <w:rsid w:val="000176D6"/>
    <w:rsid w:val="000177C9"/>
    <w:rsid w:val="00017D0E"/>
    <w:rsid w:val="00021540"/>
    <w:rsid w:val="00022FA4"/>
    <w:rsid w:val="00026601"/>
    <w:rsid w:val="000266AC"/>
    <w:rsid w:val="00027143"/>
    <w:rsid w:val="00031929"/>
    <w:rsid w:val="00031C9C"/>
    <w:rsid w:val="000332E9"/>
    <w:rsid w:val="00034709"/>
    <w:rsid w:val="00034FAE"/>
    <w:rsid w:val="00035998"/>
    <w:rsid w:val="00036102"/>
    <w:rsid w:val="0004093A"/>
    <w:rsid w:val="0004099E"/>
    <w:rsid w:val="00042333"/>
    <w:rsid w:val="0004237A"/>
    <w:rsid w:val="00042979"/>
    <w:rsid w:val="0004309C"/>
    <w:rsid w:val="00043721"/>
    <w:rsid w:val="000452C2"/>
    <w:rsid w:val="00046740"/>
    <w:rsid w:val="000520B1"/>
    <w:rsid w:val="00052319"/>
    <w:rsid w:val="000538E4"/>
    <w:rsid w:val="00053DE6"/>
    <w:rsid w:val="00055D98"/>
    <w:rsid w:val="00055F1C"/>
    <w:rsid w:val="00056F6B"/>
    <w:rsid w:val="00057548"/>
    <w:rsid w:val="00060958"/>
    <w:rsid w:val="00060B7B"/>
    <w:rsid w:val="00061071"/>
    <w:rsid w:val="00070490"/>
    <w:rsid w:val="00070EAF"/>
    <w:rsid w:val="00073ED1"/>
    <w:rsid w:val="0007448F"/>
    <w:rsid w:val="00076039"/>
    <w:rsid w:val="00076CA1"/>
    <w:rsid w:val="000777A3"/>
    <w:rsid w:val="000853A1"/>
    <w:rsid w:val="00090D55"/>
    <w:rsid w:val="000952C3"/>
    <w:rsid w:val="00096C4A"/>
    <w:rsid w:val="00097CA6"/>
    <w:rsid w:val="000A11A1"/>
    <w:rsid w:val="000A4227"/>
    <w:rsid w:val="000A65CF"/>
    <w:rsid w:val="000A7E78"/>
    <w:rsid w:val="000B10F1"/>
    <w:rsid w:val="000B1D38"/>
    <w:rsid w:val="000B2798"/>
    <w:rsid w:val="000B2B30"/>
    <w:rsid w:val="000C0B75"/>
    <w:rsid w:val="000C0DA4"/>
    <w:rsid w:val="000C1934"/>
    <w:rsid w:val="000C38A6"/>
    <w:rsid w:val="000C5868"/>
    <w:rsid w:val="000C5E88"/>
    <w:rsid w:val="000C6FFF"/>
    <w:rsid w:val="000C780A"/>
    <w:rsid w:val="000C7893"/>
    <w:rsid w:val="000D202D"/>
    <w:rsid w:val="000D35CF"/>
    <w:rsid w:val="000D3AE7"/>
    <w:rsid w:val="000D50BB"/>
    <w:rsid w:val="000D6EFF"/>
    <w:rsid w:val="000E1240"/>
    <w:rsid w:val="000E29B0"/>
    <w:rsid w:val="000E3DDE"/>
    <w:rsid w:val="000E44C3"/>
    <w:rsid w:val="000E61CA"/>
    <w:rsid w:val="000E706D"/>
    <w:rsid w:val="000E7F8D"/>
    <w:rsid w:val="000F02C8"/>
    <w:rsid w:val="000F04B9"/>
    <w:rsid w:val="000F278E"/>
    <w:rsid w:val="000F6BDA"/>
    <w:rsid w:val="00100D50"/>
    <w:rsid w:val="00101BBC"/>
    <w:rsid w:val="00102142"/>
    <w:rsid w:val="0010354A"/>
    <w:rsid w:val="00105801"/>
    <w:rsid w:val="0010598F"/>
    <w:rsid w:val="00107591"/>
    <w:rsid w:val="001108E1"/>
    <w:rsid w:val="001119DC"/>
    <w:rsid w:val="00116373"/>
    <w:rsid w:val="0011667F"/>
    <w:rsid w:val="00121C64"/>
    <w:rsid w:val="0012667E"/>
    <w:rsid w:val="001308B5"/>
    <w:rsid w:val="00132B8E"/>
    <w:rsid w:val="00132EA4"/>
    <w:rsid w:val="0013311F"/>
    <w:rsid w:val="00133F39"/>
    <w:rsid w:val="00134F8A"/>
    <w:rsid w:val="001368C5"/>
    <w:rsid w:val="001368D8"/>
    <w:rsid w:val="00136C11"/>
    <w:rsid w:val="00137C6F"/>
    <w:rsid w:val="00137D03"/>
    <w:rsid w:val="00140008"/>
    <w:rsid w:val="00142F6E"/>
    <w:rsid w:val="00143176"/>
    <w:rsid w:val="00144D57"/>
    <w:rsid w:val="00154D41"/>
    <w:rsid w:val="0015554D"/>
    <w:rsid w:val="001571FF"/>
    <w:rsid w:val="00160B64"/>
    <w:rsid w:val="001614D2"/>
    <w:rsid w:val="001616B1"/>
    <w:rsid w:val="0016211F"/>
    <w:rsid w:val="0016334E"/>
    <w:rsid w:val="0016553C"/>
    <w:rsid w:val="00166AC4"/>
    <w:rsid w:val="001675E3"/>
    <w:rsid w:val="001705B0"/>
    <w:rsid w:val="001717C9"/>
    <w:rsid w:val="00172692"/>
    <w:rsid w:val="00174145"/>
    <w:rsid w:val="00174824"/>
    <w:rsid w:val="001773DA"/>
    <w:rsid w:val="00177434"/>
    <w:rsid w:val="00177D43"/>
    <w:rsid w:val="00177EFD"/>
    <w:rsid w:val="00177F36"/>
    <w:rsid w:val="0018074C"/>
    <w:rsid w:val="00184C7D"/>
    <w:rsid w:val="001852E1"/>
    <w:rsid w:val="00186449"/>
    <w:rsid w:val="00186F76"/>
    <w:rsid w:val="001948F0"/>
    <w:rsid w:val="00194ABC"/>
    <w:rsid w:val="001964B0"/>
    <w:rsid w:val="001A03D2"/>
    <w:rsid w:val="001A08B8"/>
    <w:rsid w:val="001A1C61"/>
    <w:rsid w:val="001B1DA8"/>
    <w:rsid w:val="001B3C53"/>
    <w:rsid w:val="001B40C0"/>
    <w:rsid w:val="001C0D24"/>
    <w:rsid w:val="001C2328"/>
    <w:rsid w:val="001C26C4"/>
    <w:rsid w:val="001C49FF"/>
    <w:rsid w:val="001C5944"/>
    <w:rsid w:val="001C5AEC"/>
    <w:rsid w:val="001D0749"/>
    <w:rsid w:val="001D0C0A"/>
    <w:rsid w:val="001D0D25"/>
    <w:rsid w:val="001D23C1"/>
    <w:rsid w:val="001D2873"/>
    <w:rsid w:val="001D42AD"/>
    <w:rsid w:val="001D49CE"/>
    <w:rsid w:val="001D59DD"/>
    <w:rsid w:val="001D6E53"/>
    <w:rsid w:val="001E07CA"/>
    <w:rsid w:val="001E1478"/>
    <w:rsid w:val="001E3A8F"/>
    <w:rsid w:val="001E602C"/>
    <w:rsid w:val="001E63BF"/>
    <w:rsid w:val="001F5534"/>
    <w:rsid w:val="001F5668"/>
    <w:rsid w:val="001F761A"/>
    <w:rsid w:val="001F7EBA"/>
    <w:rsid w:val="00202B1F"/>
    <w:rsid w:val="00203775"/>
    <w:rsid w:val="00203DE1"/>
    <w:rsid w:val="00204952"/>
    <w:rsid w:val="0020508C"/>
    <w:rsid w:val="002054C4"/>
    <w:rsid w:val="0021401C"/>
    <w:rsid w:val="00217D65"/>
    <w:rsid w:val="002206D4"/>
    <w:rsid w:val="002206F1"/>
    <w:rsid w:val="002213B4"/>
    <w:rsid w:val="002213BE"/>
    <w:rsid w:val="00225B50"/>
    <w:rsid w:val="002271A4"/>
    <w:rsid w:val="00227A4F"/>
    <w:rsid w:val="002312C3"/>
    <w:rsid w:val="00233611"/>
    <w:rsid w:val="0023467D"/>
    <w:rsid w:val="00235508"/>
    <w:rsid w:val="002364F6"/>
    <w:rsid w:val="002410F8"/>
    <w:rsid w:val="002425AA"/>
    <w:rsid w:val="00243311"/>
    <w:rsid w:val="00244B07"/>
    <w:rsid w:val="002468A4"/>
    <w:rsid w:val="002513FB"/>
    <w:rsid w:val="002525E4"/>
    <w:rsid w:val="0025577A"/>
    <w:rsid w:val="00256E32"/>
    <w:rsid w:val="002610DB"/>
    <w:rsid w:val="00262148"/>
    <w:rsid w:val="0026293E"/>
    <w:rsid w:val="00265015"/>
    <w:rsid w:val="0026653B"/>
    <w:rsid w:val="002667EB"/>
    <w:rsid w:val="0026761C"/>
    <w:rsid w:val="00271B09"/>
    <w:rsid w:val="00272B31"/>
    <w:rsid w:val="00273E0B"/>
    <w:rsid w:val="0027403A"/>
    <w:rsid w:val="00275995"/>
    <w:rsid w:val="00277AA7"/>
    <w:rsid w:val="00282B80"/>
    <w:rsid w:val="002864B2"/>
    <w:rsid w:val="00286BA3"/>
    <w:rsid w:val="00287053"/>
    <w:rsid w:val="00287089"/>
    <w:rsid w:val="00287314"/>
    <w:rsid w:val="00292A87"/>
    <w:rsid w:val="00292D89"/>
    <w:rsid w:val="00292ED7"/>
    <w:rsid w:val="002931E3"/>
    <w:rsid w:val="00294DAE"/>
    <w:rsid w:val="00295D47"/>
    <w:rsid w:val="00296295"/>
    <w:rsid w:val="0029633D"/>
    <w:rsid w:val="002A038D"/>
    <w:rsid w:val="002A4A4E"/>
    <w:rsid w:val="002A4DA8"/>
    <w:rsid w:val="002A6496"/>
    <w:rsid w:val="002B0722"/>
    <w:rsid w:val="002B0E29"/>
    <w:rsid w:val="002B1812"/>
    <w:rsid w:val="002B18CE"/>
    <w:rsid w:val="002B244D"/>
    <w:rsid w:val="002B3790"/>
    <w:rsid w:val="002B3A95"/>
    <w:rsid w:val="002B4901"/>
    <w:rsid w:val="002B5B03"/>
    <w:rsid w:val="002B5EF3"/>
    <w:rsid w:val="002B6274"/>
    <w:rsid w:val="002B7200"/>
    <w:rsid w:val="002C1DD5"/>
    <w:rsid w:val="002C2E1D"/>
    <w:rsid w:val="002C3DEE"/>
    <w:rsid w:val="002C496F"/>
    <w:rsid w:val="002C5A91"/>
    <w:rsid w:val="002D1990"/>
    <w:rsid w:val="002D269A"/>
    <w:rsid w:val="002D36F4"/>
    <w:rsid w:val="002D5E9D"/>
    <w:rsid w:val="002D62BA"/>
    <w:rsid w:val="002D72A1"/>
    <w:rsid w:val="002E1F38"/>
    <w:rsid w:val="002E275D"/>
    <w:rsid w:val="002E317A"/>
    <w:rsid w:val="002E37DC"/>
    <w:rsid w:val="002E4317"/>
    <w:rsid w:val="002E4549"/>
    <w:rsid w:val="002E5306"/>
    <w:rsid w:val="002E5685"/>
    <w:rsid w:val="002E5738"/>
    <w:rsid w:val="002E6A43"/>
    <w:rsid w:val="002E6E00"/>
    <w:rsid w:val="002E6F5A"/>
    <w:rsid w:val="002F1213"/>
    <w:rsid w:val="002F56AC"/>
    <w:rsid w:val="002F7A9A"/>
    <w:rsid w:val="0030008D"/>
    <w:rsid w:val="00301C8F"/>
    <w:rsid w:val="00302985"/>
    <w:rsid w:val="00305D32"/>
    <w:rsid w:val="0030600B"/>
    <w:rsid w:val="003102D7"/>
    <w:rsid w:val="003103A6"/>
    <w:rsid w:val="0031067E"/>
    <w:rsid w:val="0031304F"/>
    <w:rsid w:val="00313097"/>
    <w:rsid w:val="003139F8"/>
    <w:rsid w:val="0031521C"/>
    <w:rsid w:val="003152A7"/>
    <w:rsid w:val="00315380"/>
    <w:rsid w:val="0031595E"/>
    <w:rsid w:val="003177E7"/>
    <w:rsid w:val="00321233"/>
    <w:rsid w:val="00321B16"/>
    <w:rsid w:val="00323DE2"/>
    <w:rsid w:val="00324BED"/>
    <w:rsid w:val="00327F1C"/>
    <w:rsid w:val="00330E2D"/>
    <w:rsid w:val="00334D99"/>
    <w:rsid w:val="0033500A"/>
    <w:rsid w:val="00336DFE"/>
    <w:rsid w:val="0033779A"/>
    <w:rsid w:val="0034052E"/>
    <w:rsid w:val="00343F80"/>
    <w:rsid w:val="00345BE3"/>
    <w:rsid w:val="00350240"/>
    <w:rsid w:val="00351A92"/>
    <w:rsid w:val="00351AB6"/>
    <w:rsid w:val="00354ECE"/>
    <w:rsid w:val="003554EA"/>
    <w:rsid w:val="00355655"/>
    <w:rsid w:val="00355FA4"/>
    <w:rsid w:val="00357661"/>
    <w:rsid w:val="00357D64"/>
    <w:rsid w:val="00361ED3"/>
    <w:rsid w:val="00363CC1"/>
    <w:rsid w:val="00364F10"/>
    <w:rsid w:val="00365775"/>
    <w:rsid w:val="003670FD"/>
    <w:rsid w:val="0036747E"/>
    <w:rsid w:val="00367DF4"/>
    <w:rsid w:val="003758CD"/>
    <w:rsid w:val="00376788"/>
    <w:rsid w:val="0037769D"/>
    <w:rsid w:val="003805AF"/>
    <w:rsid w:val="00383779"/>
    <w:rsid w:val="00383F8C"/>
    <w:rsid w:val="00385CB5"/>
    <w:rsid w:val="00386F14"/>
    <w:rsid w:val="00387621"/>
    <w:rsid w:val="00392240"/>
    <w:rsid w:val="00393B22"/>
    <w:rsid w:val="00393EC4"/>
    <w:rsid w:val="003961E7"/>
    <w:rsid w:val="00396574"/>
    <w:rsid w:val="003A3776"/>
    <w:rsid w:val="003A44BC"/>
    <w:rsid w:val="003A53C2"/>
    <w:rsid w:val="003B2113"/>
    <w:rsid w:val="003B2B42"/>
    <w:rsid w:val="003B4948"/>
    <w:rsid w:val="003B4BED"/>
    <w:rsid w:val="003B4E84"/>
    <w:rsid w:val="003B7EEE"/>
    <w:rsid w:val="003C3385"/>
    <w:rsid w:val="003C530E"/>
    <w:rsid w:val="003C5AE8"/>
    <w:rsid w:val="003C79B3"/>
    <w:rsid w:val="003C7CA4"/>
    <w:rsid w:val="003D549C"/>
    <w:rsid w:val="003D6210"/>
    <w:rsid w:val="003E0C70"/>
    <w:rsid w:val="003E1377"/>
    <w:rsid w:val="003E2933"/>
    <w:rsid w:val="003E38E8"/>
    <w:rsid w:val="003E5447"/>
    <w:rsid w:val="003E663C"/>
    <w:rsid w:val="003E77BB"/>
    <w:rsid w:val="003F0023"/>
    <w:rsid w:val="003F0299"/>
    <w:rsid w:val="003F0BAB"/>
    <w:rsid w:val="003F160C"/>
    <w:rsid w:val="003F2C9C"/>
    <w:rsid w:val="003F35F8"/>
    <w:rsid w:val="003F3C7E"/>
    <w:rsid w:val="003F48C3"/>
    <w:rsid w:val="003F5CFE"/>
    <w:rsid w:val="003F6A73"/>
    <w:rsid w:val="003F7816"/>
    <w:rsid w:val="00401DBE"/>
    <w:rsid w:val="00402445"/>
    <w:rsid w:val="00404344"/>
    <w:rsid w:val="00406327"/>
    <w:rsid w:val="004108CE"/>
    <w:rsid w:val="00410A29"/>
    <w:rsid w:val="00416487"/>
    <w:rsid w:val="00416747"/>
    <w:rsid w:val="00417317"/>
    <w:rsid w:val="00421F8B"/>
    <w:rsid w:val="0042597F"/>
    <w:rsid w:val="0042681A"/>
    <w:rsid w:val="0043101C"/>
    <w:rsid w:val="00431229"/>
    <w:rsid w:val="00433A5D"/>
    <w:rsid w:val="00437B13"/>
    <w:rsid w:val="00440859"/>
    <w:rsid w:val="0044135E"/>
    <w:rsid w:val="00442410"/>
    <w:rsid w:val="004434E5"/>
    <w:rsid w:val="00443A52"/>
    <w:rsid w:val="004465F3"/>
    <w:rsid w:val="004471A9"/>
    <w:rsid w:val="004508F5"/>
    <w:rsid w:val="00450B77"/>
    <w:rsid w:val="0045118F"/>
    <w:rsid w:val="00454097"/>
    <w:rsid w:val="004554FD"/>
    <w:rsid w:val="004558DB"/>
    <w:rsid w:val="00462F05"/>
    <w:rsid w:val="00463077"/>
    <w:rsid w:val="00470759"/>
    <w:rsid w:val="00470BAC"/>
    <w:rsid w:val="00471BB8"/>
    <w:rsid w:val="0047213C"/>
    <w:rsid w:val="00472D95"/>
    <w:rsid w:val="004758D9"/>
    <w:rsid w:val="00476829"/>
    <w:rsid w:val="0048118F"/>
    <w:rsid w:val="004836A5"/>
    <w:rsid w:val="0048647D"/>
    <w:rsid w:val="0049012E"/>
    <w:rsid w:val="00490FEE"/>
    <w:rsid w:val="00491FB2"/>
    <w:rsid w:val="0049304A"/>
    <w:rsid w:val="004931C9"/>
    <w:rsid w:val="00497E4F"/>
    <w:rsid w:val="004A79F3"/>
    <w:rsid w:val="004A7C6B"/>
    <w:rsid w:val="004B204D"/>
    <w:rsid w:val="004B771B"/>
    <w:rsid w:val="004C09CD"/>
    <w:rsid w:val="004C0F08"/>
    <w:rsid w:val="004C3EA7"/>
    <w:rsid w:val="004C5B57"/>
    <w:rsid w:val="004C60C3"/>
    <w:rsid w:val="004C6597"/>
    <w:rsid w:val="004C7C6D"/>
    <w:rsid w:val="004D1888"/>
    <w:rsid w:val="004D43D1"/>
    <w:rsid w:val="004D6543"/>
    <w:rsid w:val="004D6785"/>
    <w:rsid w:val="004E0426"/>
    <w:rsid w:val="004E32F1"/>
    <w:rsid w:val="004E4A98"/>
    <w:rsid w:val="004E5EAD"/>
    <w:rsid w:val="004E7643"/>
    <w:rsid w:val="004E77F6"/>
    <w:rsid w:val="004E7B15"/>
    <w:rsid w:val="004F29C2"/>
    <w:rsid w:val="004F6206"/>
    <w:rsid w:val="00500699"/>
    <w:rsid w:val="00500C2C"/>
    <w:rsid w:val="00501AFF"/>
    <w:rsid w:val="00501C93"/>
    <w:rsid w:val="0050679A"/>
    <w:rsid w:val="00506ED7"/>
    <w:rsid w:val="00511033"/>
    <w:rsid w:val="005161D4"/>
    <w:rsid w:val="005167FF"/>
    <w:rsid w:val="005205D0"/>
    <w:rsid w:val="00521177"/>
    <w:rsid w:val="00521EB2"/>
    <w:rsid w:val="00523B8F"/>
    <w:rsid w:val="00523FBD"/>
    <w:rsid w:val="0052659F"/>
    <w:rsid w:val="00526B33"/>
    <w:rsid w:val="005270FD"/>
    <w:rsid w:val="0052786D"/>
    <w:rsid w:val="00530173"/>
    <w:rsid w:val="0053189B"/>
    <w:rsid w:val="00532E74"/>
    <w:rsid w:val="005348F4"/>
    <w:rsid w:val="00535592"/>
    <w:rsid w:val="00536CC9"/>
    <w:rsid w:val="0053736A"/>
    <w:rsid w:val="00537A0F"/>
    <w:rsid w:val="00540B39"/>
    <w:rsid w:val="00540ED5"/>
    <w:rsid w:val="005411E5"/>
    <w:rsid w:val="00541DB6"/>
    <w:rsid w:val="00545145"/>
    <w:rsid w:val="00545526"/>
    <w:rsid w:val="00546D7A"/>
    <w:rsid w:val="005474B6"/>
    <w:rsid w:val="00547FB4"/>
    <w:rsid w:val="0055329F"/>
    <w:rsid w:val="0055469F"/>
    <w:rsid w:val="005546BA"/>
    <w:rsid w:val="00554F0D"/>
    <w:rsid w:val="0055657F"/>
    <w:rsid w:val="00560ABA"/>
    <w:rsid w:val="00562A46"/>
    <w:rsid w:val="00565F42"/>
    <w:rsid w:val="00567E1A"/>
    <w:rsid w:val="0057208E"/>
    <w:rsid w:val="00575AB0"/>
    <w:rsid w:val="005769A5"/>
    <w:rsid w:val="00577831"/>
    <w:rsid w:val="00580E27"/>
    <w:rsid w:val="0058171C"/>
    <w:rsid w:val="005843D9"/>
    <w:rsid w:val="0058644F"/>
    <w:rsid w:val="00587E87"/>
    <w:rsid w:val="00591906"/>
    <w:rsid w:val="005948DD"/>
    <w:rsid w:val="005949A1"/>
    <w:rsid w:val="00594D93"/>
    <w:rsid w:val="00594D9C"/>
    <w:rsid w:val="005961EF"/>
    <w:rsid w:val="005971FF"/>
    <w:rsid w:val="005A1D8C"/>
    <w:rsid w:val="005A216E"/>
    <w:rsid w:val="005A271C"/>
    <w:rsid w:val="005A38F0"/>
    <w:rsid w:val="005A4E35"/>
    <w:rsid w:val="005A695C"/>
    <w:rsid w:val="005A7B53"/>
    <w:rsid w:val="005A7BBD"/>
    <w:rsid w:val="005B035F"/>
    <w:rsid w:val="005B24E9"/>
    <w:rsid w:val="005B3B13"/>
    <w:rsid w:val="005B4369"/>
    <w:rsid w:val="005B503E"/>
    <w:rsid w:val="005B544C"/>
    <w:rsid w:val="005B78B1"/>
    <w:rsid w:val="005C23AB"/>
    <w:rsid w:val="005C33D6"/>
    <w:rsid w:val="005C3CC9"/>
    <w:rsid w:val="005C6E41"/>
    <w:rsid w:val="005D04A7"/>
    <w:rsid w:val="005D0847"/>
    <w:rsid w:val="005D1133"/>
    <w:rsid w:val="005D1991"/>
    <w:rsid w:val="005D1C8F"/>
    <w:rsid w:val="005D6473"/>
    <w:rsid w:val="005D6E60"/>
    <w:rsid w:val="005D769A"/>
    <w:rsid w:val="005D76E5"/>
    <w:rsid w:val="005E0CB5"/>
    <w:rsid w:val="005E0F1B"/>
    <w:rsid w:val="005E184F"/>
    <w:rsid w:val="005E1929"/>
    <w:rsid w:val="005E23D1"/>
    <w:rsid w:val="005E3D58"/>
    <w:rsid w:val="005E3E8C"/>
    <w:rsid w:val="005E4156"/>
    <w:rsid w:val="005E6206"/>
    <w:rsid w:val="005E6A13"/>
    <w:rsid w:val="005E6D80"/>
    <w:rsid w:val="005F1856"/>
    <w:rsid w:val="005F1F64"/>
    <w:rsid w:val="005F2497"/>
    <w:rsid w:val="005F376A"/>
    <w:rsid w:val="005F51D2"/>
    <w:rsid w:val="005F53E8"/>
    <w:rsid w:val="005F5533"/>
    <w:rsid w:val="00601389"/>
    <w:rsid w:val="00601E80"/>
    <w:rsid w:val="00602B17"/>
    <w:rsid w:val="00602B1C"/>
    <w:rsid w:val="00604242"/>
    <w:rsid w:val="00604C3D"/>
    <w:rsid w:val="0060520B"/>
    <w:rsid w:val="00607296"/>
    <w:rsid w:val="006103C7"/>
    <w:rsid w:val="00610A39"/>
    <w:rsid w:val="0061112D"/>
    <w:rsid w:val="006139EF"/>
    <w:rsid w:val="0061441D"/>
    <w:rsid w:val="00614C5B"/>
    <w:rsid w:val="0061614D"/>
    <w:rsid w:val="00616381"/>
    <w:rsid w:val="00616ABB"/>
    <w:rsid w:val="00616E72"/>
    <w:rsid w:val="00620CB1"/>
    <w:rsid w:val="006222F9"/>
    <w:rsid w:val="00623982"/>
    <w:rsid w:val="00624405"/>
    <w:rsid w:val="00626622"/>
    <w:rsid w:val="006270DF"/>
    <w:rsid w:val="00630B67"/>
    <w:rsid w:val="00630E05"/>
    <w:rsid w:val="00631043"/>
    <w:rsid w:val="00631640"/>
    <w:rsid w:val="00631C6F"/>
    <w:rsid w:val="0063477E"/>
    <w:rsid w:val="006364BD"/>
    <w:rsid w:val="0063676C"/>
    <w:rsid w:val="0063741C"/>
    <w:rsid w:val="00637929"/>
    <w:rsid w:val="00642388"/>
    <w:rsid w:val="00645DE4"/>
    <w:rsid w:val="00646D44"/>
    <w:rsid w:val="00654D5B"/>
    <w:rsid w:val="0065583D"/>
    <w:rsid w:val="006570D1"/>
    <w:rsid w:val="00657856"/>
    <w:rsid w:val="006600E1"/>
    <w:rsid w:val="00661FFC"/>
    <w:rsid w:val="00663EFF"/>
    <w:rsid w:val="00664C12"/>
    <w:rsid w:val="0066665A"/>
    <w:rsid w:val="006735D2"/>
    <w:rsid w:val="00674406"/>
    <w:rsid w:val="00674DD6"/>
    <w:rsid w:val="00675C4C"/>
    <w:rsid w:val="00676F7A"/>
    <w:rsid w:val="00682096"/>
    <w:rsid w:val="006830B3"/>
    <w:rsid w:val="006864B3"/>
    <w:rsid w:val="00687651"/>
    <w:rsid w:val="00690FCE"/>
    <w:rsid w:val="0069209D"/>
    <w:rsid w:val="006933B5"/>
    <w:rsid w:val="00694256"/>
    <w:rsid w:val="00696865"/>
    <w:rsid w:val="00696AB0"/>
    <w:rsid w:val="00697AF4"/>
    <w:rsid w:val="006A0A79"/>
    <w:rsid w:val="006A684F"/>
    <w:rsid w:val="006A7DC3"/>
    <w:rsid w:val="006B47F9"/>
    <w:rsid w:val="006B5CEC"/>
    <w:rsid w:val="006B7B37"/>
    <w:rsid w:val="006C0215"/>
    <w:rsid w:val="006C39AF"/>
    <w:rsid w:val="006C45A5"/>
    <w:rsid w:val="006C4BF5"/>
    <w:rsid w:val="006C578E"/>
    <w:rsid w:val="006C6421"/>
    <w:rsid w:val="006C7BC6"/>
    <w:rsid w:val="006D34BB"/>
    <w:rsid w:val="006D6B38"/>
    <w:rsid w:val="006D6B40"/>
    <w:rsid w:val="006E7666"/>
    <w:rsid w:val="006F04DD"/>
    <w:rsid w:val="006F26FE"/>
    <w:rsid w:val="006F4CBA"/>
    <w:rsid w:val="006F5ED3"/>
    <w:rsid w:val="006F770C"/>
    <w:rsid w:val="00701448"/>
    <w:rsid w:val="00701AA4"/>
    <w:rsid w:val="00703070"/>
    <w:rsid w:val="00705C38"/>
    <w:rsid w:val="00707000"/>
    <w:rsid w:val="0071610B"/>
    <w:rsid w:val="00717E77"/>
    <w:rsid w:val="00721DA0"/>
    <w:rsid w:val="00722F90"/>
    <w:rsid w:val="00730085"/>
    <w:rsid w:val="0073055F"/>
    <w:rsid w:val="00730E80"/>
    <w:rsid w:val="0073181C"/>
    <w:rsid w:val="007321B6"/>
    <w:rsid w:val="0073665D"/>
    <w:rsid w:val="00740C45"/>
    <w:rsid w:val="0074365C"/>
    <w:rsid w:val="007448BC"/>
    <w:rsid w:val="007467F9"/>
    <w:rsid w:val="00750045"/>
    <w:rsid w:val="0075005F"/>
    <w:rsid w:val="00750D2A"/>
    <w:rsid w:val="00751303"/>
    <w:rsid w:val="0075177B"/>
    <w:rsid w:val="0075227B"/>
    <w:rsid w:val="0075325A"/>
    <w:rsid w:val="00754414"/>
    <w:rsid w:val="007546CA"/>
    <w:rsid w:val="00755EE2"/>
    <w:rsid w:val="007638BF"/>
    <w:rsid w:val="00763DB1"/>
    <w:rsid w:val="00764F6D"/>
    <w:rsid w:val="007708C2"/>
    <w:rsid w:val="00772603"/>
    <w:rsid w:val="007728E4"/>
    <w:rsid w:val="00772E92"/>
    <w:rsid w:val="00773EBE"/>
    <w:rsid w:val="00774F18"/>
    <w:rsid w:val="007769FC"/>
    <w:rsid w:val="00777C63"/>
    <w:rsid w:val="00785947"/>
    <w:rsid w:val="00792C94"/>
    <w:rsid w:val="0079309F"/>
    <w:rsid w:val="0079358A"/>
    <w:rsid w:val="007937B1"/>
    <w:rsid w:val="007947AD"/>
    <w:rsid w:val="00794D3C"/>
    <w:rsid w:val="007967B4"/>
    <w:rsid w:val="007A11BD"/>
    <w:rsid w:val="007A27B0"/>
    <w:rsid w:val="007A3489"/>
    <w:rsid w:val="007A4BD8"/>
    <w:rsid w:val="007A4ED9"/>
    <w:rsid w:val="007A6A25"/>
    <w:rsid w:val="007A7A97"/>
    <w:rsid w:val="007B2561"/>
    <w:rsid w:val="007B2A01"/>
    <w:rsid w:val="007B2A2A"/>
    <w:rsid w:val="007B32AE"/>
    <w:rsid w:val="007B341E"/>
    <w:rsid w:val="007B4B52"/>
    <w:rsid w:val="007B54EA"/>
    <w:rsid w:val="007B77E5"/>
    <w:rsid w:val="007B7DCD"/>
    <w:rsid w:val="007C15E8"/>
    <w:rsid w:val="007C32F8"/>
    <w:rsid w:val="007C654F"/>
    <w:rsid w:val="007C7B26"/>
    <w:rsid w:val="007D18A4"/>
    <w:rsid w:val="007D2436"/>
    <w:rsid w:val="007D2ED0"/>
    <w:rsid w:val="007D4AD5"/>
    <w:rsid w:val="007D5405"/>
    <w:rsid w:val="007D5441"/>
    <w:rsid w:val="007D5EAF"/>
    <w:rsid w:val="007E36D5"/>
    <w:rsid w:val="007E4778"/>
    <w:rsid w:val="007E5003"/>
    <w:rsid w:val="007E6461"/>
    <w:rsid w:val="007E73BE"/>
    <w:rsid w:val="007F1648"/>
    <w:rsid w:val="007F3684"/>
    <w:rsid w:val="008009C9"/>
    <w:rsid w:val="00801726"/>
    <w:rsid w:val="00803C84"/>
    <w:rsid w:val="00804057"/>
    <w:rsid w:val="0080563B"/>
    <w:rsid w:val="00805A6E"/>
    <w:rsid w:val="00810E88"/>
    <w:rsid w:val="00815EE4"/>
    <w:rsid w:val="00820993"/>
    <w:rsid w:val="00823C38"/>
    <w:rsid w:val="0082448F"/>
    <w:rsid w:val="008250C4"/>
    <w:rsid w:val="00825AE3"/>
    <w:rsid w:val="008267FA"/>
    <w:rsid w:val="00826A8A"/>
    <w:rsid w:val="00830F68"/>
    <w:rsid w:val="00832ECC"/>
    <w:rsid w:val="0083333E"/>
    <w:rsid w:val="0083437D"/>
    <w:rsid w:val="00836C61"/>
    <w:rsid w:val="00837906"/>
    <w:rsid w:val="00845E3C"/>
    <w:rsid w:val="0085038A"/>
    <w:rsid w:val="00851AFA"/>
    <w:rsid w:val="008554A0"/>
    <w:rsid w:val="0085693B"/>
    <w:rsid w:val="00860F5C"/>
    <w:rsid w:val="008628E0"/>
    <w:rsid w:val="00863495"/>
    <w:rsid w:val="0086557E"/>
    <w:rsid w:val="00866787"/>
    <w:rsid w:val="00870508"/>
    <w:rsid w:val="0087227C"/>
    <w:rsid w:val="00872AC1"/>
    <w:rsid w:val="00876D93"/>
    <w:rsid w:val="008773E9"/>
    <w:rsid w:val="00880629"/>
    <w:rsid w:val="0088125C"/>
    <w:rsid w:val="00881955"/>
    <w:rsid w:val="00881F22"/>
    <w:rsid w:val="00881F8E"/>
    <w:rsid w:val="008833B9"/>
    <w:rsid w:val="00884703"/>
    <w:rsid w:val="00885265"/>
    <w:rsid w:val="0088717E"/>
    <w:rsid w:val="0088759D"/>
    <w:rsid w:val="00887DB7"/>
    <w:rsid w:val="0089157F"/>
    <w:rsid w:val="00891B3B"/>
    <w:rsid w:val="00892BA3"/>
    <w:rsid w:val="008943B2"/>
    <w:rsid w:val="0089457D"/>
    <w:rsid w:val="008948C0"/>
    <w:rsid w:val="0089525E"/>
    <w:rsid w:val="00895923"/>
    <w:rsid w:val="00895DC0"/>
    <w:rsid w:val="00897DDF"/>
    <w:rsid w:val="008A0857"/>
    <w:rsid w:val="008A0B1E"/>
    <w:rsid w:val="008A5392"/>
    <w:rsid w:val="008A5C8A"/>
    <w:rsid w:val="008A6FBF"/>
    <w:rsid w:val="008A75B3"/>
    <w:rsid w:val="008A75FA"/>
    <w:rsid w:val="008B1E51"/>
    <w:rsid w:val="008B1F99"/>
    <w:rsid w:val="008B4247"/>
    <w:rsid w:val="008B6389"/>
    <w:rsid w:val="008B749C"/>
    <w:rsid w:val="008C1098"/>
    <w:rsid w:val="008C3909"/>
    <w:rsid w:val="008C6EAE"/>
    <w:rsid w:val="008D29B8"/>
    <w:rsid w:val="008D3147"/>
    <w:rsid w:val="008D3AE3"/>
    <w:rsid w:val="008D5069"/>
    <w:rsid w:val="008D6483"/>
    <w:rsid w:val="008D6BE5"/>
    <w:rsid w:val="008D797D"/>
    <w:rsid w:val="008E1D79"/>
    <w:rsid w:val="008E464A"/>
    <w:rsid w:val="008E5AA9"/>
    <w:rsid w:val="008E5B3D"/>
    <w:rsid w:val="008F08E7"/>
    <w:rsid w:val="008F3505"/>
    <w:rsid w:val="008F7ADC"/>
    <w:rsid w:val="00900619"/>
    <w:rsid w:val="009022E9"/>
    <w:rsid w:val="0090279D"/>
    <w:rsid w:val="009034AC"/>
    <w:rsid w:val="00903C6B"/>
    <w:rsid w:val="00904CDE"/>
    <w:rsid w:val="00904F7C"/>
    <w:rsid w:val="0090629F"/>
    <w:rsid w:val="00906F6D"/>
    <w:rsid w:val="009115B0"/>
    <w:rsid w:val="00911D8D"/>
    <w:rsid w:val="00912D61"/>
    <w:rsid w:val="00920000"/>
    <w:rsid w:val="00924E13"/>
    <w:rsid w:val="00925ECC"/>
    <w:rsid w:val="009327CF"/>
    <w:rsid w:val="00933AE0"/>
    <w:rsid w:val="00933DDA"/>
    <w:rsid w:val="00933F00"/>
    <w:rsid w:val="00935656"/>
    <w:rsid w:val="009368B7"/>
    <w:rsid w:val="00937C20"/>
    <w:rsid w:val="009445FC"/>
    <w:rsid w:val="00944909"/>
    <w:rsid w:val="009458B1"/>
    <w:rsid w:val="009475EE"/>
    <w:rsid w:val="00947A64"/>
    <w:rsid w:val="009515E9"/>
    <w:rsid w:val="009525CD"/>
    <w:rsid w:val="009535A3"/>
    <w:rsid w:val="00954805"/>
    <w:rsid w:val="00954BE8"/>
    <w:rsid w:val="00957522"/>
    <w:rsid w:val="00957E97"/>
    <w:rsid w:val="00961FBE"/>
    <w:rsid w:val="00962482"/>
    <w:rsid w:val="009637FA"/>
    <w:rsid w:val="009650C0"/>
    <w:rsid w:val="00965DF3"/>
    <w:rsid w:val="00967457"/>
    <w:rsid w:val="00973185"/>
    <w:rsid w:val="00973E23"/>
    <w:rsid w:val="00975606"/>
    <w:rsid w:val="00975F6A"/>
    <w:rsid w:val="00981B60"/>
    <w:rsid w:val="0098296D"/>
    <w:rsid w:val="00982F57"/>
    <w:rsid w:val="00986183"/>
    <w:rsid w:val="00986C05"/>
    <w:rsid w:val="00987BE4"/>
    <w:rsid w:val="009901EC"/>
    <w:rsid w:val="0099048E"/>
    <w:rsid w:val="0099208F"/>
    <w:rsid w:val="00992554"/>
    <w:rsid w:val="0099287D"/>
    <w:rsid w:val="0099473F"/>
    <w:rsid w:val="00996C29"/>
    <w:rsid w:val="00996DB6"/>
    <w:rsid w:val="009A28B1"/>
    <w:rsid w:val="009A2C68"/>
    <w:rsid w:val="009A3BFC"/>
    <w:rsid w:val="009A442E"/>
    <w:rsid w:val="009A4C41"/>
    <w:rsid w:val="009A4D61"/>
    <w:rsid w:val="009A6757"/>
    <w:rsid w:val="009A6DDE"/>
    <w:rsid w:val="009B31A2"/>
    <w:rsid w:val="009B452C"/>
    <w:rsid w:val="009B4C00"/>
    <w:rsid w:val="009B5022"/>
    <w:rsid w:val="009C098C"/>
    <w:rsid w:val="009C287C"/>
    <w:rsid w:val="009C2B7D"/>
    <w:rsid w:val="009C37FB"/>
    <w:rsid w:val="009C6C79"/>
    <w:rsid w:val="009D0B94"/>
    <w:rsid w:val="009D1467"/>
    <w:rsid w:val="009D4D61"/>
    <w:rsid w:val="009E082A"/>
    <w:rsid w:val="009E2E24"/>
    <w:rsid w:val="009E56D7"/>
    <w:rsid w:val="009F0F95"/>
    <w:rsid w:val="009F120C"/>
    <w:rsid w:val="009F15C7"/>
    <w:rsid w:val="009F1F0B"/>
    <w:rsid w:val="009F3335"/>
    <w:rsid w:val="009F4A34"/>
    <w:rsid w:val="009F6728"/>
    <w:rsid w:val="009F78C0"/>
    <w:rsid w:val="009F7CCB"/>
    <w:rsid w:val="009F7F8E"/>
    <w:rsid w:val="00A00BD2"/>
    <w:rsid w:val="00A02FF0"/>
    <w:rsid w:val="00A064C8"/>
    <w:rsid w:val="00A06A7F"/>
    <w:rsid w:val="00A12D02"/>
    <w:rsid w:val="00A14B1A"/>
    <w:rsid w:val="00A158D4"/>
    <w:rsid w:val="00A16358"/>
    <w:rsid w:val="00A177BE"/>
    <w:rsid w:val="00A2072C"/>
    <w:rsid w:val="00A20AC9"/>
    <w:rsid w:val="00A22D57"/>
    <w:rsid w:val="00A23240"/>
    <w:rsid w:val="00A2478B"/>
    <w:rsid w:val="00A250CA"/>
    <w:rsid w:val="00A30906"/>
    <w:rsid w:val="00A327C4"/>
    <w:rsid w:val="00A34404"/>
    <w:rsid w:val="00A34E73"/>
    <w:rsid w:val="00A3502A"/>
    <w:rsid w:val="00A35EA9"/>
    <w:rsid w:val="00A35FB6"/>
    <w:rsid w:val="00A36592"/>
    <w:rsid w:val="00A40E16"/>
    <w:rsid w:val="00A41F8F"/>
    <w:rsid w:val="00A420EC"/>
    <w:rsid w:val="00A42915"/>
    <w:rsid w:val="00A44282"/>
    <w:rsid w:val="00A4752F"/>
    <w:rsid w:val="00A508C2"/>
    <w:rsid w:val="00A53D03"/>
    <w:rsid w:val="00A60E0B"/>
    <w:rsid w:val="00A6256E"/>
    <w:rsid w:val="00A64C35"/>
    <w:rsid w:val="00A65A71"/>
    <w:rsid w:val="00A6741F"/>
    <w:rsid w:val="00A74E9C"/>
    <w:rsid w:val="00A7573C"/>
    <w:rsid w:val="00A75BC6"/>
    <w:rsid w:val="00A75C38"/>
    <w:rsid w:val="00A77048"/>
    <w:rsid w:val="00A7728D"/>
    <w:rsid w:val="00A7745E"/>
    <w:rsid w:val="00A776FC"/>
    <w:rsid w:val="00A77A7E"/>
    <w:rsid w:val="00A8382D"/>
    <w:rsid w:val="00A83BE3"/>
    <w:rsid w:val="00A917E0"/>
    <w:rsid w:val="00A93B22"/>
    <w:rsid w:val="00A93BCA"/>
    <w:rsid w:val="00AA28F3"/>
    <w:rsid w:val="00AB04A9"/>
    <w:rsid w:val="00AB3254"/>
    <w:rsid w:val="00AB32F4"/>
    <w:rsid w:val="00AB3496"/>
    <w:rsid w:val="00AB57E7"/>
    <w:rsid w:val="00AB69A8"/>
    <w:rsid w:val="00AB6B21"/>
    <w:rsid w:val="00AB750E"/>
    <w:rsid w:val="00AC1321"/>
    <w:rsid w:val="00AC2DE6"/>
    <w:rsid w:val="00AC372D"/>
    <w:rsid w:val="00AC525A"/>
    <w:rsid w:val="00AC591E"/>
    <w:rsid w:val="00AC5FA6"/>
    <w:rsid w:val="00AD1EB9"/>
    <w:rsid w:val="00AD233A"/>
    <w:rsid w:val="00AD4D85"/>
    <w:rsid w:val="00AD4FAF"/>
    <w:rsid w:val="00AD5373"/>
    <w:rsid w:val="00AD6001"/>
    <w:rsid w:val="00AD7A2C"/>
    <w:rsid w:val="00AE02A3"/>
    <w:rsid w:val="00AE06CB"/>
    <w:rsid w:val="00AE0CF4"/>
    <w:rsid w:val="00AE3D19"/>
    <w:rsid w:val="00AF1493"/>
    <w:rsid w:val="00AF2422"/>
    <w:rsid w:val="00AF2BD8"/>
    <w:rsid w:val="00AF4D55"/>
    <w:rsid w:val="00B000B3"/>
    <w:rsid w:val="00B00700"/>
    <w:rsid w:val="00B01163"/>
    <w:rsid w:val="00B038DF"/>
    <w:rsid w:val="00B04851"/>
    <w:rsid w:val="00B04CEE"/>
    <w:rsid w:val="00B06411"/>
    <w:rsid w:val="00B06F2E"/>
    <w:rsid w:val="00B07D15"/>
    <w:rsid w:val="00B10D93"/>
    <w:rsid w:val="00B11DE0"/>
    <w:rsid w:val="00B11F80"/>
    <w:rsid w:val="00B13F87"/>
    <w:rsid w:val="00B14817"/>
    <w:rsid w:val="00B15575"/>
    <w:rsid w:val="00B20560"/>
    <w:rsid w:val="00B20DF8"/>
    <w:rsid w:val="00B2233C"/>
    <w:rsid w:val="00B24D6F"/>
    <w:rsid w:val="00B261B7"/>
    <w:rsid w:val="00B26A58"/>
    <w:rsid w:val="00B26AD9"/>
    <w:rsid w:val="00B26E4F"/>
    <w:rsid w:val="00B2726E"/>
    <w:rsid w:val="00B3034C"/>
    <w:rsid w:val="00B3112C"/>
    <w:rsid w:val="00B336D0"/>
    <w:rsid w:val="00B355B2"/>
    <w:rsid w:val="00B403D6"/>
    <w:rsid w:val="00B407E1"/>
    <w:rsid w:val="00B41716"/>
    <w:rsid w:val="00B417B8"/>
    <w:rsid w:val="00B41B3A"/>
    <w:rsid w:val="00B4318D"/>
    <w:rsid w:val="00B43623"/>
    <w:rsid w:val="00B436E1"/>
    <w:rsid w:val="00B4458B"/>
    <w:rsid w:val="00B448A9"/>
    <w:rsid w:val="00B44F8F"/>
    <w:rsid w:val="00B46335"/>
    <w:rsid w:val="00B47481"/>
    <w:rsid w:val="00B50726"/>
    <w:rsid w:val="00B52FD8"/>
    <w:rsid w:val="00B53E21"/>
    <w:rsid w:val="00B541AA"/>
    <w:rsid w:val="00B62A5B"/>
    <w:rsid w:val="00B630FD"/>
    <w:rsid w:val="00B63E3E"/>
    <w:rsid w:val="00B66AF5"/>
    <w:rsid w:val="00B66CC4"/>
    <w:rsid w:val="00B708BD"/>
    <w:rsid w:val="00B76CFB"/>
    <w:rsid w:val="00B779B5"/>
    <w:rsid w:val="00B81D09"/>
    <w:rsid w:val="00B8418A"/>
    <w:rsid w:val="00B91B67"/>
    <w:rsid w:val="00B93D7B"/>
    <w:rsid w:val="00B94463"/>
    <w:rsid w:val="00B95C3F"/>
    <w:rsid w:val="00B97AE3"/>
    <w:rsid w:val="00BA0AA0"/>
    <w:rsid w:val="00BA2F7B"/>
    <w:rsid w:val="00BA3D63"/>
    <w:rsid w:val="00BA45CE"/>
    <w:rsid w:val="00BA4AD4"/>
    <w:rsid w:val="00BB1F8A"/>
    <w:rsid w:val="00BB3D30"/>
    <w:rsid w:val="00BB3D43"/>
    <w:rsid w:val="00BB4C33"/>
    <w:rsid w:val="00BB5D67"/>
    <w:rsid w:val="00BB793D"/>
    <w:rsid w:val="00BC1389"/>
    <w:rsid w:val="00BC3708"/>
    <w:rsid w:val="00BC389F"/>
    <w:rsid w:val="00BC637C"/>
    <w:rsid w:val="00BD0FD0"/>
    <w:rsid w:val="00BD2308"/>
    <w:rsid w:val="00BD27FF"/>
    <w:rsid w:val="00BD291E"/>
    <w:rsid w:val="00BD31B8"/>
    <w:rsid w:val="00BD42DA"/>
    <w:rsid w:val="00BD47B6"/>
    <w:rsid w:val="00BD6B80"/>
    <w:rsid w:val="00BE07FD"/>
    <w:rsid w:val="00BE46EE"/>
    <w:rsid w:val="00BE78B6"/>
    <w:rsid w:val="00BF2550"/>
    <w:rsid w:val="00BF40D1"/>
    <w:rsid w:val="00BF414B"/>
    <w:rsid w:val="00BF69F1"/>
    <w:rsid w:val="00BF7904"/>
    <w:rsid w:val="00C01962"/>
    <w:rsid w:val="00C019C7"/>
    <w:rsid w:val="00C0236B"/>
    <w:rsid w:val="00C03537"/>
    <w:rsid w:val="00C03B1C"/>
    <w:rsid w:val="00C0548B"/>
    <w:rsid w:val="00C06E99"/>
    <w:rsid w:val="00C0710B"/>
    <w:rsid w:val="00C12896"/>
    <w:rsid w:val="00C14B29"/>
    <w:rsid w:val="00C15608"/>
    <w:rsid w:val="00C16662"/>
    <w:rsid w:val="00C207AD"/>
    <w:rsid w:val="00C20DFC"/>
    <w:rsid w:val="00C21E47"/>
    <w:rsid w:val="00C22C50"/>
    <w:rsid w:val="00C240BE"/>
    <w:rsid w:val="00C247EF"/>
    <w:rsid w:val="00C2588B"/>
    <w:rsid w:val="00C26865"/>
    <w:rsid w:val="00C26C7A"/>
    <w:rsid w:val="00C27BAC"/>
    <w:rsid w:val="00C35605"/>
    <w:rsid w:val="00C35811"/>
    <w:rsid w:val="00C36593"/>
    <w:rsid w:val="00C36609"/>
    <w:rsid w:val="00C405F4"/>
    <w:rsid w:val="00C4081B"/>
    <w:rsid w:val="00C425E7"/>
    <w:rsid w:val="00C44B23"/>
    <w:rsid w:val="00C45E5C"/>
    <w:rsid w:val="00C51D0C"/>
    <w:rsid w:val="00C53104"/>
    <w:rsid w:val="00C53D49"/>
    <w:rsid w:val="00C56495"/>
    <w:rsid w:val="00C56570"/>
    <w:rsid w:val="00C602CF"/>
    <w:rsid w:val="00C60FF2"/>
    <w:rsid w:val="00C62A9B"/>
    <w:rsid w:val="00C630BC"/>
    <w:rsid w:val="00C67E02"/>
    <w:rsid w:val="00C71BA1"/>
    <w:rsid w:val="00C73A5A"/>
    <w:rsid w:val="00C74851"/>
    <w:rsid w:val="00C74EA0"/>
    <w:rsid w:val="00C7561A"/>
    <w:rsid w:val="00C77C00"/>
    <w:rsid w:val="00C77E23"/>
    <w:rsid w:val="00C81F57"/>
    <w:rsid w:val="00C82366"/>
    <w:rsid w:val="00C836B3"/>
    <w:rsid w:val="00C842BA"/>
    <w:rsid w:val="00C87482"/>
    <w:rsid w:val="00C91152"/>
    <w:rsid w:val="00C94738"/>
    <w:rsid w:val="00C9531A"/>
    <w:rsid w:val="00C95433"/>
    <w:rsid w:val="00C971C1"/>
    <w:rsid w:val="00C975F2"/>
    <w:rsid w:val="00C97C12"/>
    <w:rsid w:val="00C97F57"/>
    <w:rsid w:val="00CA1C79"/>
    <w:rsid w:val="00CA3857"/>
    <w:rsid w:val="00CA407A"/>
    <w:rsid w:val="00CA53EC"/>
    <w:rsid w:val="00CA62E8"/>
    <w:rsid w:val="00CA7511"/>
    <w:rsid w:val="00CA7D3A"/>
    <w:rsid w:val="00CB1813"/>
    <w:rsid w:val="00CB2C9C"/>
    <w:rsid w:val="00CB52D7"/>
    <w:rsid w:val="00CB6295"/>
    <w:rsid w:val="00CB6A9D"/>
    <w:rsid w:val="00CB7959"/>
    <w:rsid w:val="00CC29BD"/>
    <w:rsid w:val="00CC5BA0"/>
    <w:rsid w:val="00CD1E33"/>
    <w:rsid w:val="00CD56FA"/>
    <w:rsid w:val="00CE0618"/>
    <w:rsid w:val="00CE4A52"/>
    <w:rsid w:val="00CE7625"/>
    <w:rsid w:val="00CF0076"/>
    <w:rsid w:val="00CF10BF"/>
    <w:rsid w:val="00CF3B63"/>
    <w:rsid w:val="00CF3C32"/>
    <w:rsid w:val="00CF3D16"/>
    <w:rsid w:val="00CF4249"/>
    <w:rsid w:val="00CF4393"/>
    <w:rsid w:val="00CF524C"/>
    <w:rsid w:val="00D01BC3"/>
    <w:rsid w:val="00D054F9"/>
    <w:rsid w:val="00D12140"/>
    <w:rsid w:val="00D1541E"/>
    <w:rsid w:val="00D15B1B"/>
    <w:rsid w:val="00D15EC0"/>
    <w:rsid w:val="00D219CD"/>
    <w:rsid w:val="00D21CF1"/>
    <w:rsid w:val="00D2234D"/>
    <w:rsid w:val="00D24633"/>
    <w:rsid w:val="00D2507F"/>
    <w:rsid w:val="00D3121D"/>
    <w:rsid w:val="00D346C7"/>
    <w:rsid w:val="00D36EC0"/>
    <w:rsid w:val="00D405C8"/>
    <w:rsid w:val="00D414AD"/>
    <w:rsid w:val="00D4345C"/>
    <w:rsid w:val="00D445EE"/>
    <w:rsid w:val="00D47340"/>
    <w:rsid w:val="00D4774C"/>
    <w:rsid w:val="00D501B6"/>
    <w:rsid w:val="00D53432"/>
    <w:rsid w:val="00D60770"/>
    <w:rsid w:val="00D65AF4"/>
    <w:rsid w:val="00D66354"/>
    <w:rsid w:val="00D71724"/>
    <w:rsid w:val="00D71CC7"/>
    <w:rsid w:val="00D724C8"/>
    <w:rsid w:val="00D75635"/>
    <w:rsid w:val="00D75DAB"/>
    <w:rsid w:val="00D773D5"/>
    <w:rsid w:val="00D808C9"/>
    <w:rsid w:val="00D81526"/>
    <w:rsid w:val="00D84025"/>
    <w:rsid w:val="00D84160"/>
    <w:rsid w:val="00D8465B"/>
    <w:rsid w:val="00D864A4"/>
    <w:rsid w:val="00D872B3"/>
    <w:rsid w:val="00D87445"/>
    <w:rsid w:val="00D93CCC"/>
    <w:rsid w:val="00D957FD"/>
    <w:rsid w:val="00D969E7"/>
    <w:rsid w:val="00D970A3"/>
    <w:rsid w:val="00D971B4"/>
    <w:rsid w:val="00D9772E"/>
    <w:rsid w:val="00DA16A6"/>
    <w:rsid w:val="00DA4827"/>
    <w:rsid w:val="00DB0166"/>
    <w:rsid w:val="00DB2B65"/>
    <w:rsid w:val="00DB2EB3"/>
    <w:rsid w:val="00DB7D49"/>
    <w:rsid w:val="00DC1375"/>
    <w:rsid w:val="00DC6639"/>
    <w:rsid w:val="00DD033E"/>
    <w:rsid w:val="00DD1155"/>
    <w:rsid w:val="00DD15E9"/>
    <w:rsid w:val="00DD1A50"/>
    <w:rsid w:val="00DD3B4B"/>
    <w:rsid w:val="00DD47D4"/>
    <w:rsid w:val="00DE1F27"/>
    <w:rsid w:val="00DE3100"/>
    <w:rsid w:val="00DE50AA"/>
    <w:rsid w:val="00DE56D6"/>
    <w:rsid w:val="00DE599B"/>
    <w:rsid w:val="00DE5A79"/>
    <w:rsid w:val="00DE5F26"/>
    <w:rsid w:val="00DE70B7"/>
    <w:rsid w:val="00DF1058"/>
    <w:rsid w:val="00DF2509"/>
    <w:rsid w:val="00DF6AE3"/>
    <w:rsid w:val="00E0333A"/>
    <w:rsid w:val="00E04570"/>
    <w:rsid w:val="00E1087B"/>
    <w:rsid w:val="00E114D8"/>
    <w:rsid w:val="00E116B6"/>
    <w:rsid w:val="00E118C3"/>
    <w:rsid w:val="00E126E0"/>
    <w:rsid w:val="00E1475F"/>
    <w:rsid w:val="00E15609"/>
    <w:rsid w:val="00E15EC6"/>
    <w:rsid w:val="00E1606A"/>
    <w:rsid w:val="00E176BA"/>
    <w:rsid w:val="00E2258C"/>
    <w:rsid w:val="00E24AFD"/>
    <w:rsid w:val="00E26952"/>
    <w:rsid w:val="00E26D5D"/>
    <w:rsid w:val="00E30BB2"/>
    <w:rsid w:val="00E31AC9"/>
    <w:rsid w:val="00E33B89"/>
    <w:rsid w:val="00E3522C"/>
    <w:rsid w:val="00E3588D"/>
    <w:rsid w:val="00E36EE7"/>
    <w:rsid w:val="00E37D14"/>
    <w:rsid w:val="00E4021C"/>
    <w:rsid w:val="00E412E4"/>
    <w:rsid w:val="00E41ABA"/>
    <w:rsid w:val="00E421EE"/>
    <w:rsid w:val="00E44E86"/>
    <w:rsid w:val="00E45A33"/>
    <w:rsid w:val="00E507E6"/>
    <w:rsid w:val="00E51060"/>
    <w:rsid w:val="00E54D36"/>
    <w:rsid w:val="00E5534F"/>
    <w:rsid w:val="00E579DF"/>
    <w:rsid w:val="00E6002E"/>
    <w:rsid w:val="00E61A6E"/>
    <w:rsid w:val="00E62F61"/>
    <w:rsid w:val="00E63645"/>
    <w:rsid w:val="00E641FA"/>
    <w:rsid w:val="00E64749"/>
    <w:rsid w:val="00E738D4"/>
    <w:rsid w:val="00E74792"/>
    <w:rsid w:val="00E76829"/>
    <w:rsid w:val="00E76B52"/>
    <w:rsid w:val="00E8439E"/>
    <w:rsid w:val="00E84AB3"/>
    <w:rsid w:val="00E85539"/>
    <w:rsid w:val="00E85FEC"/>
    <w:rsid w:val="00E922A8"/>
    <w:rsid w:val="00E92509"/>
    <w:rsid w:val="00E949A6"/>
    <w:rsid w:val="00E94F2A"/>
    <w:rsid w:val="00E956C7"/>
    <w:rsid w:val="00E95A06"/>
    <w:rsid w:val="00E9626B"/>
    <w:rsid w:val="00EA3FFA"/>
    <w:rsid w:val="00EA4345"/>
    <w:rsid w:val="00EA7F94"/>
    <w:rsid w:val="00EB02F2"/>
    <w:rsid w:val="00EB0BB9"/>
    <w:rsid w:val="00EB12F9"/>
    <w:rsid w:val="00EB23AE"/>
    <w:rsid w:val="00EB6505"/>
    <w:rsid w:val="00EB7EE4"/>
    <w:rsid w:val="00EC06F3"/>
    <w:rsid w:val="00EC2091"/>
    <w:rsid w:val="00EC31C6"/>
    <w:rsid w:val="00EC76CB"/>
    <w:rsid w:val="00ED2719"/>
    <w:rsid w:val="00ED3783"/>
    <w:rsid w:val="00EE2B63"/>
    <w:rsid w:val="00EF1C68"/>
    <w:rsid w:val="00EF1D00"/>
    <w:rsid w:val="00EF31F1"/>
    <w:rsid w:val="00EF3462"/>
    <w:rsid w:val="00EF36B8"/>
    <w:rsid w:val="00EF3F74"/>
    <w:rsid w:val="00F00405"/>
    <w:rsid w:val="00F00CAF"/>
    <w:rsid w:val="00F03D54"/>
    <w:rsid w:val="00F045F9"/>
    <w:rsid w:val="00F069B3"/>
    <w:rsid w:val="00F07558"/>
    <w:rsid w:val="00F076FC"/>
    <w:rsid w:val="00F11D3F"/>
    <w:rsid w:val="00F147CD"/>
    <w:rsid w:val="00F23ABB"/>
    <w:rsid w:val="00F25B65"/>
    <w:rsid w:val="00F25D5F"/>
    <w:rsid w:val="00F25E50"/>
    <w:rsid w:val="00F308F8"/>
    <w:rsid w:val="00F30947"/>
    <w:rsid w:val="00F31340"/>
    <w:rsid w:val="00F31374"/>
    <w:rsid w:val="00F32254"/>
    <w:rsid w:val="00F34C7C"/>
    <w:rsid w:val="00F36896"/>
    <w:rsid w:val="00F37852"/>
    <w:rsid w:val="00F37B8B"/>
    <w:rsid w:val="00F37F6E"/>
    <w:rsid w:val="00F4152F"/>
    <w:rsid w:val="00F41811"/>
    <w:rsid w:val="00F4248D"/>
    <w:rsid w:val="00F43615"/>
    <w:rsid w:val="00F436D6"/>
    <w:rsid w:val="00F4625F"/>
    <w:rsid w:val="00F46494"/>
    <w:rsid w:val="00F50D11"/>
    <w:rsid w:val="00F52E9C"/>
    <w:rsid w:val="00F5491F"/>
    <w:rsid w:val="00F57EB5"/>
    <w:rsid w:val="00F634BD"/>
    <w:rsid w:val="00F63B49"/>
    <w:rsid w:val="00F64E9C"/>
    <w:rsid w:val="00F65B10"/>
    <w:rsid w:val="00F671C7"/>
    <w:rsid w:val="00F67440"/>
    <w:rsid w:val="00F704C0"/>
    <w:rsid w:val="00F72660"/>
    <w:rsid w:val="00F72780"/>
    <w:rsid w:val="00F758D3"/>
    <w:rsid w:val="00F75EA1"/>
    <w:rsid w:val="00F80BC9"/>
    <w:rsid w:val="00F82C07"/>
    <w:rsid w:val="00F846CF"/>
    <w:rsid w:val="00F848E5"/>
    <w:rsid w:val="00F85007"/>
    <w:rsid w:val="00F923B6"/>
    <w:rsid w:val="00F94318"/>
    <w:rsid w:val="00F946CD"/>
    <w:rsid w:val="00F946CF"/>
    <w:rsid w:val="00FA03A3"/>
    <w:rsid w:val="00FA7A25"/>
    <w:rsid w:val="00FB6947"/>
    <w:rsid w:val="00FB69B7"/>
    <w:rsid w:val="00FC1083"/>
    <w:rsid w:val="00FC5DA0"/>
    <w:rsid w:val="00FC6291"/>
    <w:rsid w:val="00FD1EC8"/>
    <w:rsid w:val="00FD24B5"/>
    <w:rsid w:val="00FD433F"/>
    <w:rsid w:val="00FD493D"/>
    <w:rsid w:val="00FD59DC"/>
    <w:rsid w:val="00FD6211"/>
    <w:rsid w:val="00FD66AF"/>
    <w:rsid w:val="00FD7C76"/>
    <w:rsid w:val="00FE2F30"/>
    <w:rsid w:val="00FE5CA8"/>
    <w:rsid w:val="00FE68EE"/>
    <w:rsid w:val="00FE76A7"/>
    <w:rsid w:val="00FF165F"/>
    <w:rsid w:val="00FF1A6E"/>
    <w:rsid w:val="00FF3E71"/>
    <w:rsid w:val="00FF3FC9"/>
    <w:rsid w:val="00FF61D2"/>
    <w:rsid w:val="00FF68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95C3F"/>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uiPriority w:val="9"/>
    <w:qFormat/>
    <w:rsid w:val="00BE0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BE07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BE07FD"/>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BE07FD"/>
    <w:pPr>
      <w:keepNext/>
      <w:keepLines/>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BE07FD"/>
    <w:pPr>
      <w:keepNext/>
      <w:keepLines/>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BE07FD"/>
    <w:pPr>
      <w:keepNext/>
      <w:keepLines/>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BE07FD"/>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BE07F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BE07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B95C3F"/>
    <w:pPr>
      <w:spacing w:before="100" w:beforeAutospacing="1" w:after="100" w:afterAutospacing="1"/>
    </w:pPr>
  </w:style>
  <w:style w:type="paragraph" w:styleId="Seliteteksti">
    <w:name w:val="Balloon Text"/>
    <w:basedOn w:val="Normaali"/>
    <w:link w:val="SelitetekstiChar"/>
    <w:uiPriority w:val="99"/>
    <w:semiHidden/>
    <w:unhideWhenUsed/>
    <w:rsid w:val="00B95C3F"/>
    <w:rPr>
      <w:rFonts w:ascii="Tahoma" w:hAnsi="Tahoma" w:cs="Tahoma"/>
      <w:sz w:val="16"/>
      <w:szCs w:val="16"/>
    </w:rPr>
  </w:style>
  <w:style w:type="character" w:customStyle="1" w:styleId="SelitetekstiChar">
    <w:name w:val="Seliteteksti Char"/>
    <w:basedOn w:val="Kappaleenoletusfontti"/>
    <w:link w:val="Seliteteksti"/>
    <w:uiPriority w:val="99"/>
    <w:semiHidden/>
    <w:rsid w:val="00B95C3F"/>
    <w:rPr>
      <w:rFonts w:ascii="Tahoma" w:eastAsia="Times New Roman" w:hAnsi="Tahoma" w:cs="Tahoma"/>
      <w:sz w:val="16"/>
      <w:szCs w:val="16"/>
      <w:lang w:eastAsia="fi-FI"/>
    </w:rPr>
  </w:style>
  <w:style w:type="character" w:styleId="Kommentinviite">
    <w:name w:val="annotation reference"/>
    <w:basedOn w:val="Kappaleenoletusfontti"/>
    <w:uiPriority w:val="99"/>
    <w:semiHidden/>
    <w:unhideWhenUsed/>
    <w:rsid w:val="00B95C3F"/>
    <w:rPr>
      <w:sz w:val="16"/>
      <w:szCs w:val="16"/>
    </w:rPr>
  </w:style>
  <w:style w:type="paragraph" w:styleId="Kommentinteksti">
    <w:name w:val="annotation text"/>
    <w:basedOn w:val="Normaali"/>
    <w:link w:val="KommentintekstiChar"/>
    <w:uiPriority w:val="99"/>
    <w:semiHidden/>
    <w:unhideWhenUsed/>
    <w:rsid w:val="00B95C3F"/>
    <w:rPr>
      <w:sz w:val="20"/>
      <w:szCs w:val="20"/>
    </w:rPr>
  </w:style>
  <w:style w:type="character" w:customStyle="1" w:styleId="KommentintekstiChar">
    <w:name w:val="Kommentin teksti Char"/>
    <w:basedOn w:val="Kappaleenoletusfontti"/>
    <w:link w:val="Kommentinteksti"/>
    <w:uiPriority w:val="99"/>
    <w:semiHidden/>
    <w:rsid w:val="00B95C3F"/>
    <w:rPr>
      <w:rFonts w:ascii="Times New Roman" w:eastAsia="Times New Roman" w:hAnsi="Times New Roman" w:cs="Times New Roman"/>
      <w:sz w:val="20"/>
      <w:szCs w:val="20"/>
      <w:lang w:eastAsia="fi-FI"/>
    </w:rPr>
  </w:style>
  <w:style w:type="character" w:styleId="Hyperlinkki">
    <w:name w:val="Hyperlink"/>
    <w:basedOn w:val="Kappaleenoletusfontti"/>
    <w:uiPriority w:val="99"/>
    <w:unhideWhenUsed/>
    <w:rsid w:val="00364F10"/>
    <w:rPr>
      <w:color w:val="0000FF"/>
      <w:u w:val="single"/>
    </w:rPr>
  </w:style>
  <w:style w:type="character" w:styleId="Korostus">
    <w:name w:val="Emphasis"/>
    <w:basedOn w:val="Kappaleenoletusfontti"/>
    <w:uiPriority w:val="20"/>
    <w:qFormat/>
    <w:rsid w:val="00364F10"/>
    <w:rPr>
      <w:i/>
      <w:iCs/>
    </w:rPr>
  </w:style>
  <w:style w:type="paragraph" w:styleId="Luettelokappale">
    <w:name w:val="List Paragraph"/>
    <w:basedOn w:val="Normaali"/>
    <w:uiPriority w:val="34"/>
    <w:qFormat/>
    <w:rsid w:val="006A0A79"/>
    <w:pPr>
      <w:ind w:left="720"/>
      <w:contextualSpacing/>
    </w:pPr>
  </w:style>
  <w:style w:type="character" w:styleId="AvattuHyperlinkki">
    <w:name w:val="FollowedHyperlink"/>
    <w:basedOn w:val="Kappaleenoletusfontti"/>
    <w:uiPriority w:val="99"/>
    <w:semiHidden/>
    <w:unhideWhenUsed/>
    <w:rsid w:val="00565F42"/>
    <w:rPr>
      <w:color w:val="800080" w:themeColor="followedHyperlink"/>
      <w:u w:val="single"/>
    </w:rPr>
  </w:style>
  <w:style w:type="paragraph" w:styleId="Yltunniste">
    <w:name w:val="header"/>
    <w:basedOn w:val="Normaali"/>
    <w:link w:val="YltunnisteChar"/>
    <w:uiPriority w:val="99"/>
    <w:unhideWhenUsed/>
    <w:rsid w:val="00903C6B"/>
    <w:pPr>
      <w:tabs>
        <w:tab w:val="center" w:pos="4819"/>
        <w:tab w:val="right" w:pos="9638"/>
      </w:tabs>
    </w:pPr>
  </w:style>
  <w:style w:type="character" w:customStyle="1" w:styleId="YltunnisteChar">
    <w:name w:val="Ylätunniste Char"/>
    <w:basedOn w:val="Kappaleenoletusfontti"/>
    <w:link w:val="Yltunniste"/>
    <w:uiPriority w:val="99"/>
    <w:rsid w:val="00903C6B"/>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903C6B"/>
    <w:pPr>
      <w:tabs>
        <w:tab w:val="center" w:pos="4819"/>
        <w:tab w:val="right" w:pos="9638"/>
      </w:tabs>
    </w:pPr>
  </w:style>
  <w:style w:type="character" w:customStyle="1" w:styleId="AlatunnisteChar">
    <w:name w:val="Alatunniste Char"/>
    <w:basedOn w:val="Kappaleenoletusfontti"/>
    <w:link w:val="Alatunniste"/>
    <w:uiPriority w:val="99"/>
    <w:rsid w:val="00903C6B"/>
    <w:rPr>
      <w:rFonts w:ascii="Times New Roman" w:eastAsia="Times New Roman" w:hAnsi="Times New Roman" w:cs="Times New Roman"/>
      <w:sz w:val="24"/>
      <w:szCs w:val="24"/>
      <w:lang w:eastAsia="fi-FI"/>
    </w:rPr>
  </w:style>
  <w:style w:type="paragraph" w:styleId="Kommentinotsikko">
    <w:name w:val="annotation subject"/>
    <w:basedOn w:val="Kommentinteksti"/>
    <w:next w:val="Kommentinteksti"/>
    <w:link w:val="KommentinotsikkoChar"/>
    <w:uiPriority w:val="99"/>
    <w:semiHidden/>
    <w:unhideWhenUsed/>
    <w:rsid w:val="00887DB7"/>
    <w:rPr>
      <w:b/>
      <w:bCs/>
    </w:rPr>
  </w:style>
  <w:style w:type="character" w:customStyle="1" w:styleId="KommentinotsikkoChar">
    <w:name w:val="Kommentin otsikko Char"/>
    <w:basedOn w:val="KommentintekstiChar"/>
    <w:link w:val="Kommentinotsikko"/>
    <w:uiPriority w:val="99"/>
    <w:semiHidden/>
    <w:rsid w:val="00887DB7"/>
    <w:rPr>
      <w:rFonts w:ascii="Times New Roman" w:eastAsia="Times New Roman" w:hAnsi="Times New Roman" w:cs="Times New Roman"/>
      <w:b/>
      <w:bCs/>
      <w:sz w:val="20"/>
      <w:szCs w:val="20"/>
      <w:lang w:eastAsia="fi-FI"/>
    </w:rPr>
  </w:style>
  <w:style w:type="paragraph" w:customStyle="1" w:styleId="LLPerustelujenkappalejako">
    <w:name w:val="LLPerustelujenkappalejako"/>
    <w:rsid w:val="00AD1EB9"/>
    <w:pPr>
      <w:spacing w:after="220" w:line="220" w:lineRule="exact"/>
      <w:jc w:val="both"/>
    </w:pPr>
    <w:rPr>
      <w:rFonts w:ascii="Times New Roman" w:eastAsia="Times New Roman" w:hAnsi="Times New Roman" w:cs="Times New Roman"/>
      <w:szCs w:val="24"/>
      <w:lang w:eastAsia="fi-FI"/>
    </w:rPr>
  </w:style>
  <w:style w:type="table" w:styleId="TaulukkoRuudukko">
    <w:name w:val="Table Grid"/>
    <w:basedOn w:val="Normaalitaulukko"/>
    <w:uiPriority w:val="59"/>
    <w:rsid w:val="0095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otsikko">
    <w:name w:val="Subtitle"/>
    <w:basedOn w:val="Normaali"/>
    <w:next w:val="Normaali"/>
    <w:link w:val="AlaotsikkoChar"/>
    <w:uiPriority w:val="11"/>
    <w:qFormat/>
    <w:rsid w:val="00BE07FD"/>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BE07FD"/>
    <w:rPr>
      <w:rFonts w:asciiTheme="majorHAnsi" w:eastAsiaTheme="majorEastAsia" w:hAnsiTheme="majorHAnsi" w:cstheme="majorBidi"/>
      <w:i/>
      <w:iCs/>
      <w:color w:val="4F81BD" w:themeColor="accent1"/>
      <w:spacing w:val="15"/>
      <w:sz w:val="24"/>
      <w:szCs w:val="24"/>
      <w:lang w:eastAsia="fi-FI"/>
    </w:rPr>
  </w:style>
  <w:style w:type="paragraph" w:styleId="Alaviitteenteksti">
    <w:name w:val="footnote text"/>
    <w:basedOn w:val="Normaali"/>
    <w:link w:val="AlaviitteentekstiChar"/>
    <w:uiPriority w:val="99"/>
    <w:semiHidden/>
    <w:unhideWhenUsed/>
    <w:rsid w:val="00BE07FD"/>
    <w:rPr>
      <w:sz w:val="20"/>
      <w:szCs w:val="20"/>
    </w:rPr>
  </w:style>
  <w:style w:type="character" w:customStyle="1" w:styleId="AlaviitteentekstiChar">
    <w:name w:val="Alaviitteen teksti Char"/>
    <w:basedOn w:val="Kappaleenoletusfontti"/>
    <w:link w:val="Alaviitteenteksti"/>
    <w:uiPriority w:val="99"/>
    <w:semiHidden/>
    <w:rsid w:val="00BE07FD"/>
    <w:rPr>
      <w:rFonts w:ascii="Times New Roman" w:eastAsia="Times New Roman" w:hAnsi="Times New Roman" w:cs="Times New Roman"/>
      <w:sz w:val="20"/>
      <w:szCs w:val="20"/>
      <w:lang w:eastAsia="fi-FI"/>
    </w:rPr>
  </w:style>
  <w:style w:type="paragraph" w:styleId="Allekirjoitus">
    <w:name w:val="Signature"/>
    <w:basedOn w:val="Normaali"/>
    <w:link w:val="AllekirjoitusChar"/>
    <w:uiPriority w:val="99"/>
    <w:semiHidden/>
    <w:unhideWhenUsed/>
    <w:rsid w:val="00BE07FD"/>
    <w:pPr>
      <w:ind w:left="4252"/>
    </w:pPr>
  </w:style>
  <w:style w:type="character" w:customStyle="1" w:styleId="AllekirjoitusChar">
    <w:name w:val="Allekirjoitus Char"/>
    <w:basedOn w:val="Kappaleenoletusfontti"/>
    <w:link w:val="Allekirjoitus"/>
    <w:uiPriority w:val="99"/>
    <w:semiHidden/>
    <w:rsid w:val="00BE07FD"/>
    <w:rPr>
      <w:rFonts w:ascii="Times New Roman" w:eastAsia="Times New Roman" w:hAnsi="Times New Roman" w:cs="Times New Roman"/>
      <w:sz w:val="24"/>
      <w:szCs w:val="24"/>
      <w:lang w:eastAsia="fi-FI"/>
    </w:rPr>
  </w:style>
  <w:style w:type="paragraph" w:styleId="Asiakirjanrakenneruutu">
    <w:name w:val="Document Map"/>
    <w:basedOn w:val="Normaali"/>
    <w:link w:val="AsiakirjanrakenneruutuChar"/>
    <w:uiPriority w:val="99"/>
    <w:semiHidden/>
    <w:unhideWhenUsed/>
    <w:rsid w:val="00BE07FD"/>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E07FD"/>
    <w:rPr>
      <w:rFonts w:ascii="Tahoma" w:eastAsia="Times New Roman" w:hAnsi="Tahoma" w:cs="Tahoma"/>
      <w:sz w:val="16"/>
      <w:szCs w:val="16"/>
      <w:lang w:eastAsia="fi-FI"/>
    </w:rPr>
  </w:style>
  <w:style w:type="paragraph" w:styleId="Eivli">
    <w:name w:val="No Spacing"/>
    <w:uiPriority w:val="1"/>
    <w:qFormat/>
    <w:rsid w:val="00BE07FD"/>
    <w:pPr>
      <w:spacing w:after="0" w:line="240" w:lineRule="auto"/>
    </w:pPr>
    <w:rPr>
      <w:rFonts w:ascii="Times New Roman" w:eastAsia="Times New Roman" w:hAnsi="Times New Roman" w:cs="Times New Roman"/>
      <w:sz w:val="24"/>
      <w:szCs w:val="24"/>
      <w:lang w:eastAsia="fi-FI"/>
    </w:rPr>
  </w:style>
  <w:style w:type="paragraph" w:styleId="Erottuvalainaus">
    <w:name w:val="Intense Quote"/>
    <w:basedOn w:val="Normaali"/>
    <w:next w:val="Normaali"/>
    <w:link w:val="ErottuvalainausChar"/>
    <w:uiPriority w:val="30"/>
    <w:qFormat/>
    <w:rsid w:val="00BE07FD"/>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BE07FD"/>
    <w:rPr>
      <w:rFonts w:ascii="Times New Roman" w:eastAsia="Times New Roman" w:hAnsi="Times New Roman" w:cs="Times New Roman"/>
      <w:b/>
      <w:bCs/>
      <w:i/>
      <w:iCs/>
      <w:color w:val="4F81BD" w:themeColor="accent1"/>
      <w:sz w:val="24"/>
      <w:szCs w:val="24"/>
      <w:lang w:eastAsia="fi-FI"/>
    </w:rPr>
  </w:style>
  <w:style w:type="paragraph" w:styleId="Hakemisto1">
    <w:name w:val="index 1"/>
    <w:basedOn w:val="Normaali"/>
    <w:next w:val="Normaali"/>
    <w:autoRedefine/>
    <w:uiPriority w:val="99"/>
    <w:semiHidden/>
    <w:unhideWhenUsed/>
    <w:rsid w:val="00BE07FD"/>
    <w:pPr>
      <w:ind w:left="240" w:hanging="240"/>
    </w:pPr>
  </w:style>
  <w:style w:type="paragraph" w:styleId="Hakemisto2">
    <w:name w:val="index 2"/>
    <w:basedOn w:val="Normaali"/>
    <w:next w:val="Normaali"/>
    <w:autoRedefine/>
    <w:uiPriority w:val="99"/>
    <w:semiHidden/>
    <w:unhideWhenUsed/>
    <w:rsid w:val="00BE07FD"/>
    <w:pPr>
      <w:ind w:left="480" w:hanging="240"/>
    </w:pPr>
  </w:style>
  <w:style w:type="paragraph" w:styleId="Hakemisto3">
    <w:name w:val="index 3"/>
    <w:basedOn w:val="Normaali"/>
    <w:next w:val="Normaali"/>
    <w:autoRedefine/>
    <w:uiPriority w:val="99"/>
    <w:semiHidden/>
    <w:unhideWhenUsed/>
    <w:rsid w:val="00BE07FD"/>
    <w:pPr>
      <w:ind w:left="720" w:hanging="240"/>
    </w:pPr>
  </w:style>
  <w:style w:type="paragraph" w:styleId="Hakemisto4">
    <w:name w:val="index 4"/>
    <w:basedOn w:val="Normaali"/>
    <w:next w:val="Normaali"/>
    <w:autoRedefine/>
    <w:uiPriority w:val="99"/>
    <w:semiHidden/>
    <w:unhideWhenUsed/>
    <w:rsid w:val="00BE07FD"/>
    <w:pPr>
      <w:ind w:left="960" w:hanging="240"/>
    </w:pPr>
  </w:style>
  <w:style w:type="paragraph" w:styleId="Hakemisto5">
    <w:name w:val="index 5"/>
    <w:basedOn w:val="Normaali"/>
    <w:next w:val="Normaali"/>
    <w:autoRedefine/>
    <w:uiPriority w:val="99"/>
    <w:semiHidden/>
    <w:unhideWhenUsed/>
    <w:rsid w:val="00BE07FD"/>
    <w:pPr>
      <w:ind w:left="1200" w:hanging="240"/>
    </w:pPr>
  </w:style>
  <w:style w:type="paragraph" w:styleId="Hakemisto6">
    <w:name w:val="index 6"/>
    <w:basedOn w:val="Normaali"/>
    <w:next w:val="Normaali"/>
    <w:autoRedefine/>
    <w:uiPriority w:val="99"/>
    <w:semiHidden/>
    <w:unhideWhenUsed/>
    <w:rsid w:val="00BE07FD"/>
    <w:pPr>
      <w:ind w:left="1440" w:hanging="240"/>
    </w:pPr>
  </w:style>
  <w:style w:type="paragraph" w:styleId="Hakemisto7">
    <w:name w:val="index 7"/>
    <w:basedOn w:val="Normaali"/>
    <w:next w:val="Normaali"/>
    <w:autoRedefine/>
    <w:uiPriority w:val="99"/>
    <w:semiHidden/>
    <w:unhideWhenUsed/>
    <w:rsid w:val="00BE07FD"/>
    <w:pPr>
      <w:ind w:left="1680" w:hanging="240"/>
    </w:pPr>
  </w:style>
  <w:style w:type="paragraph" w:styleId="Hakemisto8">
    <w:name w:val="index 8"/>
    <w:basedOn w:val="Normaali"/>
    <w:next w:val="Normaali"/>
    <w:autoRedefine/>
    <w:uiPriority w:val="99"/>
    <w:semiHidden/>
    <w:unhideWhenUsed/>
    <w:rsid w:val="00BE07FD"/>
    <w:pPr>
      <w:ind w:left="1920" w:hanging="240"/>
    </w:pPr>
  </w:style>
  <w:style w:type="paragraph" w:styleId="Hakemisto9">
    <w:name w:val="index 9"/>
    <w:basedOn w:val="Normaali"/>
    <w:next w:val="Normaali"/>
    <w:autoRedefine/>
    <w:uiPriority w:val="99"/>
    <w:semiHidden/>
    <w:unhideWhenUsed/>
    <w:rsid w:val="00BE07FD"/>
    <w:pPr>
      <w:ind w:left="2160" w:hanging="240"/>
    </w:pPr>
  </w:style>
  <w:style w:type="paragraph" w:styleId="Hakemistonotsikko">
    <w:name w:val="index heading"/>
    <w:basedOn w:val="Normaali"/>
    <w:next w:val="Hakemisto1"/>
    <w:uiPriority w:val="99"/>
    <w:semiHidden/>
    <w:unhideWhenUsed/>
    <w:rsid w:val="00BE07FD"/>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BE07FD"/>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E07FD"/>
    <w:rPr>
      <w:rFonts w:ascii="Consolas" w:eastAsia="Times New Roman" w:hAnsi="Consolas" w:cs="Times New Roman"/>
      <w:sz w:val="20"/>
      <w:szCs w:val="20"/>
      <w:lang w:eastAsia="fi-FI"/>
    </w:rPr>
  </w:style>
  <w:style w:type="paragraph" w:styleId="HTML-osoite">
    <w:name w:val="HTML Address"/>
    <w:basedOn w:val="Normaali"/>
    <w:link w:val="HTML-osoiteChar"/>
    <w:uiPriority w:val="99"/>
    <w:semiHidden/>
    <w:unhideWhenUsed/>
    <w:rsid w:val="00BE07FD"/>
    <w:rPr>
      <w:i/>
      <w:iCs/>
    </w:rPr>
  </w:style>
  <w:style w:type="character" w:customStyle="1" w:styleId="HTML-osoiteChar">
    <w:name w:val="HTML-osoite Char"/>
    <w:basedOn w:val="Kappaleenoletusfontti"/>
    <w:link w:val="HTML-osoite"/>
    <w:uiPriority w:val="99"/>
    <w:semiHidden/>
    <w:rsid w:val="00BE07FD"/>
    <w:rPr>
      <w:rFonts w:ascii="Times New Roman" w:eastAsia="Times New Roman" w:hAnsi="Times New Roman" w:cs="Times New Roman"/>
      <w:i/>
      <w:iCs/>
      <w:sz w:val="24"/>
      <w:szCs w:val="24"/>
      <w:lang w:eastAsia="fi-FI"/>
    </w:rPr>
  </w:style>
  <w:style w:type="paragraph" w:styleId="Huomautuksenotsikko">
    <w:name w:val="Note Heading"/>
    <w:basedOn w:val="Normaali"/>
    <w:next w:val="Normaali"/>
    <w:link w:val="HuomautuksenotsikkoChar"/>
    <w:uiPriority w:val="99"/>
    <w:semiHidden/>
    <w:unhideWhenUsed/>
    <w:rsid w:val="00BE07FD"/>
  </w:style>
  <w:style w:type="character" w:customStyle="1" w:styleId="HuomautuksenotsikkoChar">
    <w:name w:val="Huomautuksen otsikko Char"/>
    <w:basedOn w:val="Kappaleenoletusfontti"/>
    <w:link w:val="Huomautuksenotsikko"/>
    <w:uiPriority w:val="99"/>
    <w:semiHidden/>
    <w:rsid w:val="00BE07FD"/>
    <w:rPr>
      <w:rFonts w:ascii="Times New Roman" w:eastAsia="Times New Roman" w:hAnsi="Times New Roman" w:cs="Times New Roman"/>
      <w:sz w:val="24"/>
      <w:szCs w:val="24"/>
      <w:lang w:eastAsia="fi-FI"/>
    </w:rPr>
  </w:style>
  <w:style w:type="paragraph" w:styleId="Jatkoluettelo">
    <w:name w:val="List Continue"/>
    <w:basedOn w:val="Normaali"/>
    <w:uiPriority w:val="99"/>
    <w:semiHidden/>
    <w:unhideWhenUsed/>
    <w:rsid w:val="00BE07FD"/>
    <w:pPr>
      <w:spacing w:after="120"/>
      <w:ind w:left="283"/>
      <w:contextualSpacing/>
    </w:pPr>
  </w:style>
  <w:style w:type="paragraph" w:styleId="Jatkoluettelo2">
    <w:name w:val="List Continue 2"/>
    <w:basedOn w:val="Normaali"/>
    <w:uiPriority w:val="99"/>
    <w:semiHidden/>
    <w:unhideWhenUsed/>
    <w:rsid w:val="00BE07FD"/>
    <w:pPr>
      <w:spacing w:after="120"/>
      <w:ind w:left="566"/>
      <w:contextualSpacing/>
    </w:pPr>
  </w:style>
  <w:style w:type="paragraph" w:styleId="Jatkoluettelo3">
    <w:name w:val="List Continue 3"/>
    <w:basedOn w:val="Normaali"/>
    <w:uiPriority w:val="99"/>
    <w:semiHidden/>
    <w:unhideWhenUsed/>
    <w:rsid w:val="00BE07FD"/>
    <w:pPr>
      <w:spacing w:after="120"/>
      <w:ind w:left="849"/>
      <w:contextualSpacing/>
    </w:pPr>
  </w:style>
  <w:style w:type="paragraph" w:styleId="Jatkoluettelo4">
    <w:name w:val="List Continue 4"/>
    <w:basedOn w:val="Normaali"/>
    <w:uiPriority w:val="99"/>
    <w:semiHidden/>
    <w:unhideWhenUsed/>
    <w:rsid w:val="00BE07FD"/>
    <w:pPr>
      <w:spacing w:after="120"/>
      <w:ind w:left="1132"/>
      <w:contextualSpacing/>
    </w:pPr>
  </w:style>
  <w:style w:type="paragraph" w:styleId="Jatkoluettelo5">
    <w:name w:val="List Continue 5"/>
    <w:basedOn w:val="Normaali"/>
    <w:uiPriority w:val="99"/>
    <w:semiHidden/>
    <w:unhideWhenUsed/>
    <w:rsid w:val="00BE07FD"/>
    <w:pPr>
      <w:spacing w:after="120"/>
      <w:ind w:left="1415"/>
      <w:contextualSpacing/>
    </w:pPr>
  </w:style>
  <w:style w:type="paragraph" w:styleId="Kirjekuorenosoite">
    <w:name w:val="envelope address"/>
    <w:basedOn w:val="Normaali"/>
    <w:uiPriority w:val="99"/>
    <w:semiHidden/>
    <w:unhideWhenUsed/>
    <w:rsid w:val="00BE07FD"/>
    <w:pPr>
      <w:framePr w:w="7920" w:h="1980" w:hRule="exact" w:hSpace="141" w:wrap="auto" w:hAnchor="page" w:xAlign="center" w:yAlign="bottom"/>
      <w:ind w:left="2880"/>
    </w:pPr>
    <w:rPr>
      <w:rFonts w:asciiTheme="majorHAnsi" w:eastAsiaTheme="majorEastAsia" w:hAnsiTheme="majorHAnsi" w:cstheme="majorBidi"/>
    </w:rPr>
  </w:style>
  <w:style w:type="paragraph" w:styleId="Kirjekuorenpalautusosoite">
    <w:name w:val="envelope return"/>
    <w:basedOn w:val="Normaali"/>
    <w:uiPriority w:val="99"/>
    <w:semiHidden/>
    <w:unhideWhenUsed/>
    <w:rsid w:val="00BE07FD"/>
    <w:rPr>
      <w:rFonts w:asciiTheme="majorHAnsi" w:eastAsiaTheme="majorEastAsia" w:hAnsiTheme="majorHAnsi" w:cstheme="majorBidi"/>
      <w:sz w:val="20"/>
      <w:szCs w:val="20"/>
    </w:rPr>
  </w:style>
  <w:style w:type="paragraph" w:styleId="Kuvanotsikko">
    <w:name w:val="caption"/>
    <w:basedOn w:val="Normaali"/>
    <w:next w:val="Normaali"/>
    <w:uiPriority w:val="35"/>
    <w:semiHidden/>
    <w:unhideWhenUsed/>
    <w:qFormat/>
    <w:rsid w:val="00BE07FD"/>
    <w:pPr>
      <w:spacing w:after="200"/>
    </w:pPr>
    <w:rPr>
      <w:b/>
      <w:bCs/>
      <w:color w:val="4F81BD" w:themeColor="accent1"/>
      <w:sz w:val="18"/>
      <w:szCs w:val="18"/>
    </w:rPr>
  </w:style>
  <w:style w:type="paragraph" w:styleId="Kuvaotsikkoluettelo">
    <w:name w:val="table of figures"/>
    <w:basedOn w:val="Normaali"/>
    <w:next w:val="Normaali"/>
    <w:uiPriority w:val="99"/>
    <w:semiHidden/>
    <w:unhideWhenUsed/>
    <w:rsid w:val="00BE07FD"/>
  </w:style>
  <w:style w:type="paragraph" w:styleId="Lainaus">
    <w:name w:val="Quote"/>
    <w:basedOn w:val="Normaali"/>
    <w:next w:val="Normaali"/>
    <w:link w:val="LainausChar"/>
    <w:uiPriority w:val="29"/>
    <w:qFormat/>
    <w:rsid w:val="00BE07FD"/>
    <w:rPr>
      <w:i/>
      <w:iCs/>
      <w:color w:val="000000" w:themeColor="text1"/>
    </w:rPr>
  </w:style>
  <w:style w:type="character" w:customStyle="1" w:styleId="LainausChar">
    <w:name w:val="Lainaus Char"/>
    <w:basedOn w:val="Kappaleenoletusfontti"/>
    <w:link w:val="Lainaus"/>
    <w:uiPriority w:val="29"/>
    <w:rsid w:val="00BE07FD"/>
    <w:rPr>
      <w:rFonts w:ascii="Times New Roman" w:eastAsia="Times New Roman" w:hAnsi="Times New Roman" w:cs="Times New Roman"/>
      <w:i/>
      <w:iCs/>
      <w:color w:val="000000" w:themeColor="text1"/>
      <w:sz w:val="24"/>
      <w:szCs w:val="24"/>
      <w:lang w:eastAsia="fi-FI"/>
    </w:rPr>
  </w:style>
  <w:style w:type="paragraph" w:styleId="Leipteksti">
    <w:name w:val="Body Text"/>
    <w:basedOn w:val="Normaali"/>
    <w:link w:val="LeiptekstiChar"/>
    <w:uiPriority w:val="99"/>
    <w:semiHidden/>
    <w:unhideWhenUsed/>
    <w:rsid w:val="00BE07FD"/>
    <w:pPr>
      <w:spacing w:after="120"/>
    </w:pPr>
  </w:style>
  <w:style w:type="character" w:customStyle="1" w:styleId="LeiptekstiChar">
    <w:name w:val="Leipäteksti Char"/>
    <w:basedOn w:val="Kappaleenoletusfontti"/>
    <w:link w:val="Leipteksti"/>
    <w:uiPriority w:val="99"/>
    <w:semiHidden/>
    <w:rsid w:val="00BE07FD"/>
    <w:rPr>
      <w:rFonts w:ascii="Times New Roman" w:eastAsia="Times New Roman" w:hAnsi="Times New Roman" w:cs="Times New Roman"/>
      <w:sz w:val="24"/>
      <w:szCs w:val="24"/>
      <w:lang w:eastAsia="fi-FI"/>
    </w:rPr>
  </w:style>
  <w:style w:type="paragraph" w:styleId="Leipteksti2">
    <w:name w:val="Body Text 2"/>
    <w:basedOn w:val="Normaali"/>
    <w:link w:val="Leipteksti2Char"/>
    <w:uiPriority w:val="99"/>
    <w:semiHidden/>
    <w:unhideWhenUsed/>
    <w:rsid w:val="00BE07FD"/>
    <w:pPr>
      <w:spacing w:after="120" w:line="480" w:lineRule="auto"/>
    </w:pPr>
  </w:style>
  <w:style w:type="character" w:customStyle="1" w:styleId="Leipteksti2Char">
    <w:name w:val="Leipäteksti 2 Char"/>
    <w:basedOn w:val="Kappaleenoletusfontti"/>
    <w:link w:val="Leipteksti2"/>
    <w:uiPriority w:val="99"/>
    <w:semiHidden/>
    <w:rsid w:val="00BE07FD"/>
    <w:rPr>
      <w:rFonts w:ascii="Times New Roman" w:eastAsia="Times New Roman" w:hAnsi="Times New Roman" w:cs="Times New Roman"/>
      <w:sz w:val="24"/>
      <w:szCs w:val="24"/>
      <w:lang w:eastAsia="fi-FI"/>
    </w:rPr>
  </w:style>
  <w:style w:type="paragraph" w:styleId="Leipteksti3">
    <w:name w:val="Body Text 3"/>
    <w:basedOn w:val="Normaali"/>
    <w:link w:val="Leipteksti3Char"/>
    <w:uiPriority w:val="99"/>
    <w:semiHidden/>
    <w:unhideWhenUsed/>
    <w:rsid w:val="00BE07FD"/>
    <w:pPr>
      <w:spacing w:after="120"/>
    </w:pPr>
    <w:rPr>
      <w:sz w:val="16"/>
      <w:szCs w:val="16"/>
    </w:rPr>
  </w:style>
  <w:style w:type="character" w:customStyle="1" w:styleId="Leipteksti3Char">
    <w:name w:val="Leipäteksti 3 Char"/>
    <w:basedOn w:val="Kappaleenoletusfontti"/>
    <w:link w:val="Leipteksti3"/>
    <w:uiPriority w:val="99"/>
    <w:semiHidden/>
    <w:rsid w:val="00BE07FD"/>
    <w:rPr>
      <w:rFonts w:ascii="Times New Roman" w:eastAsia="Times New Roman" w:hAnsi="Times New Roman" w:cs="Times New Roman"/>
      <w:sz w:val="16"/>
      <w:szCs w:val="16"/>
      <w:lang w:eastAsia="fi-FI"/>
    </w:rPr>
  </w:style>
  <w:style w:type="paragraph" w:styleId="Leiptekstin1rivinsisennys">
    <w:name w:val="Body Text First Indent"/>
    <w:basedOn w:val="Leipteksti"/>
    <w:link w:val="Leiptekstin1rivinsisennysChar"/>
    <w:uiPriority w:val="99"/>
    <w:semiHidden/>
    <w:unhideWhenUsed/>
    <w:rsid w:val="00BE07FD"/>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E07FD"/>
    <w:rPr>
      <w:rFonts w:ascii="Times New Roman" w:eastAsia="Times New Roman" w:hAnsi="Times New Roman" w:cs="Times New Roman"/>
      <w:sz w:val="24"/>
      <w:szCs w:val="24"/>
      <w:lang w:eastAsia="fi-FI"/>
    </w:rPr>
  </w:style>
  <w:style w:type="paragraph" w:styleId="Sisennettyleipteksti">
    <w:name w:val="Body Text Indent"/>
    <w:basedOn w:val="Normaali"/>
    <w:link w:val="SisennettyleiptekstiChar"/>
    <w:uiPriority w:val="99"/>
    <w:semiHidden/>
    <w:unhideWhenUsed/>
    <w:rsid w:val="00BE07FD"/>
    <w:pPr>
      <w:spacing w:after="120"/>
      <w:ind w:left="283"/>
    </w:pPr>
  </w:style>
  <w:style w:type="character" w:customStyle="1" w:styleId="SisennettyleiptekstiChar">
    <w:name w:val="Sisennetty leipäteksti Char"/>
    <w:basedOn w:val="Kappaleenoletusfontti"/>
    <w:link w:val="Sisennettyleipteksti"/>
    <w:uiPriority w:val="99"/>
    <w:semiHidden/>
    <w:rsid w:val="00BE07FD"/>
    <w:rPr>
      <w:rFonts w:ascii="Times New Roman" w:eastAsia="Times New Roman" w:hAnsi="Times New Roman" w:cs="Times New Roman"/>
      <w:sz w:val="24"/>
      <w:szCs w:val="24"/>
      <w:lang w:eastAsia="fi-FI"/>
    </w:rPr>
  </w:style>
  <w:style w:type="paragraph" w:styleId="Leiptekstin1rivinsisennys2">
    <w:name w:val="Body Text First Indent 2"/>
    <w:basedOn w:val="Sisennettyleipteksti"/>
    <w:link w:val="Leiptekstin1rivinsisennys2Char"/>
    <w:uiPriority w:val="99"/>
    <w:semiHidden/>
    <w:unhideWhenUsed/>
    <w:rsid w:val="00BE07FD"/>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E07FD"/>
    <w:rPr>
      <w:rFonts w:ascii="Times New Roman" w:eastAsia="Times New Roman" w:hAnsi="Times New Roman" w:cs="Times New Roman"/>
      <w:sz w:val="24"/>
      <w:szCs w:val="24"/>
      <w:lang w:eastAsia="fi-FI"/>
    </w:rPr>
  </w:style>
  <w:style w:type="paragraph" w:styleId="Lohkoteksti">
    <w:name w:val="Block Text"/>
    <w:basedOn w:val="Normaali"/>
    <w:uiPriority w:val="99"/>
    <w:semiHidden/>
    <w:unhideWhenUsed/>
    <w:rsid w:val="00BE07F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Lopetus">
    <w:name w:val="Closing"/>
    <w:basedOn w:val="Normaali"/>
    <w:link w:val="LopetusChar"/>
    <w:uiPriority w:val="99"/>
    <w:semiHidden/>
    <w:unhideWhenUsed/>
    <w:rsid w:val="00BE07FD"/>
    <w:pPr>
      <w:ind w:left="4252"/>
    </w:pPr>
  </w:style>
  <w:style w:type="character" w:customStyle="1" w:styleId="LopetusChar">
    <w:name w:val="Lopetus Char"/>
    <w:basedOn w:val="Kappaleenoletusfontti"/>
    <w:link w:val="Lopetus"/>
    <w:uiPriority w:val="99"/>
    <w:semiHidden/>
    <w:rsid w:val="00BE07FD"/>
    <w:rPr>
      <w:rFonts w:ascii="Times New Roman" w:eastAsia="Times New Roman" w:hAnsi="Times New Roman" w:cs="Times New Roman"/>
      <w:sz w:val="24"/>
      <w:szCs w:val="24"/>
      <w:lang w:eastAsia="fi-FI"/>
    </w:rPr>
  </w:style>
  <w:style w:type="paragraph" w:styleId="Loppuviitteenteksti">
    <w:name w:val="endnote text"/>
    <w:basedOn w:val="Normaali"/>
    <w:link w:val="LoppuviitteentekstiChar"/>
    <w:uiPriority w:val="99"/>
    <w:semiHidden/>
    <w:unhideWhenUsed/>
    <w:rsid w:val="00BE07FD"/>
    <w:rPr>
      <w:sz w:val="20"/>
      <w:szCs w:val="20"/>
    </w:rPr>
  </w:style>
  <w:style w:type="character" w:customStyle="1" w:styleId="LoppuviitteentekstiChar">
    <w:name w:val="Loppuviitteen teksti Char"/>
    <w:basedOn w:val="Kappaleenoletusfontti"/>
    <w:link w:val="Loppuviitteenteksti"/>
    <w:uiPriority w:val="99"/>
    <w:semiHidden/>
    <w:rsid w:val="00BE07FD"/>
    <w:rPr>
      <w:rFonts w:ascii="Times New Roman" w:eastAsia="Times New Roman" w:hAnsi="Times New Roman" w:cs="Times New Roman"/>
      <w:sz w:val="20"/>
      <w:szCs w:val="20"/>
      <w:lang w:eastAsia="fi-FI"/>
    </w:rPr>
  </w:style>
  <w:style w:type="paragraph" w:styleId="Luettelo">
    <w:name w:val="List"/>
    <w:basedOn w:val="Normaali"/>
    <w:uiPriority w:val="99"/>
    <w:semiHidden/>
    <w:unhideWhenUsed/>
    <w:rsid w:val="00BE07FD"/>
    <w:pPr>
      <w:ind w:left="283" w:hanging="283"/>
      <w:contextualSpacing/>
    </w:pPr>
  </w:style>
  <w:style w:type="paragraph" w:styleId="Luettelo2">
    <w:name w:val="List 2"/>
    <w:basedOn w:val="Normaali"/>
    <w:uiPriority w:val="99"/>
    <w:semiHidden/>
    <w:unhideWhenUsed/>
    <w:rsid w:val="00BE07FD"/>
    <w:pPr>
      <w:ind w:left="566" w:hanging="283"/>
      <w:contextualSpacing/>
    </w:pPr>
  </w:style>
  <w:style w:type="paragraph" w:styleId="Luettelo3">
    <w:name w:val="List 3"/>
    <w:basedOn w:val="Normaali"/>
    <w:uiPriority w:val="99"/>
    <w:semiHidden/>
    <w:unhideWhenUsed/>
    <w:rsid w:val="00BE07FD"/>
    <w:pPr>
      <w:ind w:left="849" w:hanging="283"/>
      <w:contextualSpacing/>
    </w:pPr>
  </w:style>
  <w:style w:type="paragraph" w:styleId="Luettelo4">
    <w:name w:val="List 4"/>
    <w:basedOn w:val="Normaali"/>
    <w:uiPriority w:val="99"/>
    <w:semiHidden/>
    <w:unhideWhenUsed/>
    <w:rsid w:val="00BE07FD"/>
    <w:pPr>
      <w:ind w:left="1132" w:hanging="283"/>
      <w:contextualSpacing/>
    </w:pPr>
  </w:style>
  <w:style w:type="paragraph" w:styleId="Luettelo5">
    <w:name w:val="List 5"/>
    <w:basedOn w:val="Normaali"/>
    <w:uiPriority w:val="99"/>
    <w:semiHidden/>
    <w:unhideWhenUsed/>
    <w:rsid w:val="00BE07FD"/>
    <w:pPr>
      <w:ind w:left="1415" w:hanging="283"/>
      <w:contextualSpacing/>
    </w:pPr>
  </w:style>
  <w:style w:type="paragraph" w:styleId="Lhdeluettelo">
    <w:name w:val="Bibliography"/>
    <w:basedOn w:val="Normaali"/>
    <w:next w:val="Normaali"/>
    <w:uiPriority w:val="37"/>
    <w:semiHidden/>
    <w:unhideWhenUsed/>
    <w:rsid w:val="00BE07FD"/>
  </w:style>
  <w:style w:type="paragraph" w:styleId="Lhdeluettelonotsikko">
    <w:name w:val="toa heading"/>
    <w:basedOn w:val="Normaali"/>
    <w:next w:val="Normaali"/>
    <w:uiPriority w:val="99"/>
    <w:semiHidden/>
    <w:unhideWhenUsed/>
    <w:rsid w:val="00BE07FD"/>
    <w:pPr>
      <w:spacing w:before="120"/>
    </w:pPr>
    <w:rPr>
      <w:rFonts w:asciiTheme="majorHAnsi" w:eastAsiaTheme="majorEastAsia" w:hAnsiTheme="majorHAnsi" w:cstheme="majorBidi"/>
      <w:b/>
      <w:bCs/>
    </w:rPr>
  </w:style>
  <w:style w:type="paragraph" w:styleId="Lhdeviiteluettelo">
    <w:name w:val="table of authorities"/>
    <w:basedOn w:val="Normaali"/>
    <w:next w:val="Normaali"/>
    <w:uiPriority w:val="99"/>
    <w:semiHidden/>
    <w:unhideWhenUsed/>
    <w:rsid w:val="00BE07FD"/>
    <w:pPr>
      <w:ind w:left="240" w:hanging="240"/>
    </w:pPr>
  </w:style>
  <w:style w:type="paragraph" w:styleId="Makroteksti">
    <w:name w:val="macro"/>
    <w:link w:val="MakrotekstiChar"/>
    <w:uiPriority w:val="99"/>
    <w:semiHidden/>
    <w:unhideWhenUsed/>
    <w:rsid w:val="00BE07F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fi-FI"/>
    </w:rPr>
  </w:style>
  <w:style w:type="character" w:customStyle="1" w:styleId="MakrotekstiChar">
    <w:name w:val="Makroteksti Char"/>
    <w:basedOn w:val="Kappaleenoletusfontti"/>
    <w:link w:val="Makroteksti"/>
    <w:uiPriority w:val="99"/>
    <w:semiHidden/>
    <w:rsid w:val="00BE07FD"/>
    <w:rPr>
      <w:rFonts w:ascii="Consolas" w:eastAsia="Times New Roman" w:hAnsi="Consolas" w:cs="Times New Roman"/>
      <w:sz w:val="20"/>
      <w:szCs w:val="20"/>
      <w:lang w:eastAsia="fi-FI"/>
    </w:rPr>
  </w:style>
  <w:style w:type="paragraph" w:styleId="Merkittyluettelo">
    <w:name w:val="List Bullet"/>
    <w:basedOn w:val="Normaali"/>
    <w:uiPriority w:val="99"/>
    <w:semiHidden/>
    <w:unhideWhenUsed/>
    <w:rsid w:val="00BE07FD"/>
    <w:pPr>
      <w:numPr>
        <w:numId w:val="3"/>
      </w:numPr>
      <w:contextualSpacing/>
    </w:pPr>
  </w:style>
  <w:style w:type="paragraph" w:styleId="Merkittyluettelo2">
    <w:name w:val="List Bullet 2"/>
    <w:basedOn w:val="Normaali"/>
    <w:uiPriority w:val="99"/>
    <w:semiHidden/>
    <w:unhideWhenUsed/>
    <w:rsid w:val="00BE07FD"/>
    <w:pPr>
      <w:numPr>
        <w:numId w:val="4"/>
      </w:numPr>
      <w:contextualSpacing/>
    </w:pPr>
  </w:style>
  <w:style w:type="paragraph" w:styleId="Merkittyluettelo3">
    <w:name w:val="List Bullet 3"/>
    <w:basedOn w:val="Normaali"/>
    <w:uiPriority w:val="99"/>
    <w:semiHidden/>
    <w:unhideWhenUsed/>
    <w:rsid w:val="00BE07FD"/>
    <w:pPr>
      <w:numPr>
        <w:numId w:val="5"/>
      </w:numPr>
      <w:contextualSpacing/>
    </w:pPr>
  </w:style>
  <w:style w:type="paragraph" w:styleId="Merkittyluettelo4">
    <w:name w:val="List Bullet 4"/>
    <w:basedOn w:val="Normaali"/>
    <w:uiPriority w:val="99"/>
    <w:semiHidden/>
    <w:unhideWhenUsed/>
    <w:rsid w:val="00BE07FD"/>
    <w:pPr>
      <w:numPr>
        <w:numId w:val="6"/>
      </w:numPr>
      <w:contextualSpacing/>
    </w:pPr>
  </w:style>
  <w:style w:type="paragraph" w:styleId="Merkittyluettelo5">
    <w:name w:val="List Bullet 5"/>
    <w:basedOn w:val="Normaali"/>
    <w:uiPriority w:val="99"/>
    <w:semiHidden/>
    <w:unhideWhenUsed/>
    <w:rsid w:val="00BE07FD"/>
    <w:pPr>
      <w:numPr>
        <w:numId w:val="7"/>
      </w:numPr>
      <w:contextualSpacing/>
    </w:pPr>
  </w:style>
  <w:style w:type="paragraph" w:styleId="Numeroituluettelo">
    <w:name w:val="List Number"/>
    <w:basedOn w:val="Normaali"/>
    <w:uiPriority w:val="99"/>
    <w:semiHidden/>
    <w:unhideWhenUsed/>
    <w:rsid w:val="00BE07FD"/>
    <w:pPr>
      <w:numPr>
        <w:numId w:val="8"/>
      </w:numPr>
      <w:contextualSpacing/>
    </w:pPr>
  </w:style>
  <w:style w:type="paragraph" w:styleId="Numeroituluettelo2">
    <w:name w:val="List Number 2"/>
    <w:basedOn w:val="Normaali"/>
    <w:uiPriority w:val="99"/>
    <w:semiHidden/>
    <w:unhideWhenUsed/>
    <w:rsid w:val="00BE07FD"/>
    <w:pPr>
      <w:numPr>
        <w:numId w:val="9"/>
      </w:numPr>
      <w:contextualSpacing/>
    </w:pPr>
  </w:style>
  <w:style w:type="paragraph" w:styleId="Numeroituluettelo3">
    <w:name w:val="List Number 3"/>
    <w:basedOn w:val="Normaali"/>
    <w:uiPriority w:val="99"/>
    <w:semiHidden/>
    <w:unhideWhenUsed/>
    <w:rsid w:val="00BE07FD"/>
    <w:pPr>
      <w:numPr>
        <w:numId w:val="10"/>
      </w:numPr>
      <w:contextualSpacing/>
    </w:pPr>
  </w:style>
  <w:style w:type="paragraph" w:styleId="Numeroituluettelo4">
    <w:name w:val="List Number 4"/>
    <w:basedOn w:val="Normaali"/>
    <w:uiPriority w:val="99"/>
    <w:semiHidden/>
    <w:unhideWhenUsed/>
    <w:rsid w:val="00BE07FD"/>
    <w:pPr>
      <w:numPr>
        <w:numId w:val="11"/>
      </w:numPr>
      <w:contextualSpacing/>
    </w:pPr>
  </w:style>
  <w:style w:type="paragraph" w:styleId="Numeroituluettelo5">
    <w:name w:val="List Number 5"/>
    <w:basedOn w:val="Normaali"/>
    <w:uiPriority w:val="99"/>
    <w:semiHidden/>
    <w:unhideWhenUsed/>
    <w:rsid w:val="00BE07FD"/>
    <w:pPr>
      <w:numPr>
        <w:numId w:val="12"/>
      </w:numPr>
      <w:contextualSpacing/>
    </w:pPr>
  </w:style>
  <w:style w:type="paragraph" w:styleId="Otsikko">
    <w:name w:val="Title"/>
    <w:basedOn w:val="Normaali"/>
    <w:next w:val="Normaali"/>
    <w:link w:val="OtsikkoChar"/>
    <w:uiPriority w:val="10"/>
    <w:qFormat/>
    <w:rsid w:val="00BE07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BE07FD"/>
    <w:rPr>
      <w:rFonts w:asciiTheme="majorHAnsi" w:eastAsiaTheme="majorEastAsia" w:hAnsiTheme="majorHAnsi" w:cstheme="majorBidi"/>
      <w:color w:val="17365D" w:themeColor="text2" w:themeShade="BF"/>
      <w:spacing w:val="5"/>
      <w:kern w:val="28"/>
      <w:sz w:val="52"/>
      <w:szCs w:val="52"/>
      <w:lang w:eastAsia="fi-FI"/>
    </w:rPr>
  </w:style>
  <w:style w:type="character" w:customStyle="1" w:styleId="Otsikko1Char">
    <w:name w:val="Otsikko 1 Char"/>
    <w:basedOn w:val="Kappaleenoletusfontti"/>
    <w:link w:val="Otsikko1"/>
    <w:uiPriority w:val="9"/>
    <w:rsid w:val="00BE07FD"/>
    <w:rPr>
      <w:rFonts w:asciiTheme="majorHAnsi" w:eastAsiaTheme="majorEastAsia" w:hAnsiTheme="majorHAnsi" w:cstheme="majorBidi"/>
      <w:b/>
      <w:bCs/>
      <w:color w:val="365F91" w:themeColor="accent1" w:themeShade="BF"/>
      <w:sz w:val="28"/>
      <w:szCs w:val="28"/>
      <w:lang w:eastAsia="fi-FI"/>
    </w:rPr>
  </w:style>
  <w:style w:type="character" w:customStyle="1" w:styleId="Otsikko2Char">
    <w:name w:val="Otsikko 2 Char"/>
    <w:basedOn w:val="Kappaleenoletusfontti"/>
    <w:link w:val="Otsikko2"/>
    <w:uiPriority w:val="9"/>
    <w:semiHidden/>
    <w:rsid w:val="00BE07FD"/>
    <w:rPr>
      <w:rFonts w:asciiTheme="majorHAnsi" w:eastAsiaTheme="majorEastAsia" w:hAnsiTheme="majorHAnsi" w:cstheme="majorBidi"/>
      <w:b/>
      <w:bCs/>
      <w:color w:val="4F81BD" w:themeColor="accent1"/>
      <w:sz w:val="26"/>
      <w:szCs w:val="26"/>
      <w:lang w:eastAsia="fi-FI"/>
    </w:rPr>
  </w:style>
  <w:style w:type="character" w:customStyle="1" w:styleId="Otsikko3Char">
    <w:name w:val="Otsikko 3 Char"/>
    <w:basedOn w:val="Kappaleenoletusfontti"/>
    <w:link w:val="Otsikko3"/>
    <w:uiPriority w:val="9"/>
    <w:semiHidden/>
    <w:rsid w:val="00BE07FD"/>
    <w:rPr>
      <w:rFonts w:asciiTheme="majorHAnsi" w:eastAsiaTheme="majorEastAsia" w:hAnsiTheme="majorHAnsi" w:cstheme="majorBidi"/>
      <w:b/>
      <w:bCs/>
      <w:color w:val="4F81BD" w:themeColor="accent1"/>
      <w:sz w:val="24"/>
      <w:szCs w:val="24"/>
      <w:lang w:eastAsia="fi-FI"/>
    </w:rPr>
  </w:style>
  <w:style w:type="character" w:customStyle="1" w:styleId="Otsikko4Char">
    <w:name w:val="Otsikko 4 Char"/>
    <w:basedOn w:val="Kappaleenoletusfontti"/>
    <w:link w:val="Otsikko4"/>
    <w:uiPriority w:val="9"/>
    <w:semiHidden/>
    <w:rsid w:val="00BE07FD"/>
    <w:rPr>
      <w:rFonts w:asciiTheme="majorHAnsi" w:eastAsiaTheme="majorEastAsia" w:hAnsiTheme="majorHAnsi" w:cstheme="majorBidi"/>
      <w:b/>
      <w:bCs/>
      <w:i/>
      <w:iCs/>
      <w:color w:val="4F81BD" w:themeColor="accent1"/>
      <w:sz w:val="24"/>
      <w:szCs w:val="24"/>
      <w:lang w:eastAsia="fi-FI"/>
    </w:rPr>
  </w:style>
  <w:style w:type="character" w:customStyle="1" w:styleId="Otsikko5Char">
    <w:name w:val="Otsikko 5 Char"/>
    <w:basedOn w:val="Kappaleenoletusfontti"/>
    <w:link w:val="Otsikko5"/>
    <w:uiPriority w:val="9"/>
    <w:semiHidden/>
    <w:rsid w:val="00BE07FD"/>
    <w:rPr>
      <w:rFonts w:asciiTheme="majorHAnsi" w:eastAsiaTheme="majorEastAsia" w:hAnsiTheme="majorHAnsi" w:cstheme="majorBidi"/>
      <w:color w:val="243F60" w:themeColor="accent1" w:themeShade="7F"/>
      <w:sz w:val="24"/>
      <w:szCs w:val="24"/>
      <w:lang w:eastAsia="fi-FI"/>
    </w:rPr>
  </w:style>
  <w:style w:type="character" w:customStyle="1" w:styleId="Otsikko6Char">
    <w:name w:val="Otsikko 6 Char"/>
    <w:basedOn w:val="Kappaleenoletusfontti"/>
    <w:link w:val="Otsikko6"/>
    <w:uiPriority w:val="9"/>
    <w:semiHidden/>
    <w:rsid w:val="00BE07FD"/>
    <w:rPr>
      <w:rFonts w:asciiTheme="majorHAnsi" w:eastAsiaTheme="majorEastAsia" w:hAnsiTheme="majorHAnsi" w:cstheme="majorBidi"/>
      <w:i/>
      <w:iCs/>
      <w:color w:val="243F60" w:themeColor="accent1" w:themeShade="7F"/>
      <w:sz w:val="24"/>
      <w:szCs w:val="24"/>
      <w:lang w:eastAsia="fi-FI"/>
    </w:rPr>
  </w:style>
  <w:style w:type="character" w:customStyle="1" w:styleId="Otsikko7Char">
    <w:name w:val="Otsikko 7 Char"/>
    <w:basedOn w:val="Kappaleenoletusfontti"/>
    <w:link w:val="Otsikko7"/>
    <w:uiPriority w:val="9"/>
    <w:semiHidden/>
    <w:rsid w:val="00BE07FD"/>
    <w:rPr>
      <w:rFonts w:asciiTheme="majorHAnsi" w:eastAsiaTheme="majorEastAsia" w:hAnsiTheme="majorHAnsi" w:cstheme="majorBidi"/>
      <w:i/>
      <w:iCs/>
      <w:color w:val="404040" w:themeColor="text1" w:themeTint="BF"/>
      <w:sz w:val="24"/>
      <w:szCs w:val="24"/>
      <w:lang w:eastAsia="fi-FI"/>
    </w:rPr>
  </w:style>
  <w:style w:type="character" w:customStyle="1" w:styleId="Otsikko8Char">
    <w:name w:val="Otsikko 8 Char"/>
    <w:basedOn w:val="Kappaleenoletusfontti"/>
    <w:link w:val="Otsikko8"/>
    <w:uiPriority w:val="9"/>
    <w:semiHidden/>
    <w:rsid w:val="00BE07FD"/>
    <w:rPr>
      <w:rFonts w:asciiTheme="majorHAnsi" w:eastAsiaTheme="majorEastAsia" w:hAnsiTheme="majorHAnsi" w:cstheme="majorBidi"/>
      <w:color w:val="404040" w:themeColor="text1" w:themeTint="BF"/>
      <w:sz w:val="20"/>
      <w:szCs w:val="20"/>
      <w:lang w:eastAsia="fi-FI"/>
    </w:rPr>
  </w:style>
  <w:style w:type="character" w:customStyle="1" w:styleId="Otsikko9Char">
    <w:name w:val="Otsikko 9 Char"/>
    <w:basedOn w:val="Kappaleenoletusfontti"/>
    <w:link w:val="Otsikko9"/>
    <w:uiPriority w:val="9"/>
    <w:semiHidden/>
    <w:rsid w:val="00BE07FD"/>
    <w:rPr>
      <w:rFonts w:asciiTheme="majorHAnsi" w:eastAsiaTheme="majorEastAsia" w:hAnsiTheme="majorHAnsi" w:cstheme="majorBidi"/>
      <w:i/>
      <w:iCs/>
      <w:color w:val="404040" w:themeColor="text1" w:themeTint="BF"/>
      <w:sz w:val="20"/>
      <w:szCs w:val="20"/>
      <w:lang w:eastAsia="fi-FI"/>
    </w:rPr>
  </w:style>
  <w:style w:type="paragraph" w:styleId="Pivmr">
    <w:name w:val="Date"/>
    <w:basedOn w:val="Normaali"/>
    <w:next w:val="Normaali"/>
    <w:link w:val="PivmrChar"/>
    <w:uiPriority w:val="99"/>
    <w:semiHidden/>
    <w:unhideWhenUsed/>
    <w:rsid w:val="00BE07FD"/>
  </w:style>
  <w:style w:type="character" w:customStyle="1" w:styleId="PivmrChar">
    <w:name w:val="Päivämäärä Char"/>
    <w:basedOn w:val="Kappaleenoletusfontti"/>
    <w:link w:val="Pivmr"/>
    <w:uiPriority w:val="99"/>
    <w:semiHidden/>
    <w:rsid w:val="00BE07FD"/>
    <w:rPr>
      <w:rFonts w:ascii="Times New Roman" w:eastAsia="Times New Roman" w:hAnsi="Times New Roman" w:cs="Times New Roman"/>
      <w:sz w:val="24"/>
      <w:szCs w:val="24"/>
      <w:lang w:eastAsia="fi-FI"/>
    </w:rPr>
  </w:style>
  <w:style w:type="paragraph" w:styleId="Sisennettyleipteksti2">
    <w:name w:val="Body Text Indent 2"/>
    <w:basedOn w:val="Normaali"/>
    <w:link w:val="Sisennettyleipteksti2Char"/>
    <w:uiPriority w:val="99"/>
    <w:semiHidden/>
    <w:unhideWhenUsed/>
    <w:rsid w:val="00BE07FD"/>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E07FD"/>
    <w:rPr>
      <w:rFonts w:ascii="Times New Roman" w:eastAsia="Times New Roman" w:hAnsi="Times New Roman" w:cs="Times New Roman"/>
      <w:sz w:val="24"/>
      <w:szCs w:val="24"/>
      <w:lang w:eastAsia="fi-FI"/>
    </w:rPr>
  </w:style>
  <w:style w:type="paragraph" w:styleId="Sisennettyleipteksti3">
    <w:name w:val="Body Text Indent 3"/>
    <w:basedOn w:val="Normaali"/>
    <w:link w:val="Sisennettyleipteksti3Char"/>
    <w:uiPriority w:val="99"/>
    <w:semiHidden/>
    <w:unhideWhenUsed/>
    <w:rsid w:val="00BE07FD"/>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E07FD"/>
    <w:rPr>
      <w:rFonts w:ascii="Times New Roman" w:eastAsia="Times New Roman" w:hAnsi="Times New Roman" w:cs="Times New Roman"/>
      <w:sz w:val="16"/>
      <w:szCs w:val="16"/>
      <w:lang w:eastAsia="fi-FI"/>
    </w:rPr>
  </w:style>
  <w:style w:type="paragraph" w:styleId="Sisluet1">
    <w:name w:val="toc 1"/>
    <w:basedOn w:val="Normaali"/>
    <w:next w:val="Normaali"/>
    <w:autoRedefine/>
    <w:uiPriority w:val="39"/>
    <w:semiHidden/>
    <w:unhideWhenUsed/>
    <w:rsid w:val="00BE07FD"/>
    <w:pPr>
      <w:spacing w:after="100"/>
    </w:pPr>
  </w:style>
  <w:style w:type="paragraph" w:styleId="Sisluet2">
    <w:name w:val="toc 2"/>
    <w:basedOn w:val="Normaali"/>
    <w:next w:val="Normaali"/>
    <w:autoRedefine/>
    <w:uiPriority w:val="39"/>
    <w:semiHidden/>
    <w:unhideWhenUsed/>
    <w:rsid w:val="00BE07FD"/>
    <w:pPr>
      <w:spacing w:after="100"/>
      <w:ind w:left="240"/>
    </w:pPr>
  </w:style>
  <w:style w:type="paragraph" w:styleId="Sisluet3">
    <w:name w:val="toc 3"/>
    <w:basedOn w:val="Normaali"/>
    <w:next w:val="Normaali"/>
    <w:autoRedefine/>
    <w:uiPriority w:val="39"/>
    <w:semiHidden/>
    <w:unhideWhenUsed/>
    <w:rsid w:val="00BE07FD"/>
    <w:pPr>
      <w:spacing w:after="100"/>
      <w:ind w:left="480"/>
    </w:pPr>
  </w:style>
  <w:style w:type="paragraph" w:styleId="Sisluet4">
    <w:name w:val="toc 4"/>
    <w:basedOn w:val="Normaali"/>
    <w:next w:val="Normaali"/>
    <w:autoRedefine/>
    <w:uiPriority w:val="39"/>
    <w:semiHidden/>
    <w:unhideWhenUsed/>
    <w:rsid w:val="00BE07FD"/>
    <w:pPr>
      <w:spacing w:after="100"/>
      <w:ind w:left="720"/>
    </w:pPr>
  </w:style>
  <w:style w:type="paragraph" w:styleId="Sisluet5">
    <w:name w:val="toc 5"/>
    <w:basedOn w:val="Normaali"/>
    <w:next w:val="Normaali"/>
    <w:autoRedefine/>
    <w:uiPriority w:val="39"/>
    <w:semiHidden/>
    <w:unhideWhenUsed/>
    <w:rsid w:val="00BE07FD"/>
    <w:pPr>
      <w:spacing w:after="100"/>
      <w:ind w:left="960"/>
    </w:pPr>
  </w:style>
  <w:style w:type="paragraph" w:styleId="Sisluet6">
    <w:name w:val="toc 6"/>
    <w:basedOn w:val="Normaali"/>
    <w:next w:val="Normaali"/>
    <w:autoRedefine/>
    <w:uiPriority w:val="39"/>
    <w:semiHidden/>
    <w:unhideWhenUsed/>
    <w:rsid w:val="00BE07FD"/>
    <w:pPr>
      <w:spacing w:after="100"/>
      <w:ind w:left="1200"/>
    </w:pPr>
  </w:style>
  <w:style w:type="paragraph" w:styleId="Sisluet7">
    <w:name w:val="toc 7"/>
    <w:basedOn w:val="Normaali"/>
    <w:next w:val="Normaali"/>
    <w:autoRedefine/>
    <w:uiPriority w:val="39"/>
    <w:semiHidden/>
    <w:unhideWhenUsed/>
    <w:rsid w:val="00BE07FD"/>
    <w:pPr>
      <w:spacing w:after="100"/>
      <w:ind w:left="1440"/>
    </w:pPr>
  </w:style>
  <w:style w:type="paragraph" w:styleId="Sisluet8">
    <w:name w:val="toc 8"/>
    <w:basedOn w:val="Normaali"/>
    <w:next w:val="Normaali"/>
    <w:autoRedefine/>
    <w:uiPriority w:val="39"/>
    <w:semiHidden/>
    <w:unhideWhenUsed/>
    <w:rsid w:val="00BE07FD"/>
    <w:pPr>
      <w:spacing w:after="100"/>
      <w:ind w:left="1680"/>
    </w:pPr>
  </w:style>
  <w:style w:type="paragraph" w:styleId="Sisluet9">
    <w:name w:val="toc 9"/>
    <w:basedOn w:val="Normaali"/>
    <w:next w:val="Normaali"/>
    <w:autoRedefine/>
    <w:uiPriority w:val="39"/>
    <w:semiHidden/>
    <w:unhideWhenUsed/>
    <w:rsid w:val="00BE07FD"/>
    <w:pPr>
      <w:spacing w:after="100"/>
      <w:ind w:left="1920"/>
    </w:pPr>
  </w:style>
  <w:style w:type="paragraph" w:styleId="Sisllysluettelonotsikko">
    <w:name w:val="TOC Heading"/>
    <w:basedOn w:val="Otsikko1"/>
    <w:next w:val="Normaali"/>
    <w:uiPriority w:val="39"/>
    <w:semiHidden/>
    <w:unhideWhenUsed/>
    <w:qFormat/>
    <w:rsid w:val="00BE07FD"/>
    <w:pPr>
      <w:outlineLvl w:val="9"/>
    </w:pPr>
  </w:style>
  <w:style w:type="paragraph" w:styleId="Tervehdys">
    <w:name w:val="Salutation"/>
    <w:basedOn w:val="Normaali"/>
    <w:next w:val="Normaali"/>
    <w:link w:val="TervehdysChar"/>
    <w:uiPriority w:val="99"/>
    <w:semiHidden/>
    <w:unhideWhenUsed/>
    <w:rsid w:val="00BE07FD"/>
  </w:style>
  <w:style w:type="character" w:customStyle="1" w:styleId="TervehdysChar">
    <w:name w:val="Tervehdys Char"/>
    <w:basedOn w:val="Kappaleenoletusfontti"/>
    <w:link w:val="Tervehdys"/>
    <w:uiPriority w:val="99"/>
    <w:semiHidden/>
    <w:rsid w:val="00BE07FD"/>
    <w:rPr>
      <w:rFonts w:ascii="Times New Roman" w:eastAsia="Times New Roman" w:hAnsi="Times New Roman" w:cs="Times New Roman"/>
      <w:sz w:val="24"/>
      <w:szCs w:val="24"/>
      <w:lang w:eastAsia="fi-FI"/>
    </w:rPr>
  </w:style>
  <w:style w:type="paragraph" w:styleId="Vaintekstin">
    <w:name w:val="Plain Text"/>
    <w:basedOn w:val="Normaali"/>
    <w:link w:val="VaintekstinChar"/>
    <w:uiPriority w:val="99"/>
    <w:semiHidden/>
    <w:unhideWhenUsed/>
    <w:rsid w:val="00BE07FD"/>
    <w:rPr>
      <w:rFonts w:ascii="Consolas" w:hAnsi="Consolas"/>
      <w:sz w:val="21"/>
      <w:szCs w:val="21"/>
    </w:rPr>
  </w:style>
  <w:style w:type="character" w:customStyle="1" w:styleId="VaintekstinChar">
    <w:name w:val="Vain tekstinä Char"/>
    <w:basedOn w:val="Kappaleenoletusfontti"/>
    <w:link w:val="Vaintekstin"/>
    <w:uiPriority w:val="99"/>
    <w:semiHidden/>
    <w:rsid w:val="00BE07FD"/>
    <w:rPr>
      <w:rFonts w:ascii="Consolas" w:eastAsia="Times New Roman" w:hAnsi="Consolas" w:cs="Times New Roman"/>
      <w:sz w:val="21"/>
      <w:szCs w:val="21"/>
      <w:lang w:eastAsia="fi-FI"/>
    </w:rPr>
  </w:style>
  <w:style w:type="paragraph" w:styleId="Vakiosisennys">
    <w:name w:val="Normal Indent"/>
    <w:basedOn w:val="Normaali"/>
    <w:uiPriority w:val="99"/>
    <w:semiHidden/>
    <w:unhideWhenUsed/>
    <w:rsid w:val="00BE07FD"/>
    <w:pPr>
      <w:ind w:left="720"/>
    </w:pPr>
  </w:style>
  <w:style w:type="paragraph" w:styleId="Viestinallekirjoitus">
    <w:name w:val="E-mail Signature"/>
    <w:basedOn w:val="Normaali"/>
    <w:link w:val="ViestinallekirjoitusChar"/>
    <w:uiPriority w:val="99"/>
    <w:semiHidden/>
    <w:unhideWhenUsed/>
    <w:rsid w:val="00BE07FD"/>
  </w:style>
  <w:style w:type="character" w:customStyle="1" w:styleId="ViestinallekirjoitusChar">
    <w:name w:val="Viestin allekirjoitus Char"/>
    <w:basedOn w:val="Kappaleenoletusfontti"/>
    <w:link w:val="Viestinallekirjoitus"/>
    <w:uiPriority w:val="99"/>
    <w:semiHidden/>
    <w:rsid w:val="00BE07FD"/>
    <w:rPr>
      <w:rFonts w:ascii="Times New Roman" w:eastAsia="Times New Roman" w:hAnsi="Times New Roman" w:cs="Times New Roman"/>
      <w:sz w:val="24"/>
      <w:szCs w:val="24"/>
      <w:lang w:eastAsia="fi-FI"/>
    </w:rPr>
  </w:style>
  <w:style w:type="paragraph" w:styleId="Viestinotsikko">
    <w:name w:val="Message Header"/>
    <w:basedOn w:val="Normaali"/>
    <w:link w:val="ViestinotsikkoChar"/>
    <w:uiPriority w:val="99"/>
    <w:semiHidden/>
    <w:unhideWhenUsed/>
    <w:rsid w:val="00BE07F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ViestinotsikkoChar">
    <w:name w:val="Viestin otsikko Char"/>
    <w:basedOn w:val="Kappaleenoletusfontti"/>
    <w:link w:val="Viestinotsikko"/>
    <w:uiPriority w:val="99"/>
    <w:semiHidden/>
    <w:rsid w:val="00BE07FD"/>
    <w:rPr>
      <w:rFonts w:asciiTheme="majorHAnsi" w:eastAsiaTheme="majorEastAsia" w:hAnsiTheme="majorHAnsi" w:cstheme="majorBidi"/>
      <w:sz w:val="24"/>
      <w:szCs w:val="24"/>
      <w:shd w:val="pct20" w:color="auto" w:fill="auto"/>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8999">
      <w:bodyDiv w:val="1"/>
      <w:marLeft w:val="150"/>
      <w:marRight w:val="0"/>
      <w:marTop w:val="0"/>
      <w:marBottom w:val="0"/>
      <w:divBdr>
        <w:top w:val="none" w:sz="0" w:space="0" w:color="auto"/>
        <w:left w:val="none" w:sz="0" w:space="0" w:color="auto"/>
        <w:bottom w:val="none" w:sz="0" w:space="0" w:color="auto"/>
        <w:right w:val="none" w:sz="0" w:space="0" w:color="auto"/>
      </w:divBdr>
      <w:divsChild>
        <w:div w:id="849295801">
          <w:marLeft w:val="0"/>
          <w:marRight w:val="0"/>
          <w:marTop w:val="0"/>
          <w:marBottom w:val="0"/>
          <w:divBdr>
            <w:top w:val="none" w:sz="0" w:space="0" w:color="auto"/>
            <w:left w:val="none" w:sz="0" w:space="0" w:color="auto"/>
            <w:bottom w:val="none" w:sz="0" w:space="0" w:color="auto"/>
            <w:right w:val="none" w:sz="0" w:space="0" w:color="auto"/>
          </w:divBdr>
          <w:divsChild>
            <w:div w:id="10735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98335">
      <w:bodyDiv w:val="1"/>
      <w:marLeft w:val="150"/>
      <w:marRight w:val="0"/>
      <w:marTop w:val="0"/>
      <w:marBottom w:val="0"/>
      <w:divBdr>
        <w:top w:val="none" w:sz="0" w:space="0" w:color="auto"/>
        <w:left w:val="none" w:sz="0" w:space="0" w:color="auto"/>
        <w:bottom w:val="none" w:sz="0" w:space="0" w:color="auto"/>
        <w:right w:val="none" w:sz="0" w:space="0" w:color="auto"/>
      </w:divBdr>
      <w:divsChild>
        <w:div w:id="1430813441">
          <w:marLeft w:val="0"/>
          <w:marRight w:val="0"/>
          <w:marTop w:val="0"/>
          <w:marBottom w:val="0"/>
          <w:divBdr>
            <w:top w:val="none" w:sz="0" w:space="0" w:color="auto"/>
            <w:left w:val="none" w:sz="0" w:space="0" w:color="auto"/>
            <w:bottom w:val="none" w:sz="0" w:space="0" w:color="auto"/>
            <w:right w:val="none" w:sz="0" w:space="0" w:color="auto"/>
          </w:divBdr>
          <w:divsChild>
            <w:div w:id="3256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1767">
      <w:bodyDiv w:val="1"/>
      <w:marLeft w:val="150"/>
      <w:marRight w:val="0"/>
      <w:marTop w:val="0"/>
      <w:marBottom w:val="0"/>
      <w:divBdr>
        <w:top w:val="none" w:sz="0" w:space="0" w:color="auto"/>
        <w:left w:val="none" w:sz="0" w:space="0" w:color="auto"/>
        <w:bottom w:val="none" w:sz="0" w:space="0" w:color="auto"/>
        <w:right w:val="none" w:sz="0" w:space="0" w:color="auto"/>
      </w:divBdr>
      <w:divsChild>
        <w:div w:id="1059787397">
          <w:marLeft w:val="0"/>
          <w:marRight w:val="0"/>
          <w:marTop w:val="0"/>
          <w:marBottom w:val="0"/>
          <w:divBdr>
            <w:top w:val="none" w:sz="0" w:space="0" w:color="auto"/>
            <w:left w:val="none" w:sz="0" w:space="0" w:color="auto"/>
            <w:bottom w:val="none" w:sz="0" w:space="0" w:color="auto"/>
            <w:right w:val="none" w:sz="0" w:space="0" w:color="auto"/>
          </w:divBdr>
          <w:divsChild>
            <w:div w:id="20318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4483">
      <w:bodyDiv w:val="1"/>
      <w:marLeft w:val="150"/>
      <w:marRight w:val="0"/>
      <w:marTop w:val="0"/>
      <w:marBottom w:val="0"/>
      <w:divBdr>
        <w:top w:val="none" w:sz="0" w:space="0" w:color="auto"/>
        <w:left w:val="none" w:sz="0" w:space="0" w:color="auto"/>
        <w:bottom w:val="none" w:sz="0" w:space="0" w:color="auto"/>
        <w:right w:val="none" w:sz="0" w:space="0" w:color="auto"/>
      </w:divBdr>
      <w:divsChild>
        <w:div w:id="1954552190">
          <w:marLeft w:val="0"/>
          <w:marRight w:val="0"/>
          <w:marTop w:val="0"/>
          <w:marBottom w:val="0"/>
          <w:divBdr>
            <w:top w:val="none" w:sz="0" w:space="0" w:color="auto"/>
            <w:left w:val="none" w:sz="0" w:space="0" w:color="auto"/>
            <w:bottom w:val="none" w:sz="0" w:space="0" w:color="auto"/>
            <w:right w:val="none" w:sz="0" w:space="0" w:color="auto"/>
          </w:divBdr>
          <w:divsChild>
            <w:div w:id="5898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531">
      <w:bodyDiv w:val="1"/>
      <w:marLeft w:val="150"/>
      <w:marRight w:val="0"/>
      <w:marTop w:val="0"/>
      <w:marBottom w:val="0"/>
      <w:divBdr>
        <w:top w:val="none" w:sz="0" w:space="0" w:color="auto"/>
        <w:left w:val="none" w:sz="0" w:space="0" w:color="auto"/>
        <w:bottom w:val="none" w:sz="0" w:space="0" w:color="auto"/>
        <w:right w:val="none" w:sz="0" w:space="0" w:color="auto"/>
      </w:divBdr>
      <w:divsChild>
        <w:div w:id="2043480045">
          <w:marLeft w:val="0"/>
          <w:marRight w:val="0"/>
          <w:marTop w:val="0"/>
          <w:marBottom w:val="0"/>
          <w:divBdr>
            <w:top w:val="none" w:sz="0" w:space="0" w:color="auto"/>
            <w:left w:val="none" w:sz="0" w:space="0" w:color="auto"/>
            <w:bottom w:val="none" w:sz="0" w:space="0" w:color="auto"/>
            <w:right w:val="none" w:sz="0" w:space="0" w:color="auto"/>
          </w:divBdr>
          <w:divsChild>
            <w:div w:id="5998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555">
      <w:bodyDiv w:val="1"/>
      <w:marLeft w:val="150"/>
      <w:marRight w:val="0"/>
      <w:marTop w:val="0"/>
      <w:marBottom w:val="0"/>
      <w:divBdr>
        <w:top w:val="none" w:sz="0" w:space="0" w:color="auto"/>
        <w:left w:val="none" w:sz="0" w:space="0" w:color="auto"/>
        <w:bottom w:val="none" w:sz="0" w:space="0" w:color="auto"/>
        <w:right w:val="none" w:sz="0" w:space="0" w:color="auto"/>
      </w:divBdr>
      <w:divsChild>
        <w:div w:id="467212951">
          <w:marLeft w:val="0"/>
          <w:marRight w:val="0"/>
          <w:marTop w:val="0"/>
          <w:marBottom w:val="0"/>
          <w:divBdr>
            <w:top w:val="none" w:sz="0" w:space="0" w:color="auto"/>
            <w:left w:val="none" w:sz="0" w:space="0" w:color="auto"/>
            <w:bottom w:val="none" w:sz="0" w:space="0" w:color="auto"/>
            <w:right w:val="none" w:sz="0" w:space="0" w:color="auto"/>
          </w:divBdr>
          <w:divsChild>
            <w:div w:id="10991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3113">
      <w:bodyDiv w:val="1"/>
      <w:marLeft w:val="150"/>
      <w:marRight w:val="0"/>
      <w:marTop w:val="0"/>
      <w:marBottom w:val="0"/>
      <w:divBdr>
        <w:top w:val="none" w:sz="0" w:space="0" w:color="auto"/>
        <w:left w:val="none" w:sz="0" w:space="0" w:color="auto"/>
        <w:bottom w:val="none" w:sz="0" w:space="0" w:color="auto"/>
        <w:right w:val="none" w:sz="0" w:space="0" w:color="auto"/>
      </w:divBdr>
      <w:divsChild>
        <w:div w:id="70659626">
          <w:marLeft w:val="0"/>
          <w:marRight w:val="0"/>
          <w:marTop w:val="0"/>
          <w:marBottom w:val="0"/>
          <w:divBdr>
            <w:top w:val="none" w:sz="0" w:space="0" w:color="auto"/>
            <w:left w:val="none" w:sz="0" w:space="0" w:color="auto"/>
            <w:bottom w:val="none" w:sz="0" w:space="0" w:color="auto"/>
            <w:right w:val="none" w:sz="0" w:space="0" w:color="auto"/>
          </w:divBdr>
          <w:divsChild>
            <w:div w:id="9657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3096">
      <w:bodyDiv w:val="1"/>
      <w:marLeft w:val="150"/>
      <w:marRight w:val="0"/>
      <w:marTop w:val="0"/>
      <w:marBottom w:val="0"/>
      <w:divBdr>
        <w:top w:val="none" w:sz="0" w:space="0" w:color="auto"/>
        <w:left w:val="none" w:sz="0" w:space="0" w:color="auto"/>
        <w:bottom w:val="none" w:sz="0" w:space="0" w:color="auto"/>
        <w:right w:val="none" w:sz="0" w:space="0" w:color="auto"/>
      </w:divBdr>
      <w:divsChild>
        <w:div w:id="1834762866">
          <w:marLeft w:val="0"/>
          <w:marRight w:val="0"/>
          <w:marTop w:val="0"/>
          <w:marBottom w:val="0"/>
          <w:divBdr>
            <w:top w:val="none" w:sz="0" w:space="0" w:color="auto"/>
            <w:left w:val="none" w:sz="0" w:space="0" w:color="auto"/>
            <w:bottom w:val="none" w:sz="0" w:space="0" w:color="auto"/>
            <w:right w:val="none" w:sz="0" w:space="0" w:color="auto"/>
          </w:divBdr>
          <w:divsChild>
            <w:div w:id="9045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109">
      <w:bodyDiv w:val="1"/>
      <w:marLeft w:val="150"/>
      <w:marRight w:val="0"/>
      <w:marTop w:val="0"/>
      <w:marBottom w:val="0"/>
      <w:divBdr>
        <w:top w:val="none" w:sz="0" w:space="0" w:color="auto"/>
        <w:left w:val="none" w:sz="0" w:space="0" w:color="auto"/>
        <w:bottom w:val="none" w:sz="0" w:space="0" w:color="auto"/>
        <w:right w:val="none" w:sz="0" w:space="0" w:color="auto"/>
      </w:divBdr>
      <w:divsChild>
        <w:div w:id="1527792713">
          <w:marLeft w:val="0"/>
          <w:marRight w:val="0"/>
          <w:marTop w:val="0"/>
          <w:marBottom w:val="0"/>
          <w:divBdr>
            <w:top w:val="none" w:sz="0" w:space="0" w:color="auto"/>
            <w:left w:val="none" w:sz="0" w:space="0" w:color="auto"/>
            <w:bottom w:val="none" w:sz="0" w:space="0" w:color="auto"/>
            <w:right w:val="none" w:sz="0" w:space="0" w:color="auto"/>
          </w:divBdr>
          <w:divsChild>
            <w:div w:id="1074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2761">
      <w:bodyDiv w:val="1"/>
      <w:marLeft w:val="150"/>
      <w:marRight w:val="0"/>
      <w:marTop w:val="0"/>
      <w:marBottom w:val="0"/>
      <w:divBdr>
        <w:top w:val="none" w:sz="0" w:space="0" w:color="auto"/>
        <w:left w:val="none" w:sz="0" w:space="0" w:color="auto"/>
        <w:bottom w:val="none" w:sz="0" w:space="0" w:color="auto"/>
        <w:right w:val="none" w:sz="0" w:space="0" w:color="auto"/>
      </w:divBdr>
      <w:divsChild>
        <w:div w:id="171647203">
          <w:marLeft w:val="0"/>
          <w:marRight w:val="0"/>
          <w:marTop w:val="0"/>
          <w:marBottom w:val="0"/>
          <w:divBdr>
            <w:top w:val="none" w:sz="0" w:space="0" w:color="auto"/>
            <w:left w:val="none" w:sz="0" w:space="0" w:color="auto"/>
            <w:bottom w:val="none" w:sz="0" w:space="0" w:color="auto"/>
            <w:right w:val="none" w:sz="0" w:space="0" w:color="auto"/>
          </w:divBdr>
          <w:divsChild>
            <w:div w:id="640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5620">
      <w:bodyDiv w:val="1"/>
      <w:marLeft w:val="150"/>
      <w:marRight w:val="0"/>
      <w:marTop w:val="0"/>
      <w:marBottom w:val="0"/>
      <w:divBdr>
        <w:top w:val="none" w:sz="0" w:space="0" w:color="auto"/>
        <w:left w:val="none" w:sz="0" w:space="0" w:color="auto"/>
        <w:bottom w:val="none" w:sz="0" w:space="0" w:color="auto"/>
        <w:right w:val="none" w:sz="0" w:space="0" w:color="auto"/>
      </w:divBdr>
      <w:divsChild>
        <w:div w:id="382295308">
          <w:marLeft w:val="0"/>
          <w:marRight w:val="0"/>
          <w:marTop w:val="0"/>
          <w:marBottom w:val="0"/>
          <w:divBdr>
            <w:top w:val="none" w:sz="0" w:space="0" w:color="auto"/>
            <w:left w:val="none" w:sz="0" w:space="0" w:color="auto"/>
            <w:bottom w:val="none" w:sz="0" w:space="0" w:color="auto"/>
            <w:right w:val="none" w:sz="0" w:space="0" w:color="auto"/>
          </w:divBdr>
          <w:divsChild>
            <w:div w:id="17595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4183">
      <w:bodyDiv w:val="1"/>
      <w:marLeft w:val="150"/>
      <w:marRight w:val="0"/>
      <w:marTop w:val="0"/>
      <w:marBottom w:val="0"/>
      <w:divBdr>
        <w:top w:val="none" w:sz="0" w:space="0" w:color="auto"/>
        <w:left w:val="none" w:sz="0" w:space="0" w:color="auto"/>
        <w:bottom w:val="none" w:sz="0" w:space="0" w:color="auto"/>
        <w:right w:val="none" w:sz="0" w:space="0" w:color="auto"/>
      </w:divBdr>
      <w:divsChild>
        <w:div w:id="1452089021">
          <w:marLeft w:val="0"/>
          <w:marRight w:val="0"/>
          <w:marTop w:val="0"/>
          <w:marBottom w:val="0"/>
          <w:divBdr>
            <w:top w:val="none" w:sz="0" w:space="0" w:color="auto"/>
            <w:left w:val="none" w:sz="0" w:space="0" w:color="auto"/>
            <w:bottom w:val="none" w:sz="0" w:space="0" w:color="auto"/>
            <w:right w:val="none" w:sz="0" w:space="0" w:color="auto"/>
          </w:divBdr>
          <w:divsChild>
            <w:div w:id="16995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6125">
      <w:bodyDiv w:val="1"/>
      <w:marLeft w:val="150"/>
      <w:marRight w:val="0"/>
      <w:marTop w:val="0"/>
      <w:marBottom w:val="0"/>
      <w:divBdr>
        <w:top w:val="none" w:sz="0" w:space="0" w:color="auto"/>
        <w:left w:val="none" w:sz="0" w:space="0" w:color="auto"/>
        <w:bottom w:val="none" w:sz="0" w:space="0" w:color="auto"/>
        <w:right w:val="none" w:sz="0" w:space="0" w:color="auto"/>
      </w:divBdr>
      <w:divsChild>
        <w:div w:id="1401556194">
          <w:marLeft w:val="0"/>
          <w:marRight w:val="0"/>
          <w:marTop w:val="0"/>
          <w:marBottom w:val="0"/>
          <w:divBdr>
            <w:top w:val="none" w:sz="0" w:space="0" w:color="auto"/>
            <w:left w:val="none" w:sz="0" w:space="0" w:color="auto"/>
            <w:bottom w:val="none" w:sz="0" w:space="0" w:color="auto"/>
            <w:right w:val="none" w:sz="0" w:space="0" w:color="auto"/>
          </w:divBdr>
          <w:divsChild>
            <w:div w:id="12976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469">
      <w:bodyDiv w:val="1"/>
      <w:marLeft w:val="150"/>
      <w:marRight w:val="0"/>
      <w:marTop w:val="0"/>
      <w:marBottom w:val="0"/>
      <w:divBdr>
        <w:top w:val="none" w:sz="0" w:space="0" w:color="auto"/>
        <w:left w:val="none" w:sz="0" w:space="0" w:color="auto"/>
        <w:bottom w:val="none" w:sz="0" w:space="0" w:color="auto"/>
        <w:right w:val="none" w:sz="0" w:space="0" w:color="auto"/>
      </w:divBdr>
      <w:divsChild>
        <w:div w:id="884610055">
          <w:marLeft w:val="0"/>
          <w:marRight w:val="0"/>
          <w:marTop w:val="0"/>
          <w:marBottom w:val="0"/>
          <w:divBdr>
            <w:top w:val="none" w:sz="0" w:space="0" w:color="auto"/>
            <w:left w:val="none" w:sz="0" w:space="0" w:color="auto"/>
            <w:bottom w:val="none" w:sz="0" w:space="0" w:color="auto"/>
            <w:right w:val="none" w:sz="0" w:space="0" w:color="auto"/>
          </w:divBdr>
          <w:divsChild>
            <w:div w:id="1964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5725">
      <w:bodyDiv w:val="1"/>
      <w:marLeft w:val="150"/>
      <w:marRight w:val="0"/>
      <w:marTop w:val="0"/>
      <w:marBottom w:val="0"/>
      <w:divBdr>
        <w:top w:val="none" w:sz="0" w:space="0" w:color="auto"/>
        <w:left w:val="none" w:sz="0" w:space="0" w:color="auto"/>
        <w:bottom w:val="none" w:sz="0" w:space="0" w:color="auto"/>
        <w:right w:val="none" w:sz="0" w:space="0" w:color="auto"/>
      </w:divBdr>
      <w:divsChild>
        <w:div w:id="1688946281">
          <w:marLeft w:val="0"/>
          <w:marRight w:val="0"/>
          <w:marTop w:val="0"/>
          <w:marBottom w:val="0"/>
          <w:divBdr>
            <w:top w:val="none" w:sz="0" w:space="0" w:color="auto"/>
            <w:left w:val="none" w:sz="0" w:space="0" w:color="auto"/>
            <w:bottom w:val="none" w:sz="0" w:space="0" w:color="auto"/>
            <w:right w:val="none" w:sz="0" w:space="0" w:color="auto"/>
          </w:divBdr>
          <w:divsChild>
            <w:div w:id="14054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4604">
      <w:bodyDiv w:val="1"/>
      <w:marLeft w:val="150"/>
      <w:marRight w:val="0"/>
      <w:marTop w:val="0"/>
      <w:marBottom w:val="0"/>
      <w:divBdr>
        <w:top w:val="none" w:sz="0" w:space="0" w:color="auto"/>
        <w:left w:val="none" w:sz="0" w:space="0" w:color="auto"/>
        <w:bottom w:val="none" w:sz="0" w:space="0" w:color="auto"/>
        <w:right w:val="none" w:sz="0" w:space="0" w:color="auto"/>
      </w:divBdr>
      <w:divsChild>
        <w:div w:id="972444263">
          <w:marLeft w:val="0"/>
          <w:marRight w:val="0"/>
          <w:marTop w:val="0"/>
          <w:marBottom w:val="0"/>
          <w:divBdr>
            <w:top w:val="none" w:sz="0" w:space="0" w:color="auto"/>
            <w:left w:val="none" w:sz="0" w:space="0" w:color="auto"/>
            <w:bottom w:val="none" w:sz="0" w:space="0" w:color="auto"/>
            <w:right w:val="none" w:sz="0" w:space="0" w:color="auto"/>
          </w:divBdr>
          <w:divsChild>
            <w:div w:id="6007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7226">
      <w:bodyDiv w:val="1"/>
      <w:marLeft w:val="150"/>
      <w:marRight w:val="0"/>
      <w:marTop w:val="0"/>
      <w:marBottom w:val="0"/>
      <w:divBdr>
        <w:top w:val="none" w:sz="0" w:space="0" w:color="auto"/>
        <w:left w:val="none" w:sz="0" w:space="0" w:color="auto"/>
        <w:bottom w:val="none" w:sz="0" w:space="0" w:color="auto"/>
        <w:right w:val="none" w:sz="0" w:space="0" w:color="auto"/>
      </w:divBdr>
      <w:divsChild>
        <w:div w:id="221064828">
          <w:marLeft w:val="0"/>
          <w:marRight w:val="0"/>
          <w:marTop w:val="0"/>
          <w:marBottom w:val="0"/>
          <w:divBdr>
            <w:top w:val="none" w:sz="0" w:space="0" w:color="auto"/>
            <w:left w:val="none" w:sz="0" w:space="0" w:color="auto"/>
            <w:bottom w:val="none" w:sz="0" w:space="0" w:color="auto"/>
            <w:right w:val="none" w:sz="0" w:space="0" w:color="auto"/>
          </w:divBdr>
          <w:divsChild>
            <w:div w:id="14605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585">
      <w:bodyDiv w:val="1"/>
      <w:marLeft w:val="150"/>
      <w:marRight w:val="0"/>
      <w:marTop w:val="0"/>
      <w:marBottom w:val="0"/>
      <w:divBdr>
        <w:top w:val="none" w:sz="0" w:space="0" w:color="auto"/>
        <w:left w:val="none" w:sz="0" w:space="0" w:color="auto"/>
        <w:bottom w:val="none" w:sz="0" w:space="0" w:color="auto"/>
        <w:right w:val="none" w:sz="0" w:space="0" w:color="auto"/>
      </w:divBdr>
      <w:divsChild>
        <w:div w:id="1124301869">
          <w:marLeft w:val="0"/>
          <w:marRight w:val="0"/>
          <w:marTop w:val="0"/>
          <w:marBottom w:val="0"/>
          <w:divBdr>
            <w:top w:val="none" w:sz="0" w:space="0" w:color="auto"/>
            <w:left w:val="none" w:sz="0" w:space="0" w:color="auto"/>
            <w:bottom w:val="none" w:sz="0" w:space="0" w:color="auto"/>
            <w:right w:val="none" w:sz="0" w:space="0" w:color="auto"/>
          </w:divBdr>
          <w:divsChild>
            <w:div w:id="8530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188">
      <w:bodyDiv w:val="1"/>
      <w:marLeft w:val="0"/>
      <w:marRight w:val="0"/>
      <w:marTop w:val="0"/>
      <w:marBottom w:val="0"/>
      <w:divBdr>
        <w:top w:val="none" w:sz="0" w:space="0" w:color="auto"/>
        <w:left w:val="none" w:sz="0" w:space="0" w:color="auto"/>
        <w:bottom w:val="none" w:sz="0" w:space="0" w:color="auto"/>
        <w:right w:val="none" w:sz="0" w:space="0" w:color="auto"/>
      </w:divBdr>
    </w:div>
    <w:div w:id="1869685325">
      <w:bodyDiv w:val="1"/>
      <w:marLeft w:val="150"/>
      <w:marRight w:val="0"/>
      <w:marTop w:val="0"/>
      <w:marBottom w:val="0"/>
      <w:divBdr>
        <w:top w:val="none" w:sz="0" w:space="0" w:color="auto"/>
        <w:left w:val="none" w:sz="0" w:space="0" w:color="auto"/>
        <w:bottom w:val="none" w:sz="0" w:space="0" w:color="auto"/>
        <w:right w:val="none" w:sz="0" w:space="0" w:color="auto"/>
      </w:divBdr>
      <w:divsChild>
        <w:div w:id="360517125">
          <w:marLeft w:val="0"/>
          <w:marRight w:val="0"/>
          <w:marTop w:val="0"/>
          <w:marBottom w:val="0"/>
          <w:divBdr>
            <w:top w:val="none" w:sz="0" w:space="0" w:color="auto"/>
            <w:left w:val="none" w:sz="0" w:space="0" w:color="auto"/>
            <w:bottom w:val="none" w:sz="0" w:space="0" w:color="auto"/>
            <w:right w:val="none" w:sz="0" w:space="0" w:color="auto"/>
          </w:divBdr>
          <w:divsChild>
            <w:div w:id="8260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5366">
      <w:bodyDiv w:val="1"/>
      <w:marLeft w:val="150"/>
      <w:marRight w:val="0"/>
      <w:marTop w:val="0"/>
      <w:marBottom w:val="0"/>
      <w:divBdr>
        <w:top w:val="none" w:sz="0" w:space="0" w:color="auto"/>
        <w:left w:val="none" w:sz="0" w:space="0" w:color="auto"/>
        <w:bottom w:val="none" w:sz="0" w:space="0" w:color="auto"/>
        <w:right w:val="none" w:sz="0" w:space="0" w:color="auto"/>
      </w:divBdr>
      <w:divsChild>
        <w:div w:id="463082447">
          <w:marLeft w:val="0"/>
          <w:marRight w:val="0"/>
          <w:marTop w:val="0"/>
          <w:marBottom w:val="0"/>
          <w:divBdr>
            <w:top w:val="none" w:sz="0" w:space="0" w:color="auto"/>
            <w:left w:val="none" w:sz="0" w:space="0" w:color="auto"/>
            <w:bottom w:val="none" w:sz="0" w:space="0" w:color="auto"/>
            <w:right w:val="none" w:sz="0" w:space="0" w:color="auto"/>
          </w:divBdr>
          <w:divsChild>
            <w:div w:id="19877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4612">
      <w:bodyDiv w:val="1"/>
      <w:marLeft w:val="150"/>
      <w:marRight w:val="0"/>
      <w:marTop w:val="0"/>
      <w:marBottom w:val="0"/>
      <w:divBdr>
        <w:top w:val="none" w:sz="0" w:space="0" w:color="auto"/>
        <w:left w:val="none" w:sz="0" w:space="0" w:color="auto"/>
        <w:bottom w:val="none" w:sz="0" w:space="0" w:color="auto"/>
        <w:right w:val="none" w:sz="0" w:space="0" w:color="auto"/>
      </w:divBdr>
      <w:divsChild>
        <w:div w:id="1859536193">
          <w:marLeft w:val="0"/>
          <w:marRight w:val="0"/>
          <w:marTop w:val="0"/>
          <w:marBottom w:val="0"/>
          <w:divBdr>
            <w:top w:val="none" w:sz="0" w:space="0" w:color="auto"/>
            <w:left w:val="none" w:sz="0" w:space="0" w:color="auto"/>
            <w:bottom w:val="none" w:sz="0" w:space="0" w:color="auto"/>
            <w:right w:val="none" w:sz="0" w:space="0" w:color="auto"/>
          </w:divBdr>
          <w:divsChild>
            <w:div w:id="6347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C02E-B225-42A6-B3BC-BB1F0447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33</Pages>
  <Words>10640</Words>
  <Characters>86190</Characters>
  <Application>Microsoft Office Word</Application>
  <DocSecurity>0</DocSecurity>
  <Lines>718</Lines>
  <Paragraphs>193</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96637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Roudasmaa Harri TEM</dc:creator>
  <cp:lastModifiedBy>Laaksonen Merja VNK</cp:lastModifiedBy>
  <cp:revision>98</cp:revision>
  <cp:lastPrinted>2017-12-15T08:59:00Z</cp:lastPrinted>
  <dcterms:created xsi:type="dcterms:W3CDTF">2018-01-22T12:29:00Z</dcterms:created>
  <dcterms:modified xsi:type="dcterms:W3CDTF">2018-01-26T11:16:00Z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