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äädös"/>
        <w:tag w:val="CCSaados"/>
        <w:id w:val="505180228"/>
        <w:placeholder>
          <w:docPart w:val="7B42A54129CD451A852A5735C71B8D36"/>
        </w:placeholder>
        <w15:color w:val="00FFFF"/>
      </w:sdtPr>
      <w:sdtEndPr/>
      <w:sdtContent>
        <w:p w14:paraId="7007436B" w14:textId="77777777" w:rsidR="00D90A5B" w:rsidRDefault="00D90A5B">
          <w:pPr>
            <w:pStyle w:val="LLNormaali"/>
          </w:pPr>
        </w:p>
        <w:p w14:paraId="61B263AB" w14:textId="77777777" w:rsidR="004F334C" w:rsidRDefault="004F334C" w:rsidP="004F334C">
          <w:pPr>
            <w:pStyle w:val="LLValtioneuvostonAsetus"/>
          </w:pPr>
          <w:r>
            <w:t>Valtioneuvoston asetus</w:t>
          </w:r>
        </w:p>
        <w:p w14:paraId="13A68472" w14:textId="1104DD8A" w:rsidR="001D5B51" w:rsidRPr="009167E1" w:rsidRDefault="00DC6927" w:rsidP="001D5B51">
          <w:pPr>
            <w:pStyle w:val="LLSaadoksenNimi"/>
          </w:pPr>
          <w:r>
            <w:t>radiotaajuuksien käytöstä ja taajuussuunnitelmasta annetun valtioneuvoston asetuksen muuttamisesta</w:t>
          </w:r>
        </w:p>
        <w:p w14:paraId="39F66798" w14:textId="3436E948" w:rsidR="001D5B51" w:rsidRDefault="008341AB" w:rsidP="004D03FF">
          <w:pPr>
            <w:pStyle w:val="LLJohtolauseKappaleet"/>
          </w:pPr>
          <w:r w:rsidRPr="008341AB">
            <w:t>Valtioneuvoston päätöksen</w:t>
          </w:r>
          <w:r w:rsidR="001D5B51" w:rsidRPr="009167E1">
            <w:t xml:space="preserve"> mukaisesti </w:t>
          </w:r>
        </w:p>
        <w:p w14:paraId="5AB2A163" w14:textId="6123148C" w:rsidR="0001009E" w:rsidRPr="0001009E" w:rsidRDefault="00E64922" w:rsidP="0001009E">
          <w:pPr>
            <w:pStyle w:val="LLJohtolauseKappaleet"/>
            <w:rPr>
              <w:iCs/>
            </w:rPr>
          </w:pPr>
          <w:r>
            <w:rPr>
              <w:i/>
            </w:rPr>
            <w:t xml:space="preserve">kumotaan </w:t>
          </w:r>
          <w:r>
            <w:rPr>
              <w:iCs/>
            </w:rPr>
            <w:t>radiotaajuuksien käytöstä ja taajuussuunnitelmasta annetun valtioneuvoston asetuksen (1246/2014) 6 §</w:t>
          </w:r>
          <w:r w:rsidR="008E7A51">
            <w:rPr>
              <w:iCs/>
            </w:rPr>
            <w:t>,</w:t>
          </w:r>
          <w:r w:rsidR="00DC555A">
            <w:rPr>
              <w:iCs/>
            </w:rPr>
            <w:t xml:space="preserve"> 9 §:n 1,</w:t>
          </w:r>
          <w:r w:rsidR="0034322A">
            <w:rPr>
              <w:iCs/>
            </w:rPr>
            <w:t xml:space="preserve"> </w:t>
          </w:r>
          <w:r w:rsidR="00DC555A">
            <w:rPr>
              <w:iCs/>
            </w:rPr>
            <w:t>2 ja 4 momentti</w:t>
          </w:r>
          <w:r w:rsidR="008D4A46">
            <w:rPr>
              <w:iCs/>
            </w:rPr>
            <w:t xml:space="preserve"> ja</w:t>
          </w:r>
          <w:r w:rsidR="00DC555A">
            <w:rPr>
              <w:iCs/>
            </w:rPr>
            <w:t xml:space="preserve"> 11 §:n 2 momentti</w:t>
          </w:r>
          <w:r w:rsidR="006329EC">
            <w:rPr>
              <w:iCs/>
            </w:rPr>
            <w:t>, sellaisena kuin niistä on 9 §</w:t>
          </w:r>
          <w:r w:rsidR="0034322A">
            <w:rPr>
              <w:iCs/>
            </w:rPr>
            <w:t>:n</w:t>
          </w:r>
          <w:r w:rsidR="006329EC">
            <w:rPr>
              <w:iCs/>
            </w:rPr>
            <w:t xml:space="preserve"> 1 momentti asetuksessa 839/2016</w:t>
          </w:r>
          <w:r w:rsidR="008E7A51">
            <w:rPr>
              <w:iCs/>
            </w:rPr>
            <w:t xml:space="preserve"> sekä</w:t>
          </w:r>
        </w:p>
        <w:p w14:paraId="23B5593D" w14:textId="63DC1A37" w:rsidR="00810C3C" w:rsidRDefault="001D5B51" w:rsidP="001D5B51">
          <w:pPr>
            <w:pStyle w:val="LLJohtolauseKappaleet"/>
            <w:rPr>
              <w:iCs/>
            </w:rPr>
          </w:pPr>
          <w:r w:rsidRPr="009167E1">
            <w:rPr>
              <w:i/>
            </w:rPr>
            <w:t>muutetaan</w:t>
          </w:r>
          <w:r w:rsidR="004D03FF">
            <w:rPr>
              <w:i/>
            </w:rPr>
            <w:t xml:space="preserve"> </w:t>
          </w:r>
          <w:r w:rsidR="004D03FF">
            <w:rPr>
              <w:iCs/>
            </w:rPr>
            <w:t>2 §</w:t>
          </w:r>
          <w:r w:rsidR="00E64922">
            <w:rPr>
              <w:iCs/>
            </w:rPr>
            <w:t>:n 1 ja 2 momentti</w:t>
          </w:r>
          <w:r w:rsidR="00810C3C">
            <w:rPr>
              <w:iCs/>
            </w:rPr>
            <w:t>,</w:t>
          </w:r>
          <w:r w:rsidR="00A02F1A">
            <w:rPr>
              <w:iCs/>
            </w:rPr>
            <w:t xml:space="preserve"> 3 §,</w:t>
          </w:r>
          <w:r w:rsidR="006E4497">
            <w:rPr>
              <w:iCs/>
            </w:rPr>
            <w:t xml:space="preserve"> 5 §,</w:t>
          </w:r>
          <w:r w:rsidR="00810C3C">
            <w:rPr>
              <w:iCs/>
            </w:rPr>
            <w:t xml:space="preserve"> </w:t>
          </w:r>
          <w:r w:rsidR="00BA1071">
            <w:rPr>
              <w:iCs/>
            </w:rPr>
            <w:t xml:space="preserve">8 </w:t>
          </w:r>
          <w:r w:rsidR="00BA1071" w:rsidRPr="0001009E">
            <w:rPr>
              <w:iCs/>
            </w:rPr>
            <w:t>§, 9 §</w:t>
          </w:r>
          <w:r w:rsidR="00244197" w:rsidRPr="0001009E">
            <w:rPr>
              <w:iCs/>
            </w:rPr>
            <w:t xml:space="preserve">:n </w:t>
          </w:r>
          <w:r w:rsidR="00DC555A" w:rsidRPr="0001009E">
            <w:rPr>
              <w:iCs/>
            </w:rPr>
            <w:t xml:space="preserve">3 </w:t>
          </w:r>
          <w:r w:rsidR="00244197" w:rsidRPr="0001009E">
            <w:rPr>
              <w:iCs/>
            </w:rPr>
            <w:t>moment</w:t>
          </w:r>
          <w:r w:rsidR="00DC555A" w:rsidRPr="0001009E">
            <w:rPr>
              <w:iCs/>
            </w:rPr>
            <w:t>ti</w:t>
          </w:r>
          <w:r w:rsidR="00BA1071" w:rsidRPr="0001009E">
            <w:rPr>
              <w:iCs/>
            </w:rPr>
            <w:t>, 10</w:t>
          </w:r>
          <w:r w:rsidR="00BA1071">
            <w:rPr>
              <w:iCs/>
            </w:rPr>
            <w:t xml:space="preserve"> § ja 11 §</w:t>
          </w:r>
          <w:r w:rsidR="00DC555A">
            <w:rPr>
              <w:iCs/>
            </w:rPr>
            <w:t xml:space="preserve"> 1 momentti</w:t>
          </w:r>
          <w:r w:rsidR="00810C3C">
            <w:rPr>
              <w:iCs/>
            </w:rPr>
            <w:t xml:space="preserve">, </w:t>
          </w:r>
          <w:r w:rsidR="00E64922">
            <w:rPr>
              <w:iCs/>
            </w:rPr>
            <w:t xml:space="preserve">sekä </w:t>
          </w:r>
          <w:r w:rsidR="00722A8F">
            <w:rPr>
              <w:iCs/>
            </w:rPr>
            <w:t>liit</w:t>
          </w:r>
          <w:r w:rsidR="008D4A46">
            <w:rPr>
              <w:iCs/>
            </w:rPr>
            <w:t>e</w:t>
          </w:r>
          <w:r w:rsidR="006E4497">
            <w:rPr>
              <w:iCs/>
            </w:rPr>
            <w:t>, sellaisina</w:t>
          </w:r>
          <w:r w:rsidR="004D03FF">
            <w:rPr>
              <w:iCs/>
            </w:rPr>
            <w:t xml:space="preserve"> kuin </w:t>
          </w:r>
          <w:r w:rsidR="00810C3C">
            <w:rPr>
              <w:iCs/>
            </w:rPr>
            <w:t xml:space="preserve">niistä ovat 2 </w:t>
          </w:r>
          <w:r w:rsidR="00BA1071">
            <w:rPr>
              <w:iCs/>
            </w:rPr>
            <w:t>ja 10 §</w:t>
          </w:r>
          <w:r w:rsidR="004D03FF">
            <w:rPr>
              <w:iCs/>
            </w:rPr>
            <w:t xml:space="preserve"> asetuksessa </w:t>
          </w:r>
          <w:r w:rsidR="004D03FF" w:rsidRPr="00244197">
            <w:rPr>
              <w:iCs/>
            </w:rPr>
            <w:t>273/2021</w:t>
          </w:r>
          <w:r w:rsidR="00244197">
            <w:rPr>
              <w:iCs/>
            </w:rPr>
            <w:t>, 9 §:n 3 momentti</w:t>
          </w:r>
          <w:r w:rsidR="00957375">
            <w:rPr>
              <w:iCs/>
            </w:rPr>
            <w:t xml:space="preserve"> </w:t>
          </w:r>
          <w:r w:rsidR="008D4A46">
            <w:rPr>
              <w:iCs/>
            </w:rPr>
            <w:t>ja</w:t>
          </w:r>
          <w:r w:rsidR="00244197">
            <w:rPr>
              <w:iCs/>
            </w:rPr>
            <w:t xml:space="preserve"> </w:t>
          </w:r>
          <w:r w:rsidR="008D4A46">
            <w:rPr>
              <w:iCs/>
            </w:rPr>
            <w:t>liite</w:t>
          </w:r>
          <w:r w:rsidR="00957375">
            <w:rPr>
              <w:iCs/>
            </w:rPr>
            <w:t xml:space="preserve"> </w:t>
          </w:r>
          <w:r w:rsidR="00957375" w:rsidRPr="00957375">
            <w:rPr>
              <w:iCs/>
            </w:rPr>
            <w:t>asetuksessa</w:t>
          </w:r>
          <w:r w:rsidR="00957375">
            <w:rPr>
              <w:iCs/>
            </w:rPr>
            <w:t xml:space="preserve"> 201/2020</w:t>
          </w:r>
          <w:r w:rsidR="00A020C6">
            <w:rPr>
              <w:iCs/>
            </w:rPr>
            <w:t xml:space="preserve">, </w:t>
          </w:r>
          <w:r w:rsidR="00244197">
            <w:rPr>
              <w:iCs/>
            </w:rPr>
            <w:t>seuraavasti:</w:t>
          </w:r>
          <w:r w:rsidR="00BA1071">
            <w:rPr>
              <w:iCs/>
            </w:rPr>
            <w:t xml:space="preserve"> </w:t>
          </w:r>
        </w:p>
        <w:p w14:paraId="0F0968A2" w14:textId="77777777" w:rsidR="001D5B51" w:rsidRDefault="001D5B51" w:rsidP="001D5B51">
          <w:pPr>
            <w:pStyle w:val="LLNormaali"/>
          </w:pPr>
        </w:p>
        <w:p w14:paraId="56B0E154" w14:textId="5B6DE587" w:rsidR="00810C3C" w:rsidRPr="00810C3C" w:rsidRDefault="004D03FF" w:rsidP="00D34947">
          <w:pPr>
            <w:pStyle w:val="LLPykala"/>
          </w:pPr>
          <w:r>
            <w:t>2</w:t>
          </w:r>
          <w:r w:rsidR="001D5B51" w:rsidRPr="009167E1">
            <w:t xml:space="preserve"> §</w:t>
          </w:r>
        </w:p>
        <w:p w14:paraId="4F52C538" w14:textId="220B462F" w:rsidR="001D5B51" w:rsidRDefault="004D03FF" w:rsidP="00D34947">
          <w:pPr>
            <w:pStyle w:val="LLPykalanOtsikko"/>
          </w:pPr>
          <w:r w:rsidRPr="00810C3C">
            <w:t>Televisioverkot</w:t>
          </w:r>
        </w:p>
        <w:p w14:paraId="66B99271" w14:textId="36171DE1" w:rsidR="004D03FF" w:rsidRDefault="00A02F1A" w:rsidP="004D03FF">
          <w:pPr>
            <w:pStyle w:val="LLKappalejako"/>
          </w:pPr>
          <w:r w:rsidRPr="00A02F1A">
            <w:t xml:space="preserve">Televisiotoimintaan käytettävä taajuusalue on </w:t>
          </w:r>
          <w:r w:rsidR="00F34EB9" w:rsidRPr="00A02F1A">
            <w:t>470–694</w:t>
          </w:r>
          <w:r w:rsidRPr="00A02F1A">
            <w:t xml:space="preserve"> megahertsiä 10 päivään tammikuuta 2027 ja </w:t>
          </w:r>
          <w:r w:rsidR="00F34EB9" w:rsidRPr="00A02F1A">
            <w:t>470–614</w:t>
          </w:r>
          <w:r w:rsidRPr="00A02F1A">
            <w:t xml:space="preserve"> megahertsiä 11 päivästä tammikuuta 2027. </w:t>
          </w:r>
        </w:p>
        <w:p w14:paraId="34EDBAFC" w14:textId="68056E30" w:rsidR="004D03FF" w:rsidRDefault="004D03FF" w:rsidP="004D03FF">
          <w:pPr>
            <w:pStyle w:val="LLKappalejako"/>
          </w:pPr>
          <w:r w:rsidRPr="004D03FF">
            <w:t>Taajuusalueella</w:t>
          </w:r>
          <w:r w:rsidR="00A02F1A">
            <w:t xml:space="preserve"> </w:t>
          </w:r>
          <w:r w:rsidR="00F34EB9">
            <w:t>470–694</w:t>
          </w:r>
          <w:r w:rsidR="00A02F1A">
            <w:t xml:space="preserve"> megahertsiä</w:t>
          </w:r>
          <w:r w:rsidRPr="004D03FF">
            <w:t xml:space="preserve"> on toimiluvanvaraisen televisiotoiminnan käytössä viisi valtakunnallista ja yksi alueellinen kanavanippu</w:t>
          </w:r>
          <w:r>
            <w:t xml:space="preserve"> 10 päivään tammikuuta 2027. Taajuusalueella </w:t>
          </w:r>
          <w:r w:rsidR="00F34EB9">
            <w:t>470–614</w:t>
          </w:r>
          <w:r>
            <w:t xml:space="preserve"> megahertsiä </w:t>
          </w:r>
          <w:r w:rsidR="00A02F1A">
            <w:t xml:space="preserve">on </w:t>
          </w:r>
          <w:r>
            <w:t>toimiluvanvaraisen televisiotoimin</w:t>
          </w:r>
          <w:r w:rsidR="00A02F1A">
            <w:t>n</w:t>
          </w:r>
          <w:r>
            <w:t xml:space="preserve">an käytössä </w:t>
          </w:r>
          <w:r w:rsidR="00D82361" w:rsidRPr="0086465D">
            <w:t>kolme valtakunnallista</w:t>
          </w:r>
          <w:r w:rsidRPr="0086465D">
            <w:t xml:space="preserve"> kanavanippu</w:t>
          </w:r>
          <w:r w:rsidR="00D82361" w:rsidRPr="0086465D">
            <w:t>a ja yksi alueellinen kanavanippu</w:t>
          </w:r>
          <w:r w:rsidR="00A02F1A">
            <w:t xml:space="preserve"> 11 päivästä tammikuuta 2027</w:t>
          </w:r>
          <w:r>
            <w:t>.</w:t>
          </w:r>
          <w:r w:rsidRPr="004D03FF">
            <w:t xml:space="preserve"> </w:t>
          </w:r>
          <w:r>
            <w:t>Valtakunnallisista kanavanipuista yksi on ensisijaisesti varattu sähköisen viestinnän palveluista annetun lain 24 §:ssä tarkoitettua Yleisradio Oy:n julkisen palvelun tehtävän hoitamista ja mainitun lain 26 §:ssä tarkoitettua yleisen edun televisiotoimintaa varten.</w:t>
          </w:r>
        </w:p>
        <w:p w14:paraId="68E0A85E" w14:textId="77777777" w:rsidR="006E4497" w:rsidRDefault="006E4497" w:rsidP="00F34EB9">
          <w:pPr>
            <w:pStyle w:val="LLNormaali"/>
          </w:pPr>
        </w:p>
        <w:p w14:paraId="25904042" w14:textId="77777777" w:rsidR="00D34947" w:rsidRPr="009167E1" w:rsidRDefault="00D34947" w:rsidP="00BA71BD">
          <w:pPr>
            <w:pStyle w:val="LLNormaali"/>
          </w:pPr>
          <w:r w:rsidRPr="009167E1">
            <w:t>— — — — — — — — — — — — — — — — — — — — — — — — — — — — — —</w:t>
          </w:r>
        </w:p>
        <w:p w14:paraId="66FFB3F7" w14:textId="77777777" w:rsidR="006E4497" w:rsidRDefault="006E4497" w:rsidP="00F34EB9">
          <w:pPr>
            <w:pStyle w:val="LLNormaali"/>
          </w:pPr>
        </w:p>
        <w:p w14:paraId="7ABBED83" w14:textId="1270E88D" w:rsidR="00A02F1A" w:rsidRPr="00A02F1A" w:rsidRDefault="00A02F1A" w:rsidP="00AD78B5">
          <w:pPr>
            <w:pStyle w:val="LLPykala"/>
          </w:pPr>
          <w:r w:rsidRPr="00A02F1A">
            <w:t>3 §</w:t>
          </w:r>
        </w:p>
        <w:p w14:paraId="24F452D6" w14:textId="0D8DAEE9" w:rsidR="00A02F1A" w:rsidRDefault="00A02F1A" w:rsidP="00F34EB9">
          <w:pPr>
            <w:pStyle w:val="LLPykalanOtsikko"/>
          </w:pPr>
          <w:r w:rsidRPr="00A02F1A">
            <w:t>Kognitiiviset radioverkot</w:t>
          </w:r>
        </w:p>
        <w:p w14:paraId="1CB8BE3C" w14:textId="1232B80B" w:rsidR="00A02F1A" w:rsidRDefault="00B135EE" w:rsidP="00AD78B5">
          <w:pPr>
            <w:pStyle w:val="LLKappalejako"/>
          </w:pPr>
          <w:r w:rsidRPr="00B135EE">
            <w:t xml:space="preserve">Kognitiivisten radiojärjestelmien toimintaan käytettävä taajuusalue on </w:t>
          </w:r>
          <w:r w:rsidR="00F34EB9" w:rsidRPr="00B135EE">
            <w:t>470</w:t>
          </w:r>
          <w:r w:rsidR="00F34EB9">
            <w:t>–694</w:t>
          </w:r>
          <w:r w:rsidRPr="00B135EE">
            <w:t xml:space="preserve"> megahertsiä</w:t>
          </w:r>
          <w:r>
            <w:t xml:space="preserve"> 10 päivään tammikuuta 2027 ja </w:t>
          </w:r>
          <w:r w:rsidR="00F34EB9">
            <w:t>470–614</w:t>
          </w:r>
          <w:r>
            <w:t xml:space="preserve"> megahertsiä 11 päivästä tammikuuta 2027. </w:t>
          </w:r>
          <w:r w:rsidRPr="00B135EE">
            <w:t>Kognitiiviset radiojärjestelmät eivät kuitenkaan saa suojausta muun radioviestinnän aiheuttamilta häiriöiltä, eivätkä ne saa aiheuttaa häiriötä muulle radioviestinnälle.</w:t>
          </w:r>
        </w:p>
        <w:p w14:paraId="3A8E64DE" w14:textId="77777777" w:rsidR="00A02F1A" w:rsidRDefault="00A02F1A" w:rsidP="00AD78B5">
          <w:pPr>
            <w:pStyle w:val="LLNormaali"/>
          </w:pPr>
        </w:p>
        <w:p w14:paraId="08AFB3E5" w14:textId="5D2DA135" w:rsidR="006E4497" w:rsidRDefault="006E4497" w:rsidP="00D34947">
          <w:pPr>
            <w:pStyle w:val="LLPykala"/>
          </w:pPr>
          <w:r>
            <w:t>5 §</w:t>
          </w:r>
        </w:p>
        <w:p w14:paraId="2772FA2C" w14:textId="3EBF8F4D" w:rsidR="006E4497" w:rsidRPr="00D34947" w:rsidRDefault="006E4497" w:rsidP="00D34947">
          <w:pPr>
            <w:pStyle w:val="LLPykalanOtsikko"/>
          </w:pPr>
          <w:r>
            <w:t>Toisen sukupolven matkaviestinverkot</w:t>
          </w:r>
        </w:p>
        <w:p w14:paraId="0FACF40D" w14:textId="77777777" w:rsidR="006E4497" w:rsidRPr="006E4497" w:rsidRDefault="006E4497" w:rsidP="006E4497">
          <w:pPr>
            <w:pStyle w:val="LLKappalejako"/>
          </w:pPr>
          <w:r w:rsidRPr="006E4497">
            <w:t>Toisen sukupolven digitaaliseen matkaviestintoimintaan (GSM) käytettävät taajuusalueet ovat 880–915 megahertsiä ja 925–960 megahertsiä sekä 1 710–1 785 megahertsiä ja 1 805–1 880 megahertsiä.</w:t>
          </w:r>
        </w:p>
        <w:p w14:paraId="791B5A28" w14:textId="58CE452E" w:rsidR="006E4497" w:rsidRPr="006E4497" w:rsidRDefault="006E4497" w:rsidP="006E4497">
          <w:pPr>
            <w:pStyle w:val="LLKappalejako"/>
          </w:pPr>
          <w:r w:rsidRPr="006E4497">
            <w:t>Valtakunnallisia sekä 880–915 megahertsin ja 925–960 megahertsin että 1 710–1 785 megahertsin ja 1 805–1 880 megahertsin taajuusalueella toimivia digitaalisia GSM-matkaviestinverkkoja on kolme.</w:t>
          </w:r>
        </w:p>
        <w:p w14:paraId="74CDEE8F" w14:textId="77777777" w:rsidR="00D34947" w:rsidRDefault="00D34947" w:rsidP="00F34EB9">
          <w:pPr>
            <w:pStyle w:val="LLNormaali"/>
          </w:pPr>
        </w:p>
        <w:p w14:paraId="3B137A76" w14:textId="1B45CF79" w:rsidR="003D799F" w:rsidRPr="003D799F" w:rsidRDefault="003D799F" w:rsidP="00D34947">
          <w:pPr>
            <w:pStyle w:val="LLPykala"/>
          </w:pPr>
          <w:r>
            <w:t>8</w:t>
          </w:r>
          <w:r w:rsidR="004D03FF" w:rsidRPr="009167E1">
            <w:t xml:space="preserve"> §</w:t>
          </w:r>
        </w:p>
        <w:p w14:paraId="4393288B" w14:textId="6035219B" w:rsidR="003D799F" w:rsidRPr="00D34947" w:rsidRDefault="003D799F" w:rsidP="00D34947">
          <w:pPr>
            <w:pStyle w:val="LLPykalanOtsikko"/>
          </w:pPr>
          <w:r w:rsidRPr="003D799F">
            <w:t>Digitaalinen 450 matkaviestinverkko</w:t>
          </w:r>
        </w:p>
        <w:p w14:paraId="0033DED1" w14:textId="29A4755B" w:rsidR="003D799F" w:rsidRDefault="003D799F" w:rsidP="00D34947">
          <w:pPr>
            <w:pStyle w:val="LLKappalejako"/>
          </w:pPr>
          <w:r>
            <w:t xml:space="preserve">Valtakunnallisen digitaalisen 450 matkaviestinverkon toimintaan käytettävät taajuusalueet ovat </w:t>
          </w:r>
          <w:r w:rsidR="00F34EB9">
            <w:t>452,425–456,925</w:t>
          </w:r>
          <w:r>
            <w:t xml:space="preserve"> ja </w:t>
          </w:r>
          <w:r w:rsidR="00F34EB9">
            <w:t>462,425–466,925</w:t>
          </w:r>
          <w:r>
            <w:t xml:space="preserve"> megahertsiä.</w:t>
          </w:r>
        </w:p>
        <w:p w14:paraId="273D9A0C" w14:textId="77777777" w:rsidR="003D799F" w:rsidRDefault="003D799F" w:rsidP="00D34947">
          <w:pPr>
            <w:pStyle w:val="LLKappalejako"/>
          </w:pPr>
        </w:p>
        <w:p w14:paraId="4BFB0F9F" w14:textId="273A6A56" w:rsidR="003D799F" w:rsidRPr="003D799F" w:rsidRDefault="003D799F" w:rsidP="00D34947">
          <w:pPr>
            <w:pStyle w:val="LLKappalejako"/>
          </w:pPr>
          <w:r>
            <w:t xml:space="preserve">Valtakunnallisia digitaalisia 450 matkaviestinverkkoja on yksi. </w:t>
          </w:r>
        </w:p>
        <w:p w14:paraId="200F6A02" w14:textId="77777777" w:rsidR="004D03FF" w:rsidRDefault="004D03FF" w:rsidP="004D03FF">
          <w:pPr>
            <w:pStyle w:val="LLNormaali"/>
          </w:pPr>
        </w:p>
        <w:p w14:paraId="617551EB" w14:textId="7157308A" w:rsidR="003D799F" w:rsidRPr="003D799F" w:rsidRDefault="003D799F" w:rsidP="00D34947">
          <w:pPr>
            <w:pStyle w:val="LLPykala"/>
          </w:pPr>
          <w:r>
            <w:t>9</w:t>
          </w:r>
          <w:r w:rsidR="004D03FF" w:rsidRPr="009167E1">
            <w:t xml:space="preserve"> §</w:t>
          </w:r>
        </w:p>
        <w:p w14:paraId="64BF956F" w14:textId="5495579E" w:rsidR="00AD78B5" w:rsidRDefault="003D799F" w:rsidP="00F34EB9">
          <w:pPr>
            <w:pStyle w:val="LLPykalanOtsikko"/>
          </w:pPr>
          <w:r w:rsidRPr="00AD78B5">
            <w:t>Sähköisten viestintäpalvelujen tarjontaan soveltuvat maanpäälliset järjestelmät</w:t>
          </w:r>
        </w:p>
        <w:p w14:paraId="3FBB447B" w14:textId="1118E00D" w:rsidR="0037443D" w:rsidRDefault="00A02F1A" w:rsidP="00F34EB9">
          <w:pPr>
            <w:pStyle w:val="LLKappalejako"/>
          </w:pPr>
          <w:r w:rsidRPr="00A02F1A">
            <w:t>Sähköisten viestintäpalvelujen tarjontaan soveltuvien maanpäällisten järjestelmien käytössä ovat valtakunnallisesti taajuusalueet 703–733 megahertsiä ja 758–788 megahertsiä, 791–821 ja 832–862 megahertsiä, 880–915 megahertsiä ja 925–960 megahertsiä, 1 710–1 785 megahertsiä ja</w:t>
          </w:r>
          <w:r w:rsidR="0086465D">
            <w:t xml:space="preserve"> </w:t>
          </w:r>
          <w:r w:rsidRPr="00A02F1A">
            <w:t>1 805–1 880 megahertsiä, 1 920–1 980 megahertsiä ja 2 110–2 170 megahertsiä, 2 500–2 690 megahertsiä, 3 400–3800 megahertsiä sekä 25,1–27,5 gigahertsiä</w:t>
          </w:r>
          <w:r w:rsidR="00F34EB9">
            <w:t>.</w:t>
          </w:r>
        </w:p>
        <w:p w14:paraId="7F609527" w14:textId="77777777" w:rsidR="00C03042" w:rsidRPr="009167E1" w:rsidRDefault="00C03042" w:rsidP="00BA71BD">
          <w:pPr>
            <w:pStyle w:val="LLNormaali"/>
          </w:pPr>
          <w:r w:rsidRPr="009167E1">
            <w:t>— — — — — — — — — — — — — — — — — — — — — — — — — — — — — —</w:t>
          </w:r>
        </w:p>
        <w:p w14:paraId="1BA3D193" w14:textId="77777777" w:rsidR="00371563" w:rsidRDefault="00371563" w:rsidP="00371563">
          <w:pPr>
            <w:pStyle w:val="LLNormaali"/>
          </w:pPr>
        </w:p>
        <w:p w14:paraId="7B29ABCD" w14:textId="09ACAC80" w:rsidR="00371563" w:rsidRPr="00D34947" w:rsidRDefault="00371563" w:rsidP="00D34947">
          <w:pPr>
            <w:pStyle w:val="LLPykala"/>
          </w:pPr>
          <w:r>
            <w:t>10 §</w:t>
          </w:r>
        </w:p>
        <w:p w14:paraId="7705A4DD" w14:textId="40626D56" w:rsidR="00371563" w:rsidRPr="00D34947" w:rsidRDefault="00371563" w:rsidP="00D34947">
          <w:pPr>
            <w:pStyle w:val="LLPykalanOtsikko"/>
          </w:pPr>
          <w:r w:rsidRPr="00371563">
            <w:t>Käyttörajoitukset</w:t>
          </w:r>
        </w:p>
        <w:p w14:paraId="4AB6EFAD" w14:textId="01F8C7F4" w:rsidR="00371563" w:rsidRDefault="00371563" w:rsidP="00D34947">
          <w:pPr>
            <w:pStyle w:val="LLKappalejako"/>
          </w:pPr>
          <w:r>
            <w:t>Edellä 2,5,8, 9 ja 9</w:t>
          </w:r>
          <w:r w:rsidR="00B135EE">
            <w:t xml:space="preserve"> a</w:t>
          </w:r>
          <w:r>
            <w:t xml:space="preserve"> §:ssä tarkoitettujen taajuusalueiden käyttörajoitukset ovat liitteessä. </w:t>
          </w:r>
        </w:p>
        <w:p w14:paraId="71F56394" w14:textId="77777777" w:rsidR="00371563" w:rsidRDefault="00371563" w:rsidP="00371563">
          <w:pPr>
            <w:pStyle w:val="LLNormaali"/>
          </w:pPr>
        </w:p>
        <w:p w14:paraId="172383B7" w14:textId="1B0956FC" w:rsidR="00371563" w:rsidRDefault="00371563" w:rsidP="00D34947">
          <w:pPr>
            <w:pStyle w:val="LLPykala"/>
          </w:pPr>
          <w:r>
            <w:t>11 §</w:t>
          </w:r>
        </w:p>
        <w:p w14:paraId="4998CDBD" w14:textId="505AB3C0" w:rsidR="00371563" w:rsidRPr="00D34947" w:rsidRDefault="00371563" w:rsidP="00D34947">
          <w:pPr>
            <w:pStyle w:val="LLPykalanOtsikko"/>
          </w:pPr>
          <w:r w:rsidRPr="00371563">
            <w:t>Viranomaisverkko</w:t>
          </w:r>
        </w:p>
        <w:p w14:paraId="6ED60E01" w14:textId="26B3E5FE" w:rsidR="00BA1071" w:rsidRPr="00BA1071" w:rsidRDefault="00371563" w:rsidP="00BA1071">
          <w:pPr>
            <w:pStyle w:val="LLKappalejako"/>
            <w:rPr>
              <w:rFonts w:eastAsia="Calibri"/>
              <w:szCs w:val="22"/>
              <w:lang w:eastAsia="en-US"/>
            </w:rPr>
          </w:pPr>
          <w:r w:rsidRPr="00371563">
            <w:rPr>
              <w:rFonts w:eastAsia="Calibri"/>
              <w:szCs w:val="22"/>
              <w:lang w:eastAsia="en-US"/>
            </w:rPr>
            <w:t xml:space="preserve">Valtakunnallisen digitaalisen viranomaisradioverkon (VIRVE) toimintaan käytettävät taajuusalueet ovat </w:t>
          </w:r>
          <w:r w:rsidR="00F34EB9" w:rsidRPr="00371563">
            <w:rPr>
              <w:rFonts w:eastAsia="Calibri"/>
              <w:szCs w:val="22"/>
              <w:lang w:eastAsia="en-US"/>
            </w:rPr>
            <w:t>380</w:t>
          </w:r>
          <w:r w:rsidR="00F34EB9">
            <w:rPr>
              <w:rFonts w:eastAsia="Calibri"/>
              <w:szCs w:val="22"/>
              <w:lang w:eastAsia="en-US"/>
            </w:rPr>
            <w:t>–386</w:t>
          </w:r>
          <w:r w:rsidRPr="00371563">
            <w:rPr>
              <w:rFonts w:eastAsia="Calibri"/>
              <w:szCs w:val="22"/>
              <w:lang w:eastAsia="en-US"/>
            </w:rPr>
            <w:t xml:space="preserve"> megahertsiä ja </w:t>
          </w:r>
          <w:r w:rsidR="00F34EB9" w:rsidRPr="00371563">
            <w:rPr>
              <w:rFonts w:eastAsia="Calibri"/>
              <w:szCs w:val="22"/>
              <w:lang w:eastAsia="en-US"/>
            </w:rPr>
            <w:t>390</w:t>
          </w:r>
          <w:r w:rsidR="00F34EB9">
            <w:rPr>
              <w:rFonts w:eastAsia="Calibri"/>
              <w:szCs w:val="22"/>
              <w:lang w:eastAsia="en-US"/>
            </w:rPr>
            <w:t>–396</w:t>
          </w:r>
          <w:r w:rsidRPr="00371563">
            <w:rPr>
              <w:rFonts w:eastAsia="Calibri"/>
              <w:szCs w:val="22"/>
              <w:lang w:eastAsia="en-US"/>
            </w:rPr>
            <w:t xml:space="preserve"> megahertsiä sekä </w:t>
          </w:r>
          <w:r w:rsidR="00F34EB9" w:rsidRPr="00371563">
            <w:rPr>
              <w:rFonts w:eastAsia="Calibri"/>
              <w:szCs w:val="22"/>
              <w:lang w:eastAsia="en-US"/>
            </w:rPr>
            <w:t>698</w:t>
          </w:r>
          <w:r w:rsidR="00F34EB9">
            <w:rPr>
              <w:rFonts w:eastAsia="Calibri"/>
              <w:szCs w:val="22"/>
              <w:lang w:eastAsia="en-US"/>
            </w:rPr>
            <w:t>–703</w:t>
          </w:r>
          <w:r w:rsidRPr="00371563">
            <w:rPr>
              <w:rFonts w:eastAsia="Calibri"/>
              <w:szCs w:val="22"/>
              <w:lang w:eastAsia="en-US"/>
            </w:rPr>
            <w:t xml:space="preserve"> megahertsiä ja </w:t>
          </w:r>
          <w:r w:rsidR="00F34EB9" w:rsidRPr="00371563">
            <w:rPr>
              <w:rFonts w:eastAsia="Calibri"/>
              <w:szCs w:val="22"/>
              <w:lang w:eastAsia="en-US"/>
            </w:rPr>
            <w:t>753</w:t>
          </w:r>
          <w:r w:rsidR="00F34EB9">
            <w:rPr>
              <w:rFonts w:eastAsia="Calibri"/>
              <w:szCs w:val="22"/>
              <w:lang w:eastAsia="en-US"/>
            </w:rPr>
            <w:t>–758</w:t>
          </w:r>
          <w:r w:rsidRPr="00371563">
            <w:rPr>
              <w:rFonts w:eastAsia="Calibri"/>
              <w:szCs w:val="22"/>
              <w:lang w:eastAsia="en-US"/>
            </w:rPr>
            <w:t xml:space="preserve"> megahertsiä</w:t>
          </w:r>
          <w:r>
            <w:rPr>
              <w:rFonts w:eastAsia="Calibri"/>
              <w:szCs w:val="22"/>
              <w:lang w:eastAsia="en-US"/>
            </w:rPr>
            <w:t xml:space="preserve">. </w:t>
          </w:r>
        </w:p>
        <w:p w14:paraId="77059466" w14:textId="77777777" w:rsidR="001D5B51" w:rsidRPr="009167E1" w:rsidRDefault="001D5B51" w:rsidP="001D5B51">
          <w:pPr>
            <w:pStyle w:val="LLNormaali"/>
            <w:jc w:val="center"/>
          </w:pPr>
          <w:r>
            <w:t>———</w:t>
          </w:r>
        </w:p>
        <w:p w14:paraId="2C1B07B7" w14:textId="45F4B247" w:rsidR="001D5B51" w:rsidRDefault="001D5B51" w:rsidP="001D5B51">
          <w:pPr>
            <w:pStyle w:val="LLVoimaantulokappale"/>
          </w:pPr>
          <w:r w:rsidRPr="009167E1">
            <w:t xml:space="preserve">Tämä </w:t>
          </w:r>
          <w:r>
            <w:t>asetus</w:t>
          </w:r>
          <w:r w:rsidRPr="009167E1">
            <w:t xml:space="preserve"> tulee </w:t>
          </w:r>
          <w:r w:rsidRPr="00BA71BD">
            <w:t>voimaan</w:t>
          </w:r>
          <w:r w:rsidR="00371563">
            <w:t xml:space="preserve"> </w:t>
          </w:r>
          <w:r w:rsidR="00371563" w:rsidRPr="0001009E">
            <w:t>22</w:t>
          </w:r>
          <w:r w:rsidRPr="009167E1">
            <w:t xml:space="preserve"> </w:t>
          </w:r>
          <w:r>
            <w:t xml:space="preserve">päivänä </w:t>
          </w:r>
          <w:r w:rsidR="00371563">
            <w:t>joulu</w:t>
          </w:r>
          <w:r>
            <w:t>kuuta 20</w:t>
          </w:r>
          <w:r w:rsidR="00371563">
            <w:t>25</w:t>
          </w:r>
          <w:r>
            <w:t>.</w:t>
          </w:r>
        </w:p>
        <w:p w14:paraId="2403B84C" w14:textId="77777777" w:rsidR="001D5B51" w:rsidRDefault="00C4489C" w:rsidP="001D5B51">
          <w:pPr>
            <w:pStyle w:val="LLNormaali"/>
          </w:pPr>
        </w:p>
      </w:sdtContent>
    </w:sdt>
    <w:p w14:paraId="3DC1F3A8" w14:textId="77777777" w:rsidR="001D5B51" w:rsidRDefault="001D5B51" w:rsidP="004F334C"/>
    <w:p w14:paraId="54AD48C6" w14:textId="120F098C" w:rsidR="001D5B51" w:rsidRDefault="00C4489C" w:rsidP="001D5B51">
      <w:pPr>
        <w:pStyle w:val="LLPaivays"/>
        <w:rPr>
          <w:rFonts w:eastAsia="Calibri"/>
          <w:szCs w:val="22"/>
          <w:lang w:eastAsia="en-US"/>
        </w:rPr>
      </w:pPr>
      <w:sdt>
        <w:sdtPr>
          <w:alias w:val="Päiväys"/>
          <w:tag w:val="CCPaivays"/>
          <w:id w:val="1988824703"/>
          <w:placeholder>
            <w:docPart w:val="D1EBD1D003CD48E1856D6D83D15AA0D3"/>
          </w:placeholder>
          <w15:color w:val="33CCCC"/>
          <w:text/>
        </w:sdtPr>
        <w:sdtEndPr/>
        <w:sdtContent>
          <w:r w:rsidR="00234362" w:rsidRPr="00302A46">
            <w:t xml:space="preserve">Helsingissä </w:t>
          </w:r>
          <w:r w:rsidR="00234362">
            <w:t>xx</w:t>
          </w:r>
          <w:r w:rsidR="00234362" w:rsidRPr="00302A46">
            <w:t>.</w:t>
          </w:r>
          <w:r w:rsidR="00234362">
            <w:t>xx</w:t>
          </w:r>
          <w:r w:rsidR="00234362" w:rsidRPr="00302A46">
            <w:t>.20</w:t>
          </w:r>
          <w:r w:rsidR="00234362">
            <w:t>25</w:t>
          </w:r>
        </w:sdtContent>
      </w:sdt>
    </w:p>
    <w:p w14:paraId="16CDBE7B" w14:textId="77777777" w:rsidR="0081267C" w:rsidRDefault="0081267C">
      <w:pPr>
        <w:pStyle w:val="LLNormaali"/>
      </w:pPr>
    </w:p>
    <w:p w14:paraId="6E113365" w14:textId="77777777" w:rsidR="0081267C" w:rsidRDefault="0081267C">
      <w:pPr>
        <w:pStyle w:val="LLNormaali"/>
      </w:pPr>
    </w:p>
    <w:p w14:paraId="24EDAB2B" w14:textId="77777777" w:rsidR="0081267C" w:rsidRDefault="0081267C">
      <w:pPr>
        <w:pStyle w:val="LLNormaali"/>
      </w:pPr>
    </w:p>
    <w:p w14:paraId="4CCC65AA" w14:textId="77777777" w:rsidR="0081267C" w:rsidRDefault="0081267C">
      <w:pPr>
        <w:pStyle w:val="LLNormaali"/>
      </w:pPr>
    </w:p>
    <w:sdt>
      <w:sdtPr>
        <w:alias w:val="Allekirjoittajan asema"/>
        <w:tag w:val="CCAllekirjoitus"/>
        <w:id w:val="2141755932"/>
        <w:placeholder>
          <w:docPart w:val="40E3322BA5E74FE283C96B98D6830B23"/>
        </w:placeholder>
        <w15:color w:val="00FFFF"/>
      </w:sdtPr>
      <w:sdtEndPr/>
      <w:sdtContent>
        <w:p w14:paraId="58650AD1" w14:textId="79A858D5" w:rsidR="001D5B51" w:rsidRDefault="00DC6927" w:rsidP="001D5B51">
          <w:pPr>
            <w:pStyle w:val="LLAllekirjoitus"/>
            <w:rPr>
              <w:rFonts w:eastAsia="Calibri"/>
              <w:b w:val="0"/>
              <w:sz w:val="22"/>
              <w:szCs w:val="22"/>
              <w:lang w:eastAsia="en-US"/>
            </w:rPr>
          </w:pPr>
          <w:r>
            <w:rPr>
              <w:b w:val="0"/>
              <w:bCs/>
            </w:rPr>
            <w:t>Liikenne- ja viestintä</w:t>
          </w:r>
          <w:r w:rsidR="001D5B51">
            <w:rPr>
              <w:b w:val="0"/>
              <w:sz w:val="22"/>
            </w:rPr>
            <w:t xml:space="preserve">ministeri </w:t>
          </w:r>
          <w:r>
            <w:rPr>
              <w:b w:val="0"/>
              <w:sz w:val="22"/>
            </w:rPr>
            <w:t>Lulu Ranne</w:t>
          </w:r>
        </w:p>
      </w:sdtContent>
    </w:sdt>
    <w:p w14:paraId="375CC885" w14:textId="77777777" w:rsidR="001D5B51" w:rsidRPr="00385A06" w:rsidRDefault="001D5B51" w:rsidP="001D5B51">
      <w:pPr>
        <w:pStyle w:val="LLNormaali"/>
      </w:pPr>
    </w:p>
    <w:p w14:paraId="7D8572ED" w14:textId="77777777" w:rsidR="001D5B51" w:rsidRPr="00385A06" w:rsidRDefault="001D5B51" w:rsidP="001D5B51">
      <w:pPr>
        <w:pStyle w:val="LLNormaali"/>
      </w:pPr>
    </w:p>
    <w:p w14:paraId="0396DB6C" w14:textId="77777777" w:rsidR="001D5B51" w:rsidRPr="00385A06" w:rsidRDefault="001D5B51" w:rsidP="001D5B51">
      <w:pPr>
        <w:pStyle w:val="LLNormaali"/>
      </w:pPr>
    </w:p>
    <w:p w14:paraId="4D6C724F" w14:textId="77777777" w:rsidR="001D5B51" w:rsidRPr="00385A06" w:rsidRDefault="001D5B51" w:rsidP="001D5B51">
      <w:pPr>
        <w:pStyle w:val="LLNormaali"/>
      </w:pPr>
    </w:p>
    <w:p w14:paraId="1D770A83" w14:textId="51DFD7CF" w:rsidR="00357903" w:rsidRPr="00C4489C" w:rsidRDefault="00DC6927" w:rsidP="00C4489C">
      <w:pPr>
        <w:pStyle w:val="LLVarmennus"/>
      </w:pPr>
      <w:r>
        <w:t>Ylitarkastaja</w:t>
      </w:r>
      <w:r w:rsidR="001D5B51">
        <w:t xml:space="preserve"> </w:t>
      </w:r>
      <w:r>
        <w:t>Jaakko</w:t>
      </w:r>
      <w:r w:rsidR="001D5B51">
        <w:t xml:space="preserve"> </w:t>
      </w:r>
      <w:r>
        <w:t>Laamanen</w:t>
      </w:r>
    </w:p>
    <w:sdt>
      <w:sdtPr>
        <w:rPr>
          <w:rFonts w:eastAsia="Calibri"/>
          <w:i w:val="0"/>
          <w:szCs w:val="22"/>
          <w:lang w:eastAsia="en-US"/>
        </w:rPr>
        <w:alias w:val="Liite"/>
        <w:tag w:val="CCLiite"/>
        <w:id w:val="-649130885"/>
        <w:placeholder>
          <w:docPart w:val="B502D6BAE6064DDA8F722FEE63A601F6"/>
        </w:placeholder>
        <w15:color w:val="33CCCC"/>
      </w:sdtPr>
      <w:sdtEndPr/>
      <w:sdtContent>
        <w:p w14:paraId="7ADAF57D" w14:textId="77777777" w:rsidR="00357903" w:rsidRPr="002B788A" w:rsidRDefault="00357903" w:rsidP="002B788A">
          <w:pPr>
            <w:pStyle w:val="LLLiite"/>
          </w:pPr>
          <w:r>
            <w:t>Liite</w:t>
          </w:r>
        </w:p>
        <w:p w14:paraId="643BB09F" w14:textId="77777777" w:rsidR="00357903" w:rsidRDefault="00357903" w:rsidP="00357903">
          <w:pPr>
            <w:pStyle w:val="LLNormaali"/>
            <w:jc w:val="both"/>
          </w:pPr>
        </w:p>
        <w:p w14:paraId="60AD1C21" w14:textId="003DF70F" w:rsidR="00357903" w:rsidRDefault="00357903" w:rsidP="00357903">
          <w:pPr>
            <w:pStyle w:val="LLNormaali"/>
            <w:jc w:val="both"/>
          </w:pPr>
          <w:r>
            <w:t>Toimiluvanvaraiseen teletoimintaan varattujen taajuusalueiden käyttörajoitukset</w:t>
          </w:r>
        </w:p>
        <w:p w14:paraId="6C1D0A55" w14:textId="77777777" w:rsidR="00357903" w:rsidRDefault="00357903" w:rsidP="00357903">
          <w:pPr>
            <w:pStyle w:val="LLNormaali"/>
            <w:jc w:val="both"/>
          </w:pPr>
        </w:p>
        <w:p w14:paraId="312251BF" w14:textId="77777777" w:rsidR="00357903" w:rsidRDefault="00357903" w:rsidP="00357903">
          <w:pPr>
            <w:pStyle w:val="LLNormaali"/>
            <w:numPr>
              <w:ilvl w:val="0"/>
              <w:numId w:val="26"/>
            </w:numPr>
            <w:jc w:val="both"/>
          </w:pPr>
          <w:r>
            <w:t>Maantieteelliset käyttörajoitealueet</w:t>
          </w:r>
        </w:p>
        <w:p w14:paraId="0CA6D166" w14:textId="77777777" w:rsidR="00357903" w:rsidRDefault="00357903" w:rsidP="00357903">
          <w:pPr>
            <w:pStyle w:val="LLNormaali"/>
            <w:jc w:val="both"/>
          </w:pPr>
        </w:p>
        <w:p w14:paraId="76BBF4B1" w14:textId="77777777" w:rsidR="00357903" w:rsidRDefault="00357903" w:rsidP="00357903">
          <w:pPr>
            <w:pStyle w:val="LLNormaali"/>
            <w:jc w:val="both"/>
          </w:pPr>
          <w:r>
            <w:t>Seuraavilla maantieteellisillä alueilla A–D on rajoituksia matkaviestinverkkojen taajuuksien käytössä, jollei sähköisen viestinnän palveluista annetun lain (917/2014) 42 §:ssä tarkoitetuissa radioluvan ehdoissa toisin määrätä:</w:t>
          </w:r>
        </w:p>
        <w:p w14:paraId="23A724D0" w14:textId="77777777" w:rsidR="00357903" w:rsidRDefault="00357903" w:rsidP="00357903">
          <w:pPr>
            <w:pStyle w:val="LLNormaali"/>
            <w:jc w:val="both"/>
          </w:pPr>
        </w:p>
        <w:p w14:paraId="5E3BF270" w14:textId="77777777" w:rsidR="00357903" w:rsidRDefault="00357903" w:rsidP="00357903">
          <w:pPr>
            <w:pStyle w:val="LLNormaali"/>
            <w:jc w:val="both"/>
          </w:pPr>
          <w:r w:rsidRPr="008D4A46">
            <w:rPr>
              <w:b/>
              <w:bCs/>
            </w:rPr>
            <w:t>Alue A</w:t>
          </w:r>
          <w:r>
            <w:t>: Suorakulmio, jonka kulmapisteet ovat 382302, 6680593; 380519, 6671420; 374746, 6671420; 369892, 6680593 ETRS-TM35FIN (</w:t>
          </w:r>
          <w:proofErr w:type="spellStart"/>
          <w:proofErr w:type="gramStart"/>
          <w:r>
            <w:t>x,y</w:t>
          </w:r>
          <w:proofErr w:type="spellEnd"/>
          <w:proofErr w:type="gramEnd"/>
          <w:r>
            <w:t>). Rajoitukset koskevat seuraavia kuntia tai niiden osia: Espoo, Kauniainen, Helsinki ja Vantaa.</w:t>
          </w:r>
        </w:p>
        <w:p w14:paraId="3CD09957" w14:textId="77777777" w:rsidR="00357903" w:rsidRDefault="00357903" w:rsidP="00357903">
          <w:pPr>
            <w:pStyle w:val="LLNormaali"/>
            <w:jc w:val="both"/>
          </w:pPr>
        </w:p>
        <w:p w14:paraId="2997729A" w14:textId="77777777" w:rsidR="00357903" w:rsidRDefault="00357903" w:rsidP="00357903">
          <w:pPr>
            <w:pStyle w:val="LLNormaali"/>
            <w:jc w:val="both"/>
          </w:pPr>
          <w:r w:rsidRPr="008D4A46">
            <w:rPr>
              <w:b/>
              <w:bCs/>
            </w:rPr>
            <w:t>Alue A1</w:t>
          </w:r>
          <w:r>
            <w:t>: Suorakulmio, jonka kulmapisteet ovat 377031,6679229; 377031, 6677150; 374593, 6677150; 374593, 6679229 ETRS-TM35FIN (</w:t>
          </w:r>
          <w:proofErr w:type="spellStart"/>
          <w:proofErr w:type="gramStart"/>
          <w:r>
            <w:t>x,y</w:t>
          </w:r>
          <w:proofErr w:type="spellEnd"/>
          <w:proofErr w:type="gramEnd"/>
          <w:r>
            <w:t>). Rajoitukset koskevat seuraavia kuntia tai niiden osia: Espoo ja Kauniainen.</w:t>
          </w:r>
        </w:p>
        <w:p w14:paraId="3214492D" w14:textId="77777777" w:rsidR="00357903" w:rsidRDefault="00357903" w:rsidP="00357903">
          <w:pPr>
            <w:pStyle w:val="LLNormaali"/>
            <w:jc w:val="both"/>
          </w:pPr>
        </w:p>
        <w:p w14:paraId="4F4804E9" w14:textId="77777777" w:rsidR="00357903" w:rsidRDefault="00357903" w:rsidP="00357903">
          <w:pPr>
            <w:pStyle w:val="LLNormaali"/>
            <w:jc w:val="both"/>
          </w:pPr>
          <w:r w:rsidRPr="008D4A46">
            <w:rPr>
              <w:b/>
              <w:bCs/>
            </w:rPr>
            <w:t>Alue B</w:t>
          </w:r>
          <w:r>
            <w:t>: Ympyrä, jonka keskipiste on 333180, 6816930 ETRS-TM35FIN (</w:t>
          </w:r>
          <w:proofErr w:type="spellStart"/>
          <w:proofErr w:type="gramStart"/>
          <w:r>
            <w:t>x,y</w:t>
          </w:r>
          <w:proofErr w:type="spellEnd"/>
          <w:proofErr w:type="gramEnd"/>
          <w:r>
            <w:t>) ja säde 2150 metriä. Rajoitukset koskevat seuraavia kuntia tai niiden osia: Kangasala ja Tampere.</w:t>
          </w:r>
        </w:p>
        <w:p w14:paraId="18F13603" w14:textId="77777777" w:rsidR="00357903" w:rsidRDefault="00357903" w:rsidP="00357903">
          <w:pPr>
            <w:pStyle w:val="LLNormaali"/>
            <w:jc w:val="both"/>
          </w:pPr>
        </w:p>
        <w:p w14:paraId="78B1E2FC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C</w:t>
          </w:r>
          <w:r>
            <w:t>: Ympyrä, jonka keskipiste on 328181, 6821525 ETRS-TM35FIN (</w:t>
          </w:r>
          <w:proofErr w:type="spellStart"/>
          <w:proofErr w:type="gramStart"/>
          <w:r>
            <w:t>x,y</w:t>
          </w:r>
          <w:proofErr w:type="spellEnd"/>
          <w:proofErr w:type="gramEnd"/>
          <w:r>
            <w:t>) ja säde 500 metriä. Rajoitukset koskevat Tamperetta ja osin Tampereen seutua.</w:t>
          </w:r>
        </w:p>
        <w:p w14:paraId="5B5DCBD7" w14:textId="77777777" w:rsidR="00357903" w:rsidRDefault="00357903" w:rsidP="00357903">
          <w:pPr>
            <w:pStyle w:val="LLNormaali"/>
            <w:jc w:val="both"/>
          </w:pPr>
        </w:p>
        <w:p w14:paraId="3861DF55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D</w:t>
          </w:r>
          <w:r>
            <w:t>: Suorakulmio, jonka kulmapisteet ovat 438042, 7217956; 433883, 7210832; 426667, 7214039; 425803,7218954 ETRS-TM35FIN (</w:t>
          </w:r>
          <w:proofErr w:type="spellStart"/>
          <w:proofErr w:type="gramStart"/>
          <w:r>
            <w:t>x,y</w:t>
          </w:r>
          <w:proofErr w:type="spellEnd"/>
          <w:proofErr w:type="gramEnd"/>
          <w:r>
            <w:t>). Rajoitukset koskevat Oulua ja osin Oulun aluetta.</w:t>
          </w:r>
        </w:p>
        <w:p w14:paraId="1DC18CC2" w14:textId="77777777" w:rsidR="00357903" w:rsidRDefault="00357903" w:rsidP="00357903">
          <w:pPr>
            <w:pStyle w:val="LLNormaali"/>
            <w:jc w:val="both"/>
          </w:pPr>
        </w:p>
        <w:p w14:paraId="2541AFE4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D1</w:t>
          </w:r>
          <w:r>
            <w:t>: Suorakulmio, jonka kulmapisteet ovat 433189, 7217484; 435608, 7215259; 431830, 7212170; 429527, 7215829 ETRS-TM35FIN (</w:t>
          </w:r>
          <w:proofErr w:type="spellStart"/>
          <w:proofErr w:type="gramStart"/>
          <w:r>
            <w:t>x,y</w:t>
          </w:r>
          <w:proofErr w:type="spellEnd"/>
          <w:proofErr w:type="gramEnd"/>
          <w:r>
            <w:t>). Rajoitukset koskevat Oulua ja osin Oulun aluetta.</w:t>
          </w:r>
        </w:p>
        <w:p w14:paraId="64058742" w14:textId="77777777" w:rsidR="00357903" w:rsidRDefault="00357903" w:rsidP="00357903">
          <w:pPr>
            <w:pStyle w:val="LLNormaali"/>
            <w:jc w:val="both"/>
          </w:pPr>
        </w:p>
        <w:p w14:paraId="4322C91E" w14:textId="77777777" w:rsidR="00357903" w:rsidRDefault="00357903" w:rsidP="00357903">
          <w:pPr>
            <w:pStyle w:val="LLNormaali"/>
            <w:numPr>
              <w:ilvl w:val="0"/>
              <w:numId w:val="26"/>
            </w:numPr>
            <w:jc w:val="both"/>
          </w:pPr>
          <w:r>
            <w:t>Digitaalisen 450 matkaviestinverkon käyttörajoitukset</w:t>
          </w:r>
        </w:p>
        <w:p w14:paraId="288A4B15" w14:textId="77777777" w:rsidR="00357903" w:rsidRDefault="00357903" w:rsidP="00357903">
          <w:pPr>
            <w:pStyle w:val="LLNormaali"/>
            <w:jc w:val="both"/>
          </w:pPr>
        </w:p>
        <w:p w14:paraId="5C6F2D88" w14:textId="7AE5C39A" w:rsidR="00357903" w:rsidRDefault="00357903" w:rsidP="00357903">
          <w:pPr>
            <w:pStyle w:val="LLNormaali"/>
            <w:jc w:val="both"/>
          </w:pPr>
          <w:r>
            <w:t xml:space="preserve">Taajuuksia 452,425–453,700 MHz ja 462,425–463,700 MHz ei pääsääntöisesti saa käyttää 450 matkaviestinverkolle alle 150 kilometrin etäisyydellä Helsingistä (24E57 ja 60N10). Liikenne- ja viestintävirasto voi kuitenkin 130–150 kilometrin etäisyydellä Helsingistä tehdä tapauskohtaisia ratkaisuja 450 matkaviestinverkon käytön sallimisesta. </w:t>
          </w:r>
        </w:p>
        <w:p w14:paraId="3032B07F" w14:textId="77777777" w:rsidR="00357903" w:rsidRDefault="00357903" w:rsidP="00357903">
          <w:pPr>
            <w:pStyle w:val="LLNormaali"/>
            <w:jc w:val="both"/>
          </w:pPr>
        </w:p>
        <w:p w14:paraId="23A9B5CE" w14:textId="77777777" w:rsidR="00357903" w:rsidRDefault="00357903" w:rsidP="00357903">
          <w:pPr>
            <w:pStyle w:val="LLNormaali"/>
            <w:jc w:val="both"/>
          </w:pPr>
          <w:r>
            <w:t>Lisäksi Oy Yleisradio Ab:n yksityisessä radioverkossa on käytössä taajuus 452, 450 MHz, jonka käyttöoikeusalue on koko Suomi. Liikenne- ja viestintävirasto voi sähköisen viestinnän palveluista annetun lain mukaan myöntää Oy Yleisradio Ab:lle tämän taajuuden käyttöoikeuden, joka ei kuitenkaan rajoita 450 matkaviestinverkon käyttöä.</w:t>
          </w:r>
        </w:p>
        <w:p w14:paraId="40B0661E" w14:textId="77777777" w:rsidR="00357903" w:rsidRDefault="00357903" w:rsidP="00357903">
          <w:pPr>
            <w:pStyle w:val="LLNormaali"/>
            <w:ind w:firstLine="1304"/>
            <w:jc w:val="both"/>
          </w:pPr>
        </w:p>
        <w:p w14:paraId="4A4A7546" w14:textId="77777777" w:rsidR="00357903" w:rsidRDefault="00357903" w:rsidP="00357903">
          <w:pPr>
            <w:pStyle w:val="LLNormaali"/>
            <w:numPr>
              <w:ilvl w:val="0"/>
              <w:numId w:val="26"/>
            </w:numPr>
            <w:jc w:val="both"/>
          </w:pPr>
          <w:r>
            <w:t>Tuotekehitys-, testaus- ja opetuskäyttö sähköisten viestintäpalvelujen tarjontaan soveltuvien maanpäällisten järjestelmien käytössä olevilla taajuusalueilla</w:t>
          </w:r>
        </w:p>
        <w:p w14:paraId="2581D93F" w14:textId="77777777" w:rsidR="00357903" w:rsidRDefault="00357903" w:rsidP="00357903">
          <w:pPr>
            <w:pStyle w:val="LLNormaali"/>
            <w:jc w:val="both"/>
          </w:pPr>
        </w:p>
        <w:p w14:paraId="0177FF10" w14:textId="77777777" w:rsidR="00357903" w:rsidRDefault="00357903" w:rsidP="00357903">
          <w:pPr>
            <w:pStyle w:val="LLNormaali"/>
            <w:jc w:val="both"/>
          </w:pPr>
          <w:r>
            <w:t>Rajoitukset koskevat seuraavia 1800 megahertsin taajuuksia, jotka on osoitettu tuotekehitys-, testaus- ja opetuskäyttöön 1 kohdassa määritellyillä maantieteellisillä alueilla:</w:t>
          </w:r>
        </w:p>
        <w:p w14:paraId="7380ACA0" w14:textId="77777777" w:rsidR="00357903" w:rsidRDefault="00357903" w:rsidP="00357903">
          <w:pPr>
            <w:pStyle w:val="LLNormaali"/>
            <w:jc w:val="both"/>
          </w:pPr>
        </w:p>
        <w:p w14:paraId="2A6B6F96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A, B, ja C</w:t>
          </w:r>
          <w:r>
            <w:t>: taajuudet 1732,5–1737,5 MHz / 1827,5–1832,5 MHz sekä taajuudet 1782,3–1784,9 MHz / 1877,3–1879,9 MHz.</w:t>
          </w:r>
        </w:p>
        <w:p w14:paraId="76A49D70" w14:textId="77777777" w:rsidR="00357903" w:rsidRDefault="00357903" w:rsidP="00357903">
          <w:pPr>
            <w:pStyle w:val="LLNormaali"/>
            <w:jc w:val="both"/>
          </w:pPr>
        </w:p>
        <w:p w14:paraId="2438CAA0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D</w:t>
          </w:r>
          <w:r>
            <w:t>: taajuudet 1731,7–1738,3 MHz / 1826,7–1833,3 MHz sekä taajuudet 1781,7–1784,9 MHz / 1876,7–1879,9 MHz.</w:t>
          </w:r>
        </w:p>
        <w:p w14:paraId="31C21632" w14:textId="77777777" w:rsidR="00357903" w:rsidRDefault="00357903" w:rsidP="00357903">
          <w:pPr>
            <w:pStyle w:val="LLNormaali"/>
            <w:jc w:val="both"/>
          </w:pPr>
        </w:p>
        <w:p w14:paraId="7DDA4D3C" w14:textId="77777777" w:rsidR="00357903" w:rsidRDefault="00357903" w:rsidP="00357903">
          <w:pPr>
            <w:pStyle w:val="LLNormaali"/>
            <w:jc w:val="both"/>
          </w:pPr>
          <w:r>
            <w:t>Rajoitukset koskevat seuraavia 2100 megahertsin taajuuksia, jotka on osoitettu tuotekehitys-, testaus- ja opetuskäyttöön kohdassa 1 määritellyillä alueilla:</w:t>
          </w:r>
        </w:p>
        <w:p w14:paraId="3AD1E52B" w14:textId="77777777" w:rsidR="00357903" w:rsidRDefault="00357903" w:rsidP="00357903">
          <w:pPr>
            <w:pStyle w:val="LLNormaali"/>
            <w:jc w:val="both"/>
          </w:pPr>
        </w:p>
        <w:p w14:paraId="21516B87" w14:textId="183F0791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A</w:t>
          </w:r>
          <w:r>
            <w:t xml:space="preserve">: taajuudet </w:t>
          </w:r>
          <w:r w:rsidR="00F34EB9">
            <w:t>1935,1–1940,1</w:t>
          </w:r>
          <w:r>
            <w:t xml:space="preserve"> / </w:t>
          </w:r>
          <w:r w:rsidR="00F34EB9">
            <w:t>2125,1–2130,1</w:t>
          </w:r>
          <w:r>
            <w:t xml:space="preserve"> MHz, </w:t>
          </w:r>
          <w:r w:rsidR="00F34EB9">
            <w:t>1939,9–1944,9</w:t>
          </w:r>
          <w:r>
            <w:t xml:space="preserve"> /</w:t>
          </w:r>
          <w:r w:rsidR="00F34EB9">
            <w:t>2129,9–2134,9</w:t>
          </w:r>
          <w:r>
            <w:t xml:space="preserve"> MHz ja </w:t>
          </w:r>
          <w:r w:rsidR="00F34EB9">
            <w:t>1959,9–1964,9</w:t>
          </w:r>
          <w:r>
            <w:t xml:space="preserve"> / </w:t>
          </w:r>
          <w:r w:rsidR="00F34EB9">
            <w:t>2149,9–2154,9</w:t>
          </w:r>
          <w:r>
            <w:t xml:space="preserve"> MHz.</w:t>
          </w:r>
        </w:p>
        <w:p w14:paraId="4B96E9C4" w14:textId="77777777" w:rsidR="00357903" w:rsidRDefault="00357903" w:rsidP="00357903">
          <w:pPr>
            <w:pStyle w:val="LLNormaali"/>
            <w:jc w:val="both"/>
          </w:pPr>
        </w:p>
        <w:p w14:paraId="7792E83B" w14:textId="4C6D0C40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B</w:t>
          </w:r>
          <w:r>
            <w:t xml:space="preserve">: taajuudet </w:t>
          </w:r>
          <w:r w:rsidR="00F34EB9">
            <w:t>1935,1–1940,1</w:t>
          </w:r>
          <w:r>
            <w:t xml:space="preserve"> / </w:t>
          </w:r>
          <w:r w:rsidR="00F34EB9">
            <w:t>2125,1–2130,1</w:t>
          </w:r>
          <w:r>
            <w:t xml:space="preserve"> MHz ja </w:t>
          </w:r>
          <w:r w:rsidR="00F34EB9">
            <w:t>1939,9–1944,9</w:t>
          </w:r>
          <w:r>
            <w:t xml:space="preserve"> /</w:t>
          </w:r>
          <w:r w:rsidR="00F34EB9">
            <w:t>2129,9–2134,9</w:t>
          </w:r>
          <w:r>
            <w:t xml:space="preserve"> MHz.</w:t>
          </w:r>
        </w:p>
        <w:p w14:paraId="59E40C14" w14:textId="77777777" w:rsidR="00357903" w:rsidRDefault="00357903" w:rsidP="00357903">
          <w:pPr>
            <w:pStyle w:val="LLNormaali"/>
            <w:jc w:val="both"/>
          </w:pPr>
        </w:p>
        <w:p w14:paraId="1CB043CB" w14:textId="5C36C089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C</w:t>
          </w:r>
          <w:r>
            <w:t xml:space="preserve">: taajuudet </w:t>
          </w:r>
          <w:r w:rsidR="00F34EB9">
            <w:t>1935,1–1940,1</w:t>
          </w:r>
          <w:r>
            <w:t xml:space="preserve"> / </w:t>
          </w:r>
          <w:r w:rsidR="00F34EB9">
            <w:t>2125,1–2130,1</w:t>
          </w:r>
          <w:r>
            <w:t xml:space="preserve"> MHz ja </w:t>
          </w:r>
          <w:r w:rsidR="00F34EB9">
            <w:t>1939,9–1944,9</w:t>
          </w:r>
          <w:r>
            <w:t xml:space="preserve"> /</w:t>
          </w:r>
          <w:r w:rsidR="00F34EB9">
            <w:t>2129,9–2134,9</w:t>
          </w:r>
          <w:r>
            <w:t xml:space="preserve"> MHz.</w:t>
          </w:r>
        </w:p>
        <w:p w14:paraId="31258522" w14:textId="77777777" w:rsidR="00357903" w:rsidRDefault="00357903" w:rsidP="00357903">
          <w:pPr>
            <w:pStyle w:val="LLNormaali"/>
            <w:jc w:val="both"/>
          </w:pPr>
        </w:p>
        <w:p w14:paraId="077140A6" w14:textId="5BBB0B81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D</w:t>
          </w:r>
          <w:r>
            <w:t xml:space="preserve">: taajuudet </w:t>
          </w:r>
          <w:r w:rsidR="00F34EB9">
            <w:t>1935,1–1940,1</w:t>
          </w:r>
          <w:r>
            <w:t xml:space="preserve"> / </w:t>
          </w:r>
          <w:r w:rsidR="00F34EB9">
            <w:t>2125,1–2130,1</w:t>
          </w:r>
          <w:r>
            <w:t xml:space="preserve"> MHz </w:t>
          </w:r>
          <w:r w:rsidR="00F34EB9">
            <w:t>1939,9–1944,9</w:t>
          </w:r>
          <w:r>
            <w:t xml:space="preserve"> /</w:t>
          </w:r>
          <w:r w:rsidR="00F34EB9">
            <w:t>2129,9–2134,9</w:t>
          </w:r>
          <w:r>
            <w:t xml:space="preserve"> MHz ja </w:t>
          </w:r>
          <w:r w:rsidR="00F34EB9">
            <w:t>1959,9–1964,9</w:t>
          </w:r>
          <w:r>
            <w:t xml:space="preserve"> / </w:t>
          </w:r>
          <w:r w:rsidR="00F34EB9">
            <w:t>2149,9–2154,9</w:t>
          </w:r>
          <w:r>
            <w:t xml:space="preserve"> MHz. </w:t>
          </w:r>
        </w:p>
        <w:p w14:paraId="1EC9C4DF" w14:textId="77777777" w:rsidR="00357903" w:rsidRDefault="00357903" w:rsidP="00357903">
          <w:pPr>
            <w:pStyle w:val="LLNormaali"/>
            <w:jc w:val="both"/>
          </w:pPr>
        </w:p>
        <w:p w14:paraId="3D926B10" w14:textId="77777777" w:rsidR="00357903" w:rsidRDefault="00357903" w:rsidP="00357903">
          <w:pPr>
            <w:pStyle w:val="LLNormaali"/>
            <w:jc w:val="both"/>
          </w:pPr>
          <w:r>
            <w:t>Rajoitukset koskevat seuraavia taajuusalueen 2500–2690 megahertsiä taajuuksia, jotka on osoitettu tuotekehitys-, testaus- ja opetuskäyttöön tämän liitteen kohdassa 1 määritellyillä alueilla:</w:t>
          </w:r>
        </w:p>
        <w:p w14:paraId="35222CAA" w14:textId="77777777" w:rsidR="00357903" w:rsidRDefault="00357903" w:rsidP="00357903">
          <w:pPr>
            <w:pStyle w:val="LLNormaali"/>
            <w:jc w:val="both"/>
          </w:pPr>
        </w:p>
        <w:p w14:paraId="7B184627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A</w:t>
          </w:r>
          <w:r>
            <w:t xml:space="preserve">: taajuudet 2560–2570 MHz / 2680–2690 MHz ja 2570–2585 MHz </w:t>
          </w:r>
        </w:p>
        <w:p w14:paraId="6D48428C" w14:textId="77777777" w:rsidR="00357903" w:rsidRDefault="00357903" w:rsidP="00357903">
          <w:pPr>
            <w:pStyle w:val="LLNormaali"/>
            <w:jc w:val="both"/>
          </w:pPr>
          <w:r w:rsidRPr="006329EC">
            <w:rPr>
              <w:b/>
              <w:bCs/>
            </w:rPr>
            <w:t>Alue B</w:t>
          </w:r>
          <w:r>
            <w:t xml:space="preserve">: taajuudet 2540–2550 MHz / 2660–2670 MHz ja 2570–2585 MHz </w:t>
          </w:r>
        </w:p>
        <w:p w14:paraId="082DE2C8" w14:textId="77777777" w:rsidR="00357903" w:rsidRDefault="00357903" w:rsidP="00357903">
          <w:pPr>
            <w:pStyle w:val="LLNormaali"/>
            <w:jc w:val="both"/>
          </w:pPr>
          <w:r w:rsidRPr="006329EC">
            <w:rPr>
              <w:b/>
              <w:bCs/>
            </w:rPr>
            <w:t>Alue D</w:t>
          </w:r>
          <w:r>
            <w:t>: taajuudet 2520–2530 MHz / 2640–2650 MHz ja 2570–2585 MHz</w:t>
          </w:r>
        </w:p>
        <w:p w14:paraId="6361D81D" w14:textId="77777777" w:rsidR="00357903" w:rsidRDefault="00357903" w:rsidP="00357903">
          <w:pPr>
            <w:pStyle w:val="LLNormaali"/>
            <w:jc w:val="both"/>
          </w:pPr>
        </w:p>
        <w:p w14:paraId="3BACB8FC" w14:textId="77777777" w:rsidR="00357903" w:rsidRDefault="00357903" w:rsidP="00357903">
          <w:pPr>
            <w:pStyle w:val="LLNormaali"/>
            <w:jc w:val="both"/>
          </w:pPr>
          <w:r>
            <w:t>Rajoitukset koskevat seuraavia taajuusalueen 3410–3800 megahertsiä taajuuksia, jotka on osoitettu tuotekehitys-, testaus- ja opetuskäyttöön tämän liitteen kohdassa 1 määritellyillä alueilla, jos järjestelmissä on oikeus käyttää radiotaajuuksien huutokaupasta taajuusalueella 3410–3800 megahertsiä annetun valtioneuvoston asetuksen (532/2018) 2 §:n 3 momentin mukaisia taajuuskaistoja:</w:t>
          </w:r>
        </w:p>
        <w:p w14:paraId="6C417D53" w14:textId="77777777" w:rsidR="00357903" w:rsidRDefault="00357903" w:rsidP="00357903">
          <w:pPr>
            <w:pStyle w:val="LLNormaali"/>
            <w:jc w:val="both"/>
          </w:pPr>
        </w:p>
        <w:p w14:paraId="2771DAEE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A</w:t>
          </w:r>
          <w:r>
            <w:t>: taajuudet 3630–3690 MHz</w:t>
          </w:r>
        </w:p>
        <w:p w14:paraId="55E8A703" w14:textId="77777777" w:rsidR="00357903" w:rsidRDefault="00357903" w:rsidP="00357903">
          <w:pPr>
            <w:pStyle w:val="LLNormaali"/>
            <w:jc w:val="both"/>
          </w:pPr>
        </w:p>
        <w:p w14:paraId="595C1407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A1</w:t>
          </w:r>
          <w:r>
            <w:t>: taajuudet 3610–3710 MHz</w:t>
          </w:r>
        </w:p>
        <w:p w14:paraId="3C7926A3" w14:textId="77777777" w:rsidR="00357903" w:rsidRDefault="00357903" w:rsidP="00357903">
          <w:pPr>
            <w:pStyle w:val="LLNormaali"/>
            <w:jc w:val="both"/>
          </w:pPr>
        </w:p>
        <w:p w14:paraId="0ECC09BE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Alueet B ja C</w:t>
          </w:r>
          <w:r>
            <w:t>: taajuudet 3700–3760 MHz. Taajuuskaistan käyttö alueella C on sallittu vain sisätiloissa.</w:t>
          </w:r>
        </w:p>
        <w:p w14:paraId="449E7F49" w14:textId="77777777" w:rsidR="00357903" w:rsidRDefault="00357903" w:rsidP="00357903">
          <w:pPr>
            <w:pStyle w:val="LLNormaali"/>
            <w:jc w:val="both"/>
          </w:pPr>
        </w:p>
        <w:p w14:paraId="0F85F561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D</w:t>
          </w:r>
          <w:r>
            <w:t>: taajuudet 3700–3760 MHz</w:t>
          </w:r>
        </w:p>
        <w:p w14:paraId="21234642" w14:textId="77777777" w:rsidR="00357903" w:rsidRDefault="00357903" w:rsidP="00357903">
          <w:pPr>
            <w:pStyle w:val="LLNormaali"/>
            <w:jc w:val="both"/>
          </w:pPr>
        </w:p>
        <w:p w14:paraId="614B1868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D1</w:t>
          </w:r>
          <w:r>
            <w:t>: 3680–3780 MHz</w:t>
          </w:r>
        </w:p>
        <w:p w14:paraId="18F44419" w14:textId="77777777" w:rsidR="00357903" w:rsidRDefault="00357903" w:rsidP="00357903">
          <w:pPr>
            <w:pStyle w:val="LLNormaali"/>
            <w:jc w:val="both"/>
          </w:pPr>
        </w:p>
        <w:p w14:paraId="6DE51F4A" w14:textId="77777777" w:rsidR="00357903" w:rsidRDefault="00357903" w:rsidP="00357903">
          <w:pPr>
            <w:pStyle w:val="LLNormaali"/>
            <w:jc w:val="both"/>
          </w:pPr>
          <w:r>
            <w:t>Rajoitukset koskevat seuraavia taajuusalueen 3410–3800 megahertsiä taajuuksia, jotka on osoitettu tuotekehitys-, testaus- ja opetuskäyttöön tämän liitteen kohdassa 1 määritellyillä alueilla, jos järjestelmissä on oikeus käyttää radiotaajuuksien huutokaupoista taajuusalueella 3410–3800 megahertsiä annetun valtioneuvoston asetuksen 2 §:n 1 momentin mukaisia taajuuskaistoja.</w:t>
          </w:r>
        </w:p>
        <w:p w14:paraId="09EE3A2B" w14:textId="77777777" w:rsidR="00357903" w:rsidRDefault="00357903" w:rsidP="00357903">
          <w:pPr>
            <w:pStyle w:val="LLNormaali"/>
            <w:jc w:val="both"/>
          </w:pPr>
        </w:p>
        <w:p w14:paraId="133A46D6" w14:textId="77777777" w:rsidR="00357903" w:rsidRDefault="00357903" w:rsidP="00357903">
          <w:pPr>
            <w:pStyle w:val="LLNormaali"/>
            <w:jc w:val="both"/>
            <w:rPr>
              <w:lang w:val="en-US"/>
            </w:rPr>
          </w:pPr>
          <w:r w:rsidRPr="00AC535C">
            <w:rPr>
              <w:b/>
              <w:bCs/>
              <w:lang w:val="en-US"/>
            </w:rPr>
            <w:t>Alue A</w:t>
          </w:r>
          <w:r w:rsidRPr="008D4A46">
            <w:rPr>
              <w:lang w:val="en-US"/>
            </w:rPr>
            <w:t>: 3640–3700 MHz</w:t>
          </w:r>
        </w:p>
        <w:p w14:paraId="3DBC3099" w14:textId="77777777" w:rsidR="00357903" w:rsidRPr="008D4A46" w:rsidRDefault="00357903" w:rsidP="00357903">
          <w:pPr>
            <w:pStyle w:val="LLNormaali"/>
            <w:jc w:val="both"/>
            <w:rPr>
              <w:lang w:val="en-US"/>
            </w:rPr>
          </w:pPr>
        </w:p>
        <w:p w14:paraId="77A1218A" w14:textId="77777777" w:rsidR="00357903" w:rsidRDefault="00357903" w:rsidP="00357903">
          <w:pPr>
            <w:pStyle w:val="LLNormaali"/>
            <w:jc w:val="both"/>
            <w:rPr>
              <w:lang w:val="en-US"/>
            </w:rPr>
          </w:pPr>
          <w:r w:rsidRPr="00AC535C">
            <w:rPr>
              <w:b/>
              <w:bCs/>
              <w:lang w:val="en-US"/>
            </w:rPr>
            <w:t>Alue A1</w:t>
          </w:r>
          <w:r w:rsidRPr="008D4A46">
            <w:rPr>
              <w:lang w:val="en-US"/>
            </w:rPr>
            <w:t>: 3620–3720 MHz</w:t>
          </w:r>
        </w:p>
        <w:p w14:paraId="7B90A1AB" w14:textId="77777777" w:rsidR="00357903" w:rsidRPr="008D4A46" w:rsidRDefault="00357903" w:rsidP="00357903">
          <w:pPr>
            <w:pStyle w:val="LLNormaali"/>
            <w:jc w:val="both"/>
            <w:rPr>
              <w:lang w:val="en-US"/>
            </w:rPr>
          </w:pPr>
        </w:p>
        <w:p w14:paraId="769704BE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lastRenderedPageBreak/>
            <w:t>Alueet B ja C</w:t>
          </w:r>
          <w:r>
            <w:t>: 3510–3570 MHz. Taajuuskaistan käyttö alueella C on sallittu vain sisätiloissa.</w:t>
          </w:r>
        </w:p>
        <w:p w14:paraId="1A9DF552" w14:textId="77777777" w:rsidR="00357903" w:rsidRDefault="00357903" w:rsidP="00357903">
          <w:pPr>
            <w:pStyle w:val="LLNormaali"/>
            <w:jc w:val="both"/>
          </w:pPr>
        </w:p>
        <w:p w14:paraId="38D90DDA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D</w:t>
          </w:r>
          <w:r>
            <w:t>: 3510–3570 MHz</w:t>
          </w:r>
        </w:p>
        <w:p w14:paraId="79F52D79" w14:textId="77777777" w:rsidR="00357903" w:rsidRDefault="00357903" w:rsidP="00357903">
          <w:pPr>
            <w:pStyle w:val="LLNormaali"/>
            <w:jc w:val="both"/>
          </w:pPr>
        </w:p>
        <w:p w14:paraId="4DDE6D86" w14:textId="77777777" w:rsidR="00357903" w:rsidRDefault="00357903" w:rsidP="00357903">
          <w:pPr>
            <w:pStyle w:val="LLNormaali"/>
            <w:jc w:val="both"/>
          </w:pPr>
          <w:r w:rsidRPr="00AC535C">
            <w:rPr>
              <w:b/>
              <w:bCs/>
            </w:rPr>
            <w:t>Alue D1</w:t>
          </w:r>
          <w:r>
            <w:t>: 3490–3590 MHz</w:t>
          </w:r>
        </w:p>
        <w:p w14:paraId="691C7D2D" w14:textId="77777777" w:rsidR="00357903" w:rsidRDefault="00357903" w:rsidP="00357903">
          <w:pPr>
            <w:pStyle w:val="LLNormaali"/>
            <w:jc w:val="both"/>
          </w:pPr>
        </w:p>
        <w:p w14:paraId="04FB1CD7" w14:textId="77777777" w:rsidR="00357903" w:rsidRDefault="00357903" w:rsidP="00357903">
          <w:pPr>
            <w:pStyle w:val="LLNormaali"/>
            <w:jc w:val="both"/>
          </w:pPr>
          <w:r>
            <w:t>Rajoitukset koskevat seuraavia taajuusalueen 24,25–25,1 gigahertsiä taajuuksia, jotka on osoitettu tuotekehitys-, testaus- ja opetuskäyttöön tämän liitteen kohdassa 1 määritellyillä alueilla.</w:t>
          </w:r>
        </w:p>
        <w:p w14:paraId="308E1064" w14:textId="77777777" w:rsidR="00357903" w:rsidRDefault="00357903" w:rsidP="00357903">
          <w:pPr>
            <w:pStyle w:val="LLNormaali"/>
            <w:jc w:val="both"/>
          </w:pPr>
        </w:p>
        <w:p w14:paraId="55178D37" w14:textId="77777777" w:rsidR="00357903" w:rsidRDefault="00357903" w:rsidP="00357903">
          <w:pPr>
            <w:pStyle w:val="LLNormaali"/>
            <w:jc w:val="both"/>
            <w:rPr>
              <w:lang w:val="en-US"/>
            </w:rPr>
          </w:pPr>
          <w:r w:rsidRPr="002F1D46">
            <w:rPr>
              <w:b/>
              <w:bCs/>
              <w:lang w:val="en-US"/>
            </w:rPr>
            <w:t>Alue A</w:t>
          </w:r>
          <w:r w:rsidRPr="002F1D46">
            <w:rPr>
              <w:lang w:val="en-US"/>
            </w:rPr>
            <w:t>: 24,7–25,1 GHz</w:t>
          </w:r>
        </w:p>
        <w:p w14:paraId="03915C5D" w14:textId="77777777" w:rsidR="00357903" w:rsidRPr="002F1D46" w:rsidRDefault="00357903" w:rsidP="00357903">
          <w:pPr>
            <w:pStyle w:val="LLNormaali"/>
            <w:jc w:val="both"/>
            <w:rPr>
              <w:lang w:val="en-US"/>
            </w:rPr>
          </w:pPr>
        </w:p>
        <w:p w14:paraId="7A91060B" w14:textId="77777777" w:rsidR="00357903" w:rsidRDefault="00357903" w:rsidP="00357903">
          <w:pPr>
            <w:pStyle w:val="LLNormaali"/>
            <w:jc w:val="both"/>
            <w:rPr>
              <w:lang w:val="en-US"/>
            </w:rPr>
          </w:pPr>
          <w:r w:rsidRPr="002F1D46">
            <w:rPr>
              <w:b/>
              <w:bCs/>
              <w:lang w:val="en-US"/>
            </w:rPr>
            <w:t>Alue A1</w:t>
          </w:r>
          <w:r w:rsidRPr="002F1D46">
            <w:rPr>
              <w:lang w:val="en-US"/>
            </w:rPr>
            <w:t>: 24,3–25,1 GHz</w:t>
          </w:r>
        </w:p>
        <w:p w14:paraId="28A1BEEC" w14:textId="77777777" w:rsidR="00357903" w:rsidRPr="002F1D46" w:rsidRDefault="00357903" w:rsidP="00357903">
          <w:pPr>
            <w:pStyle w:val="LLNormaali"/>
            <w:jc w:val="both"/>
            <w:rPr>
              <w:lang w:val="en-US"/>
            </w:rPr>
          </w:pPr>
        </w:p>
        <w:p w14:paraId="60261F00" w14:textId="77777777" w:rsidR="00357903" w:rsidRDefault="00357903" w:rsidP="00357903">
          <w:pPr>
            <w:pStyle w:val="LLNormaali"/>
            <w:jc w:val="both"/>
          </w:pPr>
          <w:r w:rsidRPr="002F1D46">
            <w:rPr>
              <w:b/>
              <w:bCs/>
            </w:rPr>
            <w:t>Alueet B ja C</w:t>
          </w:r>
          <w:r>
            <w:t>: 24,7–25,1 GHz. Taajuuskaistan käyttö alueella C on sallittu vain sisätiloissa.</w:t>
          </w:r>
        </w:p>
        <w:p w14:paraId="318036D7" w14:textId="77777777" w:rsidR="00357903" w:rsidRDefault="00357903" w:rsidP="00357903">
          <w:pPr>
            <w:pStyle w:val="LLNormaali"/>
            <w:jc w:val="both"/>
          </w:pPr>
        </w:p>
        <w:p w14:paraId="1EC4A8E7" w14:textId="77777777" w:rsidR="00357903" w:rsidRDefault="00357903" w:rsidP="00357903">
          <w:pPr>
            <w:pStyle w:val="LLNormaali"/>
            <w:jc w:val="both"/>
          </w:pPr>
          <w:r w:rsidRPr="002F1D46">
            <w:rPr>
              <w:b/>
              <w:bCs/>
            </w:rPr>
            <w:t>Alue D</w:t>
          </w:r>
          <w:r>
            <w:t>: 24,7–25,1 GHz</w:t>
          </w:r>
        </w:p>
        <w:p w14:paraId="799074BD" w14:textId="77777777" w:rsidR="00357903" w:rsidRDefault="00357903" w:rsidP="00357903">
          <w:pPr>
            <w:pStyle w:val="LLNormaali"/>
            <w:jc w:val="both"/>
          </w:pPr>
        </w:p>
        <w:p w14:paraId="35DB7A29" w14:textId="77777777" w:rsidR="00357903" w:rsidRDefault="00357903" w:rsidP="00357903">
          <w:pPr>
            <w:pStyle w:val="LLNormaali"/>
            <w:jc w:val="both"/>
          </w:pPr>
          <w:r w:rsidRPr="002F1D46">
            <w:rPr>
              <w:b/>
              <w:bCs/>
            </w:rPr>
            <w:t>Alue D1</w:t>
          </w:r>
          <w:r>
            <w:t>: 24,3–25,1 GHz</w:t>
          </w:r>
        </w:p>
        <w:p w14:paraId="3FEA4858" w14:textId="77777777" w:rsidR="00357903" w:rsidRDefault="00357903" w:rsidP="00357903">
          <w:pPr>
            <w:pStyle w:val="LLNormaali"/>
            <w:jc w:val="both"/>
          </w:pPr>
        </w:p>
        <w:p w14:paraId="19E61C75" w14:textId="77777777" w:rsidR="00357903" w:rsidRDefault="00357903" w:rsidP="00357903">
          <w:pPr>
            <w:pStyle w:val="LLNormaali"/>
            <w:jc w:val="both"/>
          </w:pPr>
        </w:p>
        <w:p w14:paraId="2BDE68BB" w14:textId="77777777" w:rsidR="00357903" w:rsidRPr="002F1D46" w:rsidRDefault="00357903" w:rsidP="00357903">
          <w:pPr>
            <w:pStyle w:val="Luettelokappale"/>
            <w:numPr>
              <w:ilvl w:val="0"/>
              <w:numId w:val="26"/>
            </w:numPr>
          </w:pPr>
          <w:r w:rsidRPr="002F1D46">
            <w:t>Tuotekehitys-, testaus- ja opetuskäyttö toimiluvanvaraisen televisiotoiminnan taajuuksilla</w:t>
          </w:r>
        </w:p>
        <w:p w14:paraId="0E649891" w14:textId="77777777" w:rsidR="00357903" w:rsidRDefault="00357903" w:rsidP="00357903">
          <w:pPr>
            <w:pStyle w:val="LLNormaali"/>
            <w:jc w:val="both"/>
          </w:pPr>
        </w:p>
        <w:p w14:paraId="443DA2DB" w14:textId="77777777" w:rsidR="00357903" w:rsidRDefault="00357903" w:rsidP="00357903">
          <w:pPr>
            <w:pStyle w:val="LLNormaali"/>
            <w:jc w:val="both"/>
          </w:pPr>
          <w:r>
            <w:t>Seuraavilla maantieteellisillä alueilla H ja I on rajoituksia toimiluvanvaraiseen televisiotoimintaan:</w:t>
          </w:r>
        </w:p>
        <w:p w14:paraId="0B9D7D89" w14:textId="77777777" w:rsidR="00357903" w:rsidRDefault="00357903" w:rsidP="00357903">
          <w:pPr>
            <w:pStyle w:val="LLNormaali"/>
            <w:jc w:val="both"/>
          </w:pPr>
        </w:p>
        <w:p w14:paraId="33E5994F" w14:textId="77777777" w:rsidR="00357903" w:rsidRDefault="00357903" w:rsidP="00357903">
          <w:pPr>
            <w:pStyle w:val="LLNormaali"/>
            <w:jc w:val="both"/>
          </w:pPr>
          <w:r w:rsidRPr="002F1D46">
            <w:rPr>
              <w:b/>
              <w:bCs/>
            </w:rPr>
            <w:t>Alue H</w:t>
          </w:r>
          <w:r>
            <w:t>: Ympyrä, jonka keskipiste on 384549, 6671501 ETRS-TM35FIN (</w:t>
          </w:r>
          <w:proofErr w:type="spellStart"/>
          <w:proofErr w:type="gramStart"/>
          <w:r>
            <w:t>x,y</w:t>
          </w:r>
          <w:proofErr w:type="spellEnd"/>
          <w:proofErr w:type="gramEnd"/>
          <w:r>
            <w:t>) ja säde 10 km. Rajoitukset koskevat seuraavien kuntien osia: Espoo ja Helsinki.</w:t>
          </w:r>
        </w:p>
        <w:p w14:paraId="0A372972" w14:textId="77777777" w:rsidR="00357903" w:rsidRDefault="00357903" w:rsidP="00357903">
          <w:pPr>
            <w:pStyle w:val="LLNormaali"/>
            <w:jc w:val="both"/>
          </w:pPr>
        </w:p>
        <w:p w14:paraId="013DA14E" w14:textId="77777777" w:rsidR="00357903" w:rsidRDefault="00357903" w:rsidP="00357903">
          <w:pPr>
            <w:pStyle w:val="LLNormaali"/>
            <w:jc w:val="both"/>
          </w:pPr>
          <w:r w:rsidRPr="002F1D46">
            <w:rPr>
              <w:b/>
              <w:bCs/>
            </w:rPr>
            <w:t>Alue I</w:t>
          </w:r>
          <w:r>
            <w:t>: Ympyrä, jonka keskipiste on 243342, 6710332 ETRS-TM35FIN (</w:t>
          </w:r>
          <w:proofErr w:type="spellStart"/>
          <w:proofErr w:type="gramStart"/>
          <w:r>
            <w:t>x,y</w:t>
          </w:r>
          <w:proofErr w:type="spellEnd"/>
          <w:proofErr w:type="gramEnd"/>
          <w:r>
            <w:t>) ja säde 9 km. Rajoitukset koskevat seuraavien kuntien osia: Kaarina, Lieto, Parainen, Raisio, Rusko ja Turku.</w:t>
          </w:r>
        </w:p>
        <w:p w14:paraId="3461EB3A" w14:textId="77777777" w:rsidR="00357903" w:rsidRDefault="00357903" w:rsidP="00357903">
          <w:pPr>
            <w:pStyle w:val="LLNormaali"/>
            <w:jc w:val="both"/>
          </w:pPr>
        </w:p>
        <w:p w14:paraId="2B89EB43" w14:textId="7561E4DF" w:rsidR="00357903" w:rsidRDefault="00357903" w:rsidP="00357903">
          <w:pPr>
            <w:pStyle w:val="LLNormaali"/>
            <w:jc w:val="both"/>
          </w:pPr>
          <w:r w:rsidRPr="002F1D46">
            <w:rPr>
              <w:b/>
              <w:bCs/>
            </w:rPr>
            <w:t>Alueella H</w:t>
          </w:r>
          <w:r>
            <w:t xml:space="preserve"> toimiluvanvarainen televisiotoiminta ei saa kanavilla 22</w:t>
          </w:r>
          <w:r w:rsidR="0034322A">
            <w:t xml:space="preserve"> ja</w:t>
          </w:r>
          <w:r>
            <w:t xml:space="preserve"> 23 aiheuttaa suurempaa kentänvoimakkuutta kuin 56 </w:t>
          </w:r>
          <w:proofErr w:type="spellStart"/>
          <w:r>
            <w:t>dBµV</w:t>
          </w:r>
          <w:proofErr w:type="spellEnd"/>
          <w:r>
            <w:t>/m (</w:t>
          </w:r>
          <w:proofErr w:type="gramStart"/>
          <w:r>
            <w:t>1%</w:t>
          </w:r>
          <w:proofErr w:type="gramEnd"/>
          <w:r>
            <w:t xml:space="preserve"> ajasta, 50% paikoista) mitattuna 10 metrin korkeudessa maan pinnasta. TTO-käyttö on sallittu alueelle H sijoitettavilla lähettimillä tv-kanavilla 22</w:t>
          </w:r>
          <w:r w:rsidR="0034322A">
            <w:t xml:space="preserve"> ja</w:t>
          </w:r>
          <w:r>
            <w:t xml:space="preserve"> 23 siten, ettei kullakin kanavalla alueen reunaviivalla 10 metrin korkeudessa maan pinnasta mitattu kentänvoimakkuus ylitä arvoa 78 </w:t>
          </w:r>
          <w:proofErr w:type="spellStart"/>
          <w:r>
            <w:t>dBµV</w:t>
          </w:r>
          <w:proofErr w:type="spellEnd"/>
          <w:r>
            <w:t>/m (</w:t>
          </w:r>
          <w:proofErr w:type="gramStart"/>
          <w:r>
            <w:t>50%</w:t>
          </w:r>
          <w:proofErr w:type="gramEnd"/>
          <w:r>
            <w:t xml:space="preserve"> ajasta, 50% paikoista).</w:t>
          </w:r>
        </w:p>
        <w:p w14:paraId="65132A7D" w14:textId="77777777" w:rsidR="00357903" w:rsidRDefault="00357903" w:rsidP="00357903">
          <w:pPr>
            <w:pStyle w:val="LLNormaali"/>
            <w:jc w:val="both"/>
          </w:pPr>
        </w:p>
        <w:p w14:paraId="3D08BB90" w14:textId="267C3103" w:rsidR="00357903" w:rsidRDefault="00357903" w:rsidP="00357903">
          <w:pPr>
            <w:pStyle w:val="LLNormaali"/>
          </w:pPr>
          <w:r w:rsidRPr="002F1D46">
            <w:rPr>
              <w:b/>
              <w:bCs/>
            </w:rPr>
            <w:t>Alueella I</w:t>
          </w:r>
          <w:r>
            <w:t xml:space="preserve"> toimiluvanvarainen televisiotoiminta ei saa </w:t>
          </w:r>
          <w:r w:rsidR="0034322A">
            <w:t xml:space="preserve">kanavalla </w:t>
          </w:r>
          <w:r>
            <w:t xml:space="preserve">38 aiheuttaa suurempaa kentänvoimakkuutta kuin 56 </w:t>
          </w:r>
          <w:proofErr w:type="spellStart"/>
          <w:r>
            <w:t>dBµV</w:t>
          </w:r>
          <w:proofErr w:type="spellEnd"/>
          <w:r>
            <w:t>/m (</w:t>
          </w:r>
          <w:proofErr w:type="gramStart"/>
          <w:r>
            <w:t>1%</w:t>
          </w:r>
          <w:proofErr w:type="gramEnd"/>
          <w:r>
            <w:t xml:space="preserve"> ajasta, 50% paikoista) mitattuna 10 metrin korkeudessa maan pinnasta. TTO-käyttö on sallittu alueelle I sijoitettavilla lähettimillä tv-</w:t>
          </w:r>
          <w:r w:rsidR="0034322A">
            <w:t xml:space="preserve">kanavalla </w:t>
          </w:r>
          <w:r>
            <w:t xml:space="preserve">38 siten, ettei kullakin kanavalla alueen reunaviivalla 10 metrin korkeudessa maan pinnasta mitattu kentänvoimakkuus ylitä arvoa 78 </w:t>
          </w:r>
          <w:proofErr w:type="spellStart"/>
          <w:r>
            <w:t>dBµV</w:t>
          </w:r>
          <w:proofErr w:type="spellEnd"/>
          <w:r>
            <w:t>/m (</w:t>
          </w:r>
          <w:proofErr w:type="gramStart"/>
          <w:r>
            <w:t>50%</w:t>
          </w:r>
          <w:proofErr w:type="gramEnd"/>
          <w:r>
            <w:t xml:space="preserve"> ajasta, 50% paikoista).</w:t>
          </w:r>
        </w:p>
        <w:p w14:paraId="2B626C39" w14:textId="77777777" w:rsidR="00357903" w:rsidRDefault="00C4489C" w:rsidP="002168F9">
          <w:pPr>
            <w:pStyle w:val="LLNormaali"/>
          </w:pPr>
        </w:p>
      </w:sdtContent>
    </w:sdt>
    <w:p w14:paraId="71FC11D2" w14:textId="77777777" w:rsidR="00357903" w:rsidRPr="00F45931" w:rsidRDefault="00357903" w:rsidP="002168F9">
      <w:pPr>
        <w:pStyle w:val="LLNormaali"/>
        <w:rPr>
          <w:lang w:eastAsia="fi-FI"/>
        </w:rPr>
      </w:pPr>
    </w:p>
    <w:sectPr w:rsidR="00357903" w:rsidRPr="00F4593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3FF6" w14:textId="77777777" w:rsidR="00CC6749" w:rsidRDefault="00CC6749">
      <w:r>
        <w:separator/>
      </w:r>
    </w:p>
  </w:endnote>
  <w:endnote w:type="continuationSeparator" w:id="0">
    <w:p w14:paraId="0DC95797" w14:textId="77777777" w:rsidR="00CC6749" w:rsidRDefault="00CC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66D7" w14:textId="77777777"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B630A5D" w14:textId="77777777"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14:paraId="1F9F9B66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65952B85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26B370AC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6A5F36">
            <w:rPr>
              <w:rStyle w:val="Sivunumero"/>
              <w:noProof/>
              <w:sz w:val="22"/>
            </w:rPr>
            <w:t>10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4CF64AC7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14:paraId="49194922" w14:textId="77777777" w:rsidR="000E61DF" w:rsidRDefault="000E61DF" w:rsidP="001310B9">
    <w:pPr>
      <w:pStyle w:val="Alatunniste"/>
    </w:pPr>
  </w:p>
  <w:p w14:paraId="6A177637" w14:textId="77777777"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14:paraId="211F0628" w14:textId="77777777"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14:paraId="732E3C67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50E8A04C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075A714F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14:paraId="33B99FA5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14:paraId="4FD035DA" w14:textId="77777777" w:rsidR="000E61DF" w:rsidRPr="001310B9" w:rsidRDefault="000E61DF">
    <w:pPr>
      <w:pStyle w:val="Alatunniste"/>
      <w:rPr>
        <w:sz w:val="22"/>
        <w:szCs w:val="22"/>
      </w:rPr>
    </w:pPr>
  </w:p>
  <w:p w14:paraId="01AEBE8C" w14:textId="77777777"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D581" w14:textId="77777777" w:rsidR="00CC6749" w:rsidRDefault="00CC6749">
      <w:r>
        <w:separator/>
      </w:r>
    </w:p>
  </w:footnote>
  <w:footnote w:type="continuationSeparator" w:id="0">
    <w:p w14:paraId="781FEEBE" w14:textId="77777777" w:rsidR="00CC6749" w:rsidRDefault="00CC6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0769D296" w14:textId="77777777" w:rsidTr="00C95716">
      <w:tc>
        <w:tcPr>
          <w:tcW w:w="2140" w:type="dxa"/>
        </w:tcPr>
        <w:p w14:paraId="5044565A" w14:textId="77777777"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14:paraId="68B19A9A" w14:textId="77777777" w:rsidR="000E61DF" w:rsidRDefault="000E61DF" w:rsidP="00C95716">
          <w:pPr>
            <w:jc w:val="center"/>
          </w:pPr>
        </w:p>
      </w:tc>
      <w:tc>
        <w:tcPr>
          <w:tcW w:w="2141" w:type="dxa"/>
        </w:tcPr>
        <w:p w14:paraId="0084F2F8" w14:textId="77777777" w:rsidR="000E61DF" w:rsidRDefault="000E61DF" w:rsidP="00C95716">
          <w:pPr>
            <w:rPr>
              <w:lang w:val="en-US"/>
            </w:rPr>
          </w:pPr>
        </w:p>
      </w:tc>
    </w:tr>
    <w:tr w:rsidR="000E61DF" w14:paraId="5B097B68" w14:textId="77777777" w:rsidTr="00C95716">
      <w:tc>
        <w:tcPr>
          <w:tcW w:w="4281" w:type="dxa"/>
          <w:gridSpan w:val="2"/>
        </w:tcPr>
        <w:p w14:paraId="01C08AB5" w14:textId="77777777"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5295E1EF" w14:textId="77777777" w:rsidR="000E61DF" w:rsidRPr="00AC3BA6" w:rsidRDefault="000E61DF" w:rsidP="00C95716">
          <w:pPr>
            <w:rPr>
              <w:i/>
            </w:rPr>
          </w:pPr>
        </w:p>
      </w:tc>
    </w:tr>
  </w:tbl>
  <w:p w14:paraId="15D03B52" w14:textId="77777777" w:rsidR="000E61DF" w:rsidRDefault="000E61DF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515CBA19" w14:textId="77777777" w:rsidTr="00F674CC">
      <w:tc>
        <w:tcPr>
          <w:tcW w:w="2140" w:type="dxa"/>
        </w:tcPr>
        <w:p w14:paraId="1C43C4EC" w14:textId="77777777" w:rsidR="000E61DF" w:rsidRPr="00A34F4E" w:rsidRDefault="000E61DF" w:rsidP="00F674CC"/>
      </w:tc>
      <w:tc>
        <w:tcPr>
          <w:tcW w:w="4281" w:type="dxa"/>
          <w:gridSpan w:val="2"/>
        </w:tcPr>
        <w:p w14:paraId="6EE664E7" w14:textId="77777777" w:rsidR="000E61DF" w:rsidRDefault="000E61DF" w:rsidP="00F674CC">
          <w:pPr>
            <w:jc w:val="center"/>
          </w:pPr>
        </w:p>
      </w:tc>
      <w:tc>
        <w:tcPr>
          <w:tcW w:w="2141" w:type="dxa"/>
        </w:tcPr>
        <w:p w14:paraId="17B9E396" w14:textId="77777777" w:rsidR="000E61DF" w:rsidRPr="00A34F4E" w:rsidRDefault="000E61DF" w:rsidP="00F674CC"/>
      </w:tc>
    </w:tr>
    <w:tr w:rsidR="000E61DF" w14:paraId="08568DB4" w14:textId="77777777" w:rsidTr="00F674CC">
      <w:tc>
        <w:tcPr>
          <w:tcW w:w="4281" w:type="dxa"/>
          <w:gridSpan w:val="2"/>
        </w:tcPr>
        <w:p w14:paraId="6D5C2B4B" w14:textId="77777777"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03F5D0C3" w14:textId="77777777" w:rsidR="000E61DF" w:rsidRPr="00AC3BA6" w:rsidRDefault="000E61DF" w:rsidP="00F674CC">
          <w:pPr>
            <w:rPr>
              <w:i/>
            </w:rPr>
          </w:pPr>
        </w:p>
      </w:tc>
    </w:tr>
  </w:tbl>
  <w:p w14:paraId="7B86E317" w14:textId="77777777"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3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4078005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8" w15:restartNumberingAfterBreak="0">
    <w:nsid w:val="546A4050"/>
    <w:multiLevelType w:val="hybridMultilevel"/>
    <w:tmpl w:val="401C07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2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3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4" w15:restartNumberingAfterBreak="0">
    <w:nsid w:val="7DF7517E"/>
    <w:multiLevelType w:val="multilevel"/>
    <w:tmpl w:val="81C49D56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32342795">
    <w:abstractNumId w:val="2"/>
  </w:num>
  <w:num w:numId="2" w16cid:durableId="377435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6735646">
    <w:abstractNumId w:val="11"/>
  </w:num>
  <w:num w:numId="4" w16cid:durableId="14169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5721353">
    <w:abstractNumId w:val="10"/>
  </w:num>
  <w:num w:numId="6" w16cid:durableId="810290397">
    <w:abstractNumId w:val="6"/>
  </w:num>
  <w:num w:numId="7" w16cid:durableId="2050908219">
    <w:abstractNumId w:val="0"/>
  </w:num>
  <w:num w:numId="8" w16cid:durableId="2015918941">
    <w:abstractNumId w:val="6"/>
    <w:lvlOverride w:ilvl="0">
      <w:startOverride w:val="1"/>
    </w:lvlOverride>
  </w:num>
  <w:num w:numId="9" w16cid:durableId="881406666">
    <w:abstractNumId w:val="6"/>
    <w:lvlOverride w:ilvl="0">
      <w:startOverride w:val="1"/>
    </w:lvlOverride>
  </w:num>
  <w:num w:numId="10" w16cid:durableId="1078868447">
    <w:abstractNumId w:val="6"/>
    <w:lvlOverride w:ilvl="0">
      <w:startOverride w:val="1"/>
    </w:lvlOverride>
  </w:num>
  <w:num w:numId="11" w16cid:durableId="882520234">
    <w:abstractNumId w:val="6"/>
    <w:lvlOverride w:ilvl="0">
      <w:startOverride w:val="1"/>
    </w:lvlOverride>
  </w:num>
  <w:num w:numId="12" w16cid:durableId="965505123">
    <w:abstractNumId w:val="9"/>
  </w:num>
  <w:num w:numId="13" w16cid:durableId="105582408">
    <w:abstractNumId w:val="6"/>
    <w:lvlOverride w:ilvl="0">
      <w:startOverride w:val="1"/>
    </w:lvlOverride>
  </w:num>
  <w:num w:numId="14" w16cid:durableId="1204976899">
    <w:abstractNumId w:val="6"/>
    <w:lvlOverride w:ilvl="0">
      <w:startOverride w:val="1"/>
    </w:lvlOverride>
  </w:num>
  <w:num w:numId="15" w16cid:durableId="1895504546">
    <w:abstractNumId w:val="3"/>
  </w:num>
  <w:num w:numId="16" w16cid:durableId="1168180375">
    <w:abstractNumId w:val="3"/>
    <w:lvlOverride w:ilvl="0">
      <w:startOverride w:val="1"/>
    </w:lvlOverride>
  </w:num>
  <w:num w:numId="17" w16cid:durableId="1236740691">
    <w:abstractNumId w:val="6"/>
    <w:lvlOverride w:ilvl="0">
      <w:startOverride w:val="1"/>
    </w:lvlOverride>
  </w:num>
  <w:num w:numId="18" w16cid:durableId="1167793661">
    <w:abstractNumId w:val="4"/>
  </w:num>
  <w:num w:numId="19" w16cid:durableId="1839467959">
    <w:abstractNumId w:val="7"/>
  </w:num>
  <w:num w:numId="20" w16cid:durableId="976909575">
    <w:abstractNumId w:val="13"/>
  </w:num>
  <w:num w:numId="21" w16cid:durableId="781732162">
    <w:abstractNumId w:val="2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 w16cid:durableId="999039972">
    <w:abstractNumId w:val="12"/>
  </w:num>
  <w:num w:numId="23" w16cid:durableId="1727025062">
    <w:abstractNumId w:val="1"/>
  </w:num>
  <w:num w:numId="24" w16cid:durableId="1722515446">
    <w:abstractNumId w:val="14"/>
  </w:num>
  <w:num w:numId="25" w16cid:durableId="1228297725">
    <w:abstractNumId w:val="5"/>
  </w:num>
  <w:num w:numId="26" w16cid:durableId="7321230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3"/>
    <w:rsid w:val="00000B13"/>
    <w:rsid w:val="00000D79"/>
    <w:rsid w:val="00001C65"/>
    <w:rsid w:val="000026A6"/>
    <w:rsid w:val="00002765"/>
    <w:rsid w:val="00003D02"/>
    <w:rsid w:val="000046E8"/>
    <w:rsid w:val="0000497A"/>
    <w:rsid w:val="00005736"/>
    <w:rsid w:val="00007C03"/>
    <w:rsid w:val="00007EA2"/>
    <w:rsid w:val="0001009E"/>
    <w:rsid w:val="00012145"/>
    <w:rsid w:val="000131D0"/>
    <w:rsid w:val="0001433B"/>
    <w:rsid w:val="0001582F"/>
    <w:rsid w:val="00015D45"/>
    <w:rsid w:val="000166D0"/>
    <w:rsid w:val="00016774"/>
    <w:rsid w:val="00017270"/>
    <w:rsid w:val="000202BC"/>
    <w:rsid w:val="000208A6"/>
    <w:rsid w:val="00021712"/>
    <w:rsid w:val="0002194F"/>
    <w:rsid w:val="00023201"/>
    <w:rsid w:val="00023CAE"/>
    <w:rsid w:val="00024344"/>
    <w:rsid w:val="00024B6D"/>
    <w:rsid w:val="000269DC"/>
    <w:rsid w:val="000278A9"/>
    <w:rsid w:val="00027992"/>
    <w:rsid w:val="00030044"/>
    <w:rsid w:val="00030BA9"/>
    <w:rsid w:val="00031114"/>
    <w:rsid w:val="0003265F"/>
    <w:rsid w:val="000331C9"/>
    <w:rsid w:val="0003331C"/>
    <w:rsid w:val="0003393F"/>
    <w:rsid w:val="00034B95"/>
    <w:rsid w:val="0003652F"/>
    <w:rsid w:val="000370C8"/>
    <w:rsid w:val="00040D23"/>
    <w:rsid w:val="0004360C"/>
    <w:rsid w:val="00043723"/>
    <w:rsid w:val="00043F6F"/>
    <w:rsid w:val="00044A1B"/>
    <w:rsid w:val="00045101"/>
    <w:rsid w:val="00046AF3"/>
    <w:rsid w:val="00046C60"/>
    <w:rsid w:val="00047B66"/>
    <w:rsid w:val="000502E9"/>
    <w:rsid w:val="00050C95"/>
    <w:rsid w:val="00052549"/>
    <w:rsid w:val="00052E56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7E9"/>
    <w:rsid w:val="00070B45"/>
    <w:rsid w:val="0007112D"/>
    <w:rsid w:val="000722C4"/>
    <w:rsid w:val="0007388F"/>
    <w:rsid w:val="00075ADB"/>
    <w:rsid w:val="000769BB"/>
    <w:rsid w:val="00077867"/>
    <w:rsid w:val="000811EC"/>
    <w:rsid w:val="00081D3F"/>
    <w:rsid w:val="00082609"/>
    <w:rsid w:val="00083E71"/>
    <w:rsid w:val="00084034"/>
    <w:rsid w:val="000852C2"/>
    <w:rsid w:val="000863E1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478"/>
    <w:rsid w:val="000D6A3B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39AF"/>
    <w:rsid w:val="000F3FDB"/>
    <w:rsid w:val="000F4F20"/>
    <w:rsid w:val="000F5A45"/>
    <w:rsid w:val="000F66A0"/>
    <w:rsid w:val="000F6DC9"/>
    <w:rsid w:val="000F70C7"/>
    <w:rsid w:val="000F71FD"/>
    <w:rsid w:val="001004FD"/>
    <w:rsid w:val="00100EB7"/>
    <w:rsid w:val="0010111D"/>
    <w:rsid w:val="00103ACA"/>
    <w:rsid w:val="00103C5F"/>
    <w:rsid w:val="001042D6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E3B"/>
    <w:rsid w:val="0012475C"/>
    <w:rsid w:val="00125ABB"/>
    <w:rsid w:val="00127D8D"/>
    <w:rsid w:val="001305A0"/>
    <w:rsid w:val="001310B9"/>
    <w:rsid w:val="0013473F"/>
    <w:rsid w:val="00137260"/>
    <w:rsid w:val="0013779E"/>
    <w:rsid w:val="001401B3"/>
    <w:rsid w:val="0014084B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5E1"/>
    <w:rsid w:val="001617CA"/>
    <w:rsid w:val="001619B4"/>
    <w:rsid w:val="00161A08"/>
    <w:rsid w:val="001628A5"/>
    <w:rsid w:val="00164B49"/>
    <w:rsid w:val="00165F63"/>
    <w:rsid w:val="00166459"/>
    <w:rsid w:val="00167060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04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B57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C49"/>
    <w:rsid w:val="001D7C93"/>
    <w:rsid w:val="001E07D9"/>
    <w:rsid w:val="001E0895"/>
    <w:rsid w:val="001E2815"/>
    <w:rsid w:val="001E2BCC"/>
    <w:rsid w:val="001E3303"/>
    <w:rsid w:val="001E66E9"/>
    <w:rsid w:val="001E6CAE"/>
    <w:rsid w:val="001E6CCB"/>
    <w:rsid w:val="001E6D80"/>
    <w:rsid w:val="001F0934"/>
    <w:rsid w:val="001F2163"/>
    <w:rsid w:val="001F5DBC"/>
    <w:rsid w:val="001F6E1A"/>
    <w:rsid w:val="001F7A9D"/>
    <w:rsid w:val="002013EA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4362"/>
    <w:rsid w:val="00236391"/>
    <w:rsid w:val="00236F17"/>
    <w:rsid w:val="00237BEC"/>
    <w:rsid w:val="00241124"/>
    <w:rsid w:val="00241EBC"/>
    <w:rsid w:val="00242EC3"/>
    <w:rsid w:val="00244197"/>
    <w:rsid w:val="002445F2"/>
    <w:rsid w:val="002446DA"/>
    <w:rsid w:val="00244B73"/>
    <w:rsid w:val="00245257"/>
    <w:rsid w:val="00245804"/>
    <w:rsid w:val="0024634E"/>
    <w:rsid w:val="0024762B"/>
    <w:rsid w:val="002478DC"/>
    <w:rsid w:val="00247B38"/>
    <w:rsid w:val="00247D0A"/>
    <w:rsid w:val="00247DAA"/>
    <w:rsid w:val="002502FA"/>
    <w:rsid w:val="002505A5"/>
    <w:rsid w:val="00251092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D80"/>
    <w:rsid w:val="002733B9"/>
    <w:rsid w:val="00273F65"/>
    <w:rsid w:val="0027666C"/>
    <w:rsid w:val="002767A8"/>
    <w:rsid w:val="0027698E"/>
    <w:rsid w:val="00276C0A"/>
    <w:rsid w:val="00280153"/>
    <w:rsid w:val="00280A74"/>
    <w:rsid w:val="00283256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B68"/>
    <w:rsid w:val="00296CB8"/>
    <w:rsid w:val="002A0577"/>
    <w:rsid w:val="002A0B5D"/>
    <w:rsid w:val="002A2066"/>
    <w:rsid w:val="002A2FB5"/>
    <w:rsid w:val="002A431F"/>
    <w:rsid w:val="002A4575"/>
    <w:rsid w:val="002A5827"/>
    <w:rsid w:val="002A630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25B4"/>
    <w:rsid w:val="002C588D"/>
    <w:rsid w:val="002C5AF9"/>
    <w:rsid w:val="002C694B"/>
    <w:rsid w:val="002C6F56"/>
    <w:rsid w:val="002D0561"/>
    <w:rsid w:val="002D158A"/>
    <w:rsid w:val="002D1FC4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877"/>
    <w:rsid w:val="002E2928"/>
    <w:rsid w:val="002E2A5D"/>
    <w:rsid w:val="002E58B2"/>
    <w:rsid w:val="002E6BE3"/>
    <w:rsid w:val="002E73F2"/>
    <w:rsid w:val="002F036A"/>
    <w:rsid w:val="002F0DA6"/>
    <w:rsid w:val="002F1D46"/>
    <w:rsid w:val="002F3ECD"/>
    <w:rsid w:val="002F47BF"/>
    <w:rsid w:val="002F486D"/>
    <w:rsid w:val="002F5A3F"/>
    <w:rsid w:val="002F690F"/>
    <w:rsid w:val="0030010F"/>
    <w:rsid w:val="00301F7F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41AB"/>
    <w:rsid w:val="0031475A"/>
    <w:rsid w:val="00314807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22A"/>
    <w:rsid w:val="003433C2"/>
    <w:rsid w:val="00343EC6"/>
    <w:rsid w:val="003465F1"/>
    <w:rsid w:val="0035308D"/>
    <w:rsid w:val="00353702"/>
    <w:rsid w:val="003540B1"/>
    <w:rsid w:val="003545B7"/>
    <w:rsid w:val="003569FE"/>
    <w:rsid w:val="00357903"/>
    <w:rsid w:val="00360341"/>
    <w:rsid w:val="00360460"/>
    <w:rsid w:val="00360578"/>
    <w:rsid w:val="00360E69"/>
    <w:rsid w:val="00362079"/>
    <w:rsid w:val="0036367F"/>
    <w:rsid w:val="00365E6E"/>
    <w:rsid w:val="00370114"/>
    <w:rsid w:val="00371563"/>
    <w:rsid w:val="00371EB9"/>
    <w:rsid w:val="00373F61"/>
    <w:rsid w:val="00374108"/>
    <w:rsid w:val="003741DD"/>
    <w:rsid w:val="0037443D"/>
    <w:rsid w:val="0037489B"/>
    <w:rsid w:val="0037519F"/>
    <w:rsid w:val="0037538C"/>
    <w:rsid w:val="0037558E"/>
    <w:rsid w:val="00375A2E"/>
    <w:rsid w:val="00375D79"/>
    <w:rsid w:val="0037664C"/>
    <w:rsid w:val="00377BFD"/>
    <w:rsid w:val="003800D8"/>
    <w:rsid w:val="003801DE"/>
    <w:rsid w:val="00380D59"/>
    <w:rsid w:val="00381294"/>
    <w:rsid w:val="0038158D"/>
    <w:rsid w:val="0038398A"/>
    <w:rsid w:val="00384BEB"/>
    <w:rsid w:val="00385A06"/>
    <w:rsid w:val="0039043F"/>
    <w:rsid w:val="00390BBF"/>
    <w:rsid w:val="003920F1"/>
    <w:rsid w:val="00392B9C"/>
    <w:rsid w:val="00392BB4"/>
    <w:rsid w:val="0039336F"/>
    <w:rsid w:val="0039392F"/>
    <w:rsid w:val="00393B53"/>
    <w:rsid w:val="00394176"/>
    <w:rsid w:val="00396469"/>
    <w:rsid w:val="003972A4"/>
    <w:rsid w:val="003A124E"/>
    <w:rsid w:val="003A14A2"/>
    <w:rsid w:val="003A36E1"/>
    <w:rsid w:val="003A3881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D038A"/>
    <w:rsid w:val="003D1C5B"/>
    <w:rsid w:val="003D6403"/>
    <w:rsid w:val="003D729C"/>
    <w:rsid w:val="003D7447"/>
    <w:rsid w:val="003D799F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E6B8C"/>
    <w:rsid w:val="003F0137"/>
    <w:rsid w:val="003F1444"/>
    <w:rsid w:val="003F1C96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4DB0"/>
    <w:rsid w:val="00424EDF"/>
    <w:rsid w:val="0042598D"/>
    <w:rsid w:val="00426EAE"/>
    <w:rsid w:val="00427F43"/>
    <w:rsid w:val="004300A4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C18"/>
    <w:rsid w:val="0044376A"/>
    <w:rsid w:val="00443949"/>
    <w:rsid w:val="00445534"/>
    <w:rsid w:val="00445575"/>
    <w:rsid w:val="00445B1B"/>
    <w:rsid w:val="00446423"/>
    <w:rsid w:val="004465E7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3249"/>
    <w:rsid w:val="00463FD2"/>
    <w:rsid w:val="0047100A"/>
    <w:rsid w:val="004752BA"/>
    <w:rsid w:val="004752C5"/>
    <w:rsid w:val="004753A3"/>
    <w:rsid w:val="00475D37"/>
    <w:rsid w:val="004763D6"/>
    <w:rsid w:val="004768CC"/>
    <w:rsid w:val="004808A8"/>
    <w:rsid w:val="00482025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58F9"/>
    <w:rsid w:val="004A5CEA"/>
    <w:rsid w:val="004A648F"/>
    <w:rsid w:val="004A6E42"/>
    <w:rsid w:val="004B1811"/>
    <w:rsid w:val="004B1827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D41"/>
    <w:rsid w:val="004C7C3F"/>
    <w:rsid w:val="004D03FF"/>
    <w:rsid w:val="004D0421"/>
    <w:rsid w:val="004D1C90"/>
    <w:rsid w:val="004D2778"/>
    <w:rsid w:val="004D30BE"/>
    <w:rsid w:val="004D328B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6355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7067"/>
    <w:rsid w:val="005078C4"/>
    <w:rsid w:val="00507AB7"/>
    <w:rsid w:val="00510785"/>
    <w:rsid w:val="005112AE"/>
    <w:rsid w:val="005121CA"/>
    <w:rsid w:val="00512DBE"/>
    <w:rsid w:val="005133C2"/>
    <w:rsid w:val="00513B2F"/>
    <w:rsid w:val="00513BE7"/>
    <w:rsid w:val="00515ED7"/>
    <w:rsid w:val="00516B5D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3113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4047"/>
    <w:rsid w:val="00564DEC"/>
    <w:rsid w:val="005655F0"/>
    <w:rsid w:val="005662AC"/>
    <w:rsid w:val="00567228"/>
    <w:rsid w:val="005747C4"/>
    <w:rsid w:val="00574A50"/>
    <w:rsid w:val="005771EA"/>
    <w:rsid w:val="005815B1"/>
    <w:rsid w:val="005815CB"/>
    <w:rsid w:val="00581CED"/>
    <w:rsid w:val="005853E6"/>
    <w:rsid w:val="0058679B"/>
    <w:rsid w:val="00587CD7"/>
    <w:rsid w:val="00590362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6711"/>
    <w:rsid w:val="005A6734"/>
    <w:rsid w:val="005A6D8B"/>
    <w:rsid w:val="005A7B14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D58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569A"/>
    <w:rsid w:val="005D5B30"/>
    <w:rsid w:val="005D752A"/>
    <w:rsid w:val="005E079F"/>
    <w:rsid w:val="005E0C8A"/>
    <w:rsid w:val="005E2844"/>
    <w:rsid w:val="005E491F"/>
    <w:rsid w:val="005E7444"/>
    <w:rsid w:val="005F35B9"/>
    <w:rsid w:val="005F428D"/>
    <w:rsid w:val="005F466A"/>
    <w:rsid w:val="005F6E65"/>
    <w:rsid w:val="0060037A"/>
    <w:rsid w:val="00600AE3"/>
    <w:rsid w:val="0060141F"/>
    <w:rsid w:val="00602870"/>
    <w:rsid w:val="00602D16"/>
    <w:rsid w:val="00604651"/>
    <w:rsid w:val="006048BE"/>
    <w:rsid w:val="00606968"/>
    <w:rsid w:val="00606F87"/>
    <w:rsid w:val="006079E6"/>
    <w:rsid w:val="00610036"/>
    <w:rsid w:val="006100A7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29EC"/>
    <w:rsid w:val="0063318C"/>
    <w:rsid w:val="0063467F"/>
    <w:rsid w:val="00635303"/>
    <w:rsid w:val="006372F4"/>
    <w:rsid w:val="00637BEF"/>
    <w:rsid w:val="00637C8E"/>
    <w:rsid w:val="00640310"/>
    <w:rsid w:val="00640A11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24E7"/>
    <w:rsid w:val="006536D5"/>
    <w:rsid w:val="00654B5D"/>
    <w:rsid w:val="00654F70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0DA3"/>
    <w:rsid w:val="006922EC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A5F36"/>
    <w:rsid w:val="006A7BD4"/>
    <w:rsid w:val="006B0989"/>
    <w:rsid w:val="006B0E5E"/>
    <w:rsid w:val="006B1145"/>
    <w:rsid w:val="006B18AB"/>
    <w:rsid w:val="006B1EE3"/>
    <w:rsid w:val="006B2658"/>
    <w:rsid w:val="006B2F61"/>
    <w:rsid w:val="006B3128"/>
    <w:rsid w:val="006B4D2D"/>
    <w:rsid w:val="006B525A"/>
    <w:rsid w:val="006B557C"/>
    <w:rsid w:val="006B557E"/>
    <w:rsid w:val="006B62C1"/>
    <w:rsid w:val="006B6985"/>
    <w:rsid w:val="006B7B0A"/>
    <w:rsid w:val="006C070F"/>
    <w:rsid w:val="006C170E"/>
    <w:rsid w:val="006C25C2"/>
    <w:rsid w:val="006C2A50"/>
    <w:rsid w:val="006C38DC"/>
    <w:rsid w:val="006C45AA"/>
    <w:rsid w:val="006C4755"/>
    <w:rsid w:val="006C4822"/>
    <w:rsid w:val="006C6BDE"/>
    <w:rsid w:val="006C7D1F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497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5F3F"/>
    <w:rsid w:val="0070038B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A8F"/>
    <w:rsid w:val="00722E11"/>
    <w:rsid w:val="00723434"/>
    <w:rsid w:val="0072425F"/>
    <w:rsid w:val="00725317"/>
    <w:rsid w:val="00725509"/>
    <w:rsid w:val="0072588C"/>
    <w:rsid w:val="007264E0"/>
    <w:rsid w:val="00726A28"/>
    <w:rsid w:val="0072735A"/>
    <w:rsid w:val="007275D7"/>
    <w:rsid w:val="0073026D"/>
    <w:rsid w:val="007304C2"/>
    <w:rsid w:val="007304CB"/>
    <w:rsid w:val="007337ED"/>
    <w:rsid w:val="00734053"/>
    <w:rsid w:val="007341C4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CFD"/>
    <w:rsid w:val="007A1F5B"/>
    <w:rsid w:val="007A4A61"/>
    <w:rsid w:val="007A5B7D"/>
    <w:rsid w:val="007A5C1E"/>
    <w:rsid w:val="007A5C3B"/>
    <w:rsid w:val="007A5F41"/>
    <w:rsid w:val="007A669F"/>
    <w:rsid w:val="007A6BD2"/>
    <w:rsid w:val="007A700B"/>
    <w:rsid w:val="007A7D26"/>
    <w:rsid w:val="007B0AD9"/>
    <w:rsid w:val="007B2660"/>
    <w:rsid w:val="007B29BB"/>
    <w:rsid w:val="007B2DFB"/>
    <w:rsid w:val="007B4171"/>
    <w:rsid w:val="007B47B0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DA4"/>
    <w:rsid w:val="007C6E98"/>
    <w:rsid w:val="007C7399"/>
    <w:rsid w:val="007C7A83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C36"/>
    <w:rsid w:val="007F1727"/>
    <w:rsid w:val="007F17D0"/>
    <w:rsid w:val="007F197F"/>
    <w:rsid w:val="007F260B"/>
    <w:rsid w:val="007F394E"/>
    <w:rsid w:val="007F46A7"/>
    <w:rsid w:val="007F6115"/>
    <w:rsid w:val="007F6E4D"/>
    <w:rsid w:val="00800ADC"/>
    <w:rsid w:val="00801EDC"/>
    <w:rsid w:val="00803E18"/>
    <w:rsid w:val="00807643"/>
    <w:rsid w:val="00810C3C"/>
    <w:rsid w:val="0081267C"/>
    <w:rsid w:val="008130D3"/>
    <w:rsid w:val="00814E3D"/>
    <w:rsid w:val="00815458"/>
    <w:rsid w:val="00815D87"/>
    <w:rsid w:val="00816AFB"/>
    <w:rsid w:val="008208B7"/>
    <w:rsid w:val="00820D4A"/>
    <w:rsid w:val="00821567"/>
    <w:rsid w:val="00822509"/>
    <w:rsid w:val="0082264A"/>
    <w:rsid w:val="00825DF1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4002E"/>
    <w:rsid w:val="00841169"/>
    <w:rsid w:val="008414FB"/>
    <w:rsid w:val="008414FE"/>
    <w:rsid w:val="0084150F"/>
    <w:rsid w:val="00842B89"/>
    <w:rsid w:val="008434DE"/>
    <w:rsid w:val="0084362A"/>
    <w:rsid w:val="008460FB"/>
    <w:rsid w:val="00846891"/>
    <w:rsid w:val="00847CA2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6BB8"/>
    <w:rsid w:val="008571E9"/>
    <w:rsid w:val="00861733"/>
    <w:rsid w:val="00861A2E"/>
    <w:rsid w:val="00862C1C"/>
    <w:rsid w:val="00862CEB"/>
    <w:rsid w:val="00863AA4"/>
    <w:rsid w:val="00863DDF"/>
    <w:rsid w:val="0086465D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388C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39C6"/>
    <w:rsid w:val="008942A7"/>
    <w:rsid w:val="00896403"/>
    <w:rsid w:val="0089686D"/>
    <w:rsid w:val="00896F25"/>
    <w:rsid w:val="00896F9E"/>
    <w:rsid w:val="00897EA1"/>
    <w:rsid w:val="008A030C"/>
    <w:rsid w:val="008A084C"/>
    <w:rsid w:val="008A3088"/>
    <w:rsid w:val="008A3DB3"/>
    <w:rsid w:val="008A5B08"/>
    <w:rsid w:val="008A6284"/>
    <w:rsid w:val="008A62A7"/>
    <w:rsid w:val="008A6434"/>
    <w:rsid w:val="008A6BA8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1A09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46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8B2"/>
    <w:rsid w:val="008E3D10"/>
    <w:rsid w:val="008E5DE8"/>
    <w:rsid w:val="008E64B5"/>
    <w:rsid w:val="008E6701"/>
    <w:rsid w:val="008E7A51"/>
    <w:rsid w:val="008F01C4"/>
    <w:rsid w:val="008F030F"/>
    <w:rsid w:val="008F0AB8"/>
    <w:rsid w:val="008F1F22"/>
    <w:rsid w:val="008F3926"/>
    <w:rsid w:val="008F471B"/>
    <w:rsid w:val="008F545A"/>
    <w:rsid w:val="008F57CF"/>
    <w:rsid w:val="008F6A51"/>
    <w:rsid w:val="008F6AC8"/>
    <w:rsid w:val="0090165C"/>
    <w:rsid w:val="009033B5"/>
    <w:rsid w:val="009066F7"/>
    <w:rsid w:val="0090789F"/>
    <w:rsid w:val="00907CDB"/>
    <w:rsid w:val="00907D0D"/>
    <w:rsid w:val="0091070F"/>
    <w:rsid w:val="00911005"/>
    <w:rsid w:val="00911180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7EDD"/>
    <w:rsid w:val="009404EC"/>
    <w:rsid w:val="00940C37"/>
    <w:rsid w:val="00940EE2"/>
    <w:rsid w:val="00941007"/>
    <w:rsid w:val="00941491"/>
    <w:rsid w:val="00941D51"/>
    <w:rsid w:val="00942708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EB7"/>
    <w:rsid w:val="00957375"/>
    <w:rsid w:val="009577A3"/>
    <w:rsid w:val="00957B58"/>
    <w:rsid w:val="00957F10"/>
    <w:rsid w:val="00960AD0"/>
    <w:rsid w:val="00964660"/>
    <w:rsid w:val="00964667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7062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B0B47"/>
    <w:rsid w:val="009B0E3F"/>
    <w:rsid w:val="009B0F48"/>
    <w:rsid w:val="009B1141"/>
    <w:rsid w:val="009B3382"/>
    <w:rsid w:val="009B3478"/>
    <w:rsid w:val="009B46A4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1DFC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20C6"/>
    <w:rsid w:val="00A02CA8"/>
    <w:rsid w:val="00A02F1A"/>
    <w:rsid w:val="00A02F9B"/>
    <w:rsid w:val="00A05399"/>
    <w:rsid w:val="00A0547A"/>
    <w:rsid w:val="00A06CF5"/>
    <w:rsid w:val="00A1054A"/>
    <w:rsid w:val="00A105F8"/>
    <w:rsid w:val="00A10E1E"/>
    <w:rsid w:val="00A12B86"/>
    <w:rsid w:val="00A14CBE"/>
    <w:rsid w:val="00A14D7C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544B"/>
    <w:rsid w:val="00A25833"/>
    <w:rsid w:val="00A25C2F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603C"/>
    <w:rsid w:val="00A5645A"/>
    <w:rsid w:val="00A60C26"/>
    <w:rsid w:val="00A62BF1"/>
    <w:rsid w:val="00A62C64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4AA"/>
    <w:rsid w:val="00A8672B"/>
    <w:rsid w:val="00A87584"/>
    <w:rsid w:val="00A877C7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45E"/>
    <w:rsid w:val="00AB4A50"/>
    <w:rsid w:val="00AB5CB0"/>
    <w:rsid w:val="00AB6042"/>
    <w:rsid w:val="00AB6E6D"/>
    <w:rsid w:val="00AB7499"/>
    <w:rsid w:val="00AB7CB9"/>
    <w:rsid w:val="00AC14B9"/>
    <w:rsid w:val="00AC2BF0"/>
    <w:rsid w:val="00AC2F49"/>
    <w:rsid w:val="00AC3BA6"/>
    <w:rsid w:val="00AC44C1"/>
    <w:rsid w:val="00AC535C"/>
    <w:rsid w:val="00AC5F90"/>
    <w:rsid w:val="00AD0537"/>
    <w:rsid w:val="00AD07FE"/>
    <w:rsid w:val="00AD0BD6"/>
    <w:rsid w:val="00AD162A"/>
    <w:rsid w:val="00AD21B7"/>
    <w:rsid w:val="00AD3472"/>
    <w:rsid w:val="00AD3B0F"/>
    <w:rsid w:val="00AD3E93"/>
    <w:rsid w:val="00AD4E26"/>
    <w:rsid w:val="00AD5878"/>
    <w:rsid w:val="00AD632D"/>
    <w:rsid w:val="00AD63E1"/>
    <w:rsid w:val="00AD75B9"/>
    <w:rsid w:val="00AD78B5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35EE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33F9"/>
    <w:rsid w:val="00B43BC5"/>
    <w:rsid w:val="00B4694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BCE"/>
    <w:rsid w:val="00B56CEA"/>
    <w:rsid w:val="00B6025A"/>
    <w:rsid w:val="00B60428"/>
    <w:rsid w:val="00B6050B"/>
    <w:rsid w:val="00B61C6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2C75"/>
    <w:rsid w:val="00B8432A"/>
    <w:rsid w:val="00B84430"/>
    <w:rsid w:val="00B84E3D"/>
    <w:rsid w:val="00B858FE"/>
    <w:rsid w:val="00B872D6"/>
    <w:rsid w:val="00B9042C"/>
    <w:rsid w:val="00B93603"/>
    <w:rsid w:val="00B93F5E"/>
    <w:rsid w:val="00B9420D"/>
    <w:rsid w:val="00B9434E"/>
    <w:rsid w:val="00B94AB5"/>
    <w:rsid w:val="00B95FAB"/>
    <w:rsid w:val="00B966B4"/>
    <w:rsid w:val="00B96D33"/>
    <w:rsid w:val="00B973FB"/>
    <w:rsid w:val="00B9791C"/>
    <w:rsid w:val="00BA1071"/>
    <w:rsid w:val="00BA2B10"/>
    <w:rsid w:val="00BA564D"/>
    <w:rsid w:val="00BA60F8"/>
    <w:rsid w:val="00BA71BD"/>
    <w:rsid w:val="00BB0081"/>
    <w:rsid w:val="00BB1043"/>
    <w:rsid w:val="00BB30DF"/>
    <w:rsid w:val="00BB3BF0"/>
    <w:rsid w:val="00BB618B"/>
    <w:rsid w:val="00BB70AC"/>
    <w:rsid w:val="00BB7178"/>
    <w:rsid w:val="00BB76B6"/>
    <w:rsid w:val="00BC27B0"/>
    <w:rsid w:val="00BC283C"/>
    <w:rsid w:val="00BC50F7"/>
    <w:rsid w:val="00BC57BF"/>
    <w:rsid w:val="00BC5D6D"/>
    <w:rsid w:val="00BC6172"/>
    <w:rsid w:val="00BC692D"/>
    <w:rsid w:val="00BC7C29"/>
    <w:rsid w:val="00BD18B1"/>
    <w:rsid w:val="00BD39D7"/>
    <w:rsid w:val="00BD465D"/>
    <w:rsid w:val="00BD55AF"/>
    <w:rsid w:val="00BE009D"/>
    <w:rsid w:val="00BE014A"/>
    <w:rsid w:val="00BE03B1"/>
    <w:rsid w:val="00BE0BC3"/>
    <w:rsid w:val="00BE0FDC"/>
    <w:rsid w:val="00BE3F31"/>
    <w:rsid w:val="00BE415C"/>
    <w:rsid w:val="00BE60DA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042"/>
    <w:rsid w:val="00C033FF"/>
    <w:rsid w:val="00C03B8E"/>
    <w:rsid w:val="00C0479F"/>
    <w:rsid w:val="00C059CE"/>
    <w:rsid w:val="00C0762F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3176"/>
    <w:rsid w:val="00C338E7"/>
    <w:rsid w:val="00C341C0"/>
    <w:rsid w:val="00C36E9A"/>
    <w:rsid w:val="00C3764E"/>
    <w:rsid w:val="00C4269D"/>
    <w:rsid w:val="00C4277D"/>
    <w:rsid w:val="00C43D48"/>
    <w:rsid w:val="00C4489C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0B0A"/>
    <w:rsid w:val="00C81A4F"/>
    <w:rsid w:val="00C820E8"/>
    <w:rsid w:val="00C82C17"/>
    <w:rsid w:val="00C82FE7"/>
    <w:rsid w:val="00C854FD"/>
    <w:rsid w:val="00C8577D"/>
    <w:rsid w:val="00C85ADE"/>
    <w:rsid w:val="00C85BA8"/>
    <w:rsid w:val="00C85EB5"/>
    <w:rsid w:val="00C864A9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6749"/>
    <w:rsid w:val="00CC7214"/>
    <w:rsid w:val="00CC7C08"/>
    <w:rsid w:val="00CD0C80"/>
    <w:rsid w:val="00CD1909"/>
    <w:rsid w:val="00CD4BCE"/>
    <w:rsid w:val="00CD4E00"/>
    <w:rsid w:val="00CD52D3"/>
    <w:rsid w:val="00CD5667"/>
    <w:rsid w:val="00CD661D"/>
    <w:rsid w:val="00CD733F"/>
    <w:rsid w:val="00CD7A90"/>
    <w:rsid w:val="00CE1ABC"/>
    <w:rsid w:val="00CE27F3"/>
    <w:rsid w:val="00CE3174"/>
    <w:rsid w:val="00CE43BD"/>
    <w:rsid w:val="00CE51C5"/>
    <w:rsid w:val="00CE6A12"/>
    <w:rsid w:val="00CE7CBF"/>
    <w:rsid w:val="00CF0363"/>
    <w:rsid w:val="00CF07CF"/>
    <w:rsid w:val="00CF0CD5"/>
    <w:rsid w:val="00CF1122"/>
    <w:rsid w:val="00CF127D"/>
    <w:rsid w:val="00CF561D"/>
    <w:rsid w:val="00D00070"/>
    <w:rsid w:val="00D00BD0"/>
    <w:rsid w:val="00D013B6"/>
    <w:rsid w:val="00D0289E"/>
    <w:rsid w:val="00D02BFB"/>
    <w:rsid w:val="00D03754"/>
    <w:rsid w:val="00D03F5E"/>
    <w:rsid w:val="00D04186"/>
    <w:rsid w:val="00D045AC"/>
    <w:rsid w:val="00D04F06"/>
    <w:rsid w:val="00D07BF0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FE3"/>
    <w:rsid w:val="00D2058C"/>
    <w:rsid w:val="00D207E4"/>
    <w:rsid w:val="00D20E3A"/>
    <w:rsid w:val="00D2314B"/>
    <w:rsid w:val="00D23F1D"/>
    <w:rsid w:val="00D244F1"/>
    <w:rsid w:val="00D25FFD"/>
    <w:rsid w:val="00D276F1"/>
    <w:rsid w:val="00D32C0C"/>
    <w:rsid w:val="00D33088"/>
    <w:rsid w:val="00D348B0"/>
    <w:rsid w:val="00D34947"/>
    <w:rsid w:val="00D34A4F"/>
    <w:rsid w:val="00D3664C"/>
    <w:rsid w:val="00D366BD"/>
    <w:rsid w:val="00D3687F"/>
    <w:rsid w:val="00D4041C"/>
    <w:rsid w:val="00D40A31"/>
    <w:rsid w:val="00D40ACA"/>
    <w:rsid w:val="00D43329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1152"/>
    <w:rsid w:val="00D81538"/>
    <w:rsid w:val="00D82045"/>
    <w:rsid w:val="00D8216E"/>
    <w:rsid w:val="00D82361"/>
    <w:rsid w:val="00D840F4"/>
    <w:rsid w:val="00D8452E"/>
    <w:rsid w:val="00D84AA9"/>
    <w:rsid w:val="00D84B29"/>
    <w:rsid w:val="00D85324"/>
    <w:rsid w:val="00D85ED8"/>
    <w:rsid w:val="00D87C47"/>
    <w:rsid w:val="00D90A5B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7AE"/>
    <w:rsid w:val="00DB1223"/>
    <w:rsid w:val="00DB2956"/>
    <w:rsid w:val="00DB487F"/>
    <w:rsid w:val="00DB6247"/>
    <w:rsid w:val="00DB7FAE"/>
    <w:rsid w:val="00DC1FC8"/>
    <w:rsid w:val="00DC2CAB"/>
    <w:rsid w:val="00DC3CC6"/>
    <w:rsid w:val="00DC50D4"/>
    <w:rsid w:val="00DC555A"/>
    <w:rsid w:val="00DC5CA3"/>
    <w:rsid w:val="00DC604D"/>
    <w:rsid w:val="00DC6927"/>
    <w:rsid w:val="00DC6FEF"/>
    <w:rsid w:val="00DD0576"/>
    <w:rsid w:val="00DD09E5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F3BBD"/>
    <w:rsid w:val="00DF5083"/>
    <w:rsid w:val="00DF5087"/>
    <w:rsid w:val="00DF655E"/>
    <w:rsid w:val="00E012B8"/>
    <w:rsid w:val="00E01CF0"/>
    <w:rsid w:val="00E020CC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BC2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1EED"/>
    <w:rsid w:val="00E61F6B"/>
    <w:rsid w:val="00E63A86"/>
    <w:rsid w:val="00E63CDA"/>
    <w:rsid w:val="00E6442F"/>
    <w:rsid w:val="00E64922"/>
    <w:rsid w:val="00E649AC"/>
    <w:rsid w:val="00E66659"/>
    <w:rsid w:val="00E70B03"/>
    <w:rsid w:val="00E70EDE"/>
    <w:rsid w:val="00E7135D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6FF"/>
    <w:rsid w:val="00E84C48"/>
    <w:rsid w:val="00E91332"/>
    <w:rsid w:val="00E91477"/>
    <w:rsid w:val="00E9174C"/>
    <w:rsid w:val="00E92368"/>
    <w:rsid w:val="00E92D87"/>
    <w:rsid w:val="00E940ED"/>
    <w:rsid w:val="00E94730"/>
    <w:rsid w:val="00E94855"/>
    <w:rsid w:val="00E951A8"/>
    <w:rsid w:val="00E9582E"/>
    <w:rsid w:val="00E95E2E"/>
    <w:rsid w:val="00E95EB9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CF7"/>
    <w:rsid w:val="00EB5118"/>
    <w:rsid w:val="00EB6C57"/>
    <w:rsid w:val="00EB7B56"/>
    <w:rsid w:val="00EC0BFA"/>
    <w:rsid w:val="00EC103C"/>
    <w:rsid w:val="00EC4B73"/>
    <w:rsid w:val="00EC603C"/>
    <w:rsid w:val="00EC74CD"/>
    <w:rsid w:val="00EC781D"/>
    <w:rsid w:val="00ED0809"/>
    <w:rsid w:val="00ED0D5F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3466"/>
    <w:rsid w:val="00EE3D9B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1707"/>
    <w:rsid w:val="00F2300D"/>
    <w:rsid w:val="00F23A79"/>
    <w:rsid w:val="00F268D9"/>
    <w:rsid w:val="00F302C0"/>
    <w:rsid w:val="00F33148"/>
    <w:rsid w:val="00F33CB8"/>
    <w:rsid w:val="00F34CBB"/>
    <w:rsid w:val="00F34EB9"/>
    <w:rsid w:val="00F352E3"/>
    <w:rsid w:val="00F35CFF"/>
    <w:rsid w:val="00F36633"/>
    <w:rsid w:val="00F36AFD"/>
    <w:rsid w:val="00F36C8E"/>
    <w:rsid w:val="00F3745E"/>
    <w:rsid w:val="00F37C8E"/>
    <w:rsid w:val="00F40066"/>
    <w:rsid w:val="00F41130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6862"/>
    <w:rsid w:val="00F86B93"/>
    <w:rsid w:val="00F86D94"/>
    <w:rsid w:val="00F87108"/>
    <w:rsid w:val="00F90715"/>
    <w:rsid w:val="00F9097C"/>
    <w:rsid w:val="00F9114B"/>
    <w:rsid w:val="00F9248A"/>
    <w:rsid w:val="00F92C82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03B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E0AEA"/>
    <w:rsid w:val="00FE1AFF"/>
    <w:rsid w:val="00FE2325"/>
    <w:rsid w:val="00FE37EF"/>
    <w:rsid w:val="00FE54AF"/>
    <w:rsid w:val="00FE5627"/>
    <w:rsid w:val="00FE64B9"/>
    <w:rsid w:val="00FE7770"/>
    <w:rsid w:val="00FF053C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EFF271"/>
  <w15:docId w15:val="{D3E0D448-046F-4C78-BCE7-DE998E97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basedOn w:val="Normaali"/>
    <w:semiHidden/>
    <w:rsid w:val="00994A79"/>
    <w:pPr>
      <w:spacing w:line="240" w:lineRule="auto"/>
    </w:pPr>
    <w:rPr>
      <w:rFonts w:eastAsia="Times New Roman"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023CAE"/>
    <w:rPr>
      <w:rFonts w:eastAsia="Times New Roman"/>
      <w:szCs w:val="24"/>
      <w:lang w:eastAsia="fi-FI"/>
    </w:rPr>
  </w:style>
  <w:style w:type="paragraph" w:customStyle="1" w:styleId="LL1Otsikkotaso">
    <w:name w:val="LL1Otsikkotaso"/>
    <w:next w:val="LLPerustelujenkappalejako"/>
    <w:rsid w:val="00023CAE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023CAE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3Otsikkotaso">
    <w:name w:val="LL3Otsikkotaso"/>
    <w:next w:val="LLPerustelujenkappalejako"/>
    <w:rsid w:val="0039336F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Potsikko">
    <w:name w:val="LLPääotsikko"/>
    <w:next w:val="LLPerustelujenkappalejako"/>
    <w:rsid w:val="00D84AA9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44540\AppData\Roaming\Microsoft\Mallit\VN_ase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42A54129CD451A852A5735C71B8D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10AA55-F837-410D-AD16-68AFB66E3335}"/>
      </w:docPartPr>
      <w:docPartBody>
        <w:p w:rsidR="00FD1740" w:rsidRDefault="00FD1740">
          <w:pPr>
            <w:pStyle w:val="7B42A54129CD451A852A5735C71B8D36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1EBD1D003CD48E1856D6D83D15AA0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7BA88F-951A-40D2-8FD2-7BA49B03509A}"/>
      </w:docPartPr>
      <w:docPartBody>
        <w:p w:rsidR="00FD1740" w:rsidRDefault="00FD1740">
          <w:pPr>
            <w:pStyle w:val="D1EBD1D003CD48E1856D6D83D15AA0D3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40E3322BA5E74FE283C96B98D6830B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E3A2A0-C04D-4594-9EFF-935A57E8A668}"/>
      </w:docPartPr>
      <w:docPartBody>
        <w:p w:rsidR="00FD1740" w:rsidRDefault="00FD1740">
          <w:pPr>
            <w:pStyle w:val="40E3322BA5E74FE283C96B98D6830B23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B502D6BAE6064DDA8F722FEE63A601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E6ABE1-2A1B-4973-A5B8-A105436EA72C}"/>
      </w:docPartPr>
      <w:docPartBody>
        <w:p w:rsidR="0027452A" w:rsidRDefault="0027452A" w:rsidP="0027452A">
          <w:pPr>
            <w:pStyle w:val="B502D6BAE6064DDA8F722FEE63A601F6"/>
          </w:pPr>
          <w:r>
            <w:rPr>
              <w:rStyle w:val="Paikkamerkkiteksti"/>
              <w:lang w:val="en-US"/>
            </w:rPr>
            <w:t>Asetusluonnos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CA"/>
    <w:rsid w:val="000D6478"/>
    <w:rsid w:val="001004FD"/>
    <w:rsid w:val="0027452A"/>
    <w:rsid w:val="003465F1"/>
    <w:rsid w:val="003A36E1"/>
    <w:rsid w:val="00602D16"/>
    <w:rsid w:val="00637BEF"/>
    <w:rsid w:val="006F78CA"/>
    <w:rsid w:val="009F1DFC"/>
    <w:rsid w:val="00B56CEA"/>
    <w:rsid w:val="00B82C75"/>
    <w:rsid w:val="00D03F5E"/>
    <w:rsid w:val="00D2058C"/>
    <w:rsid w:val="00F9248A"/>
    <w:rsid w:val="00F92C82"/>
    <w:rsid w:val="00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7452A"/>
    <w:rPr>
      <w:color w:val="808080"/>
    </w:rPr>
  </w:style>
  <w:style w:type="paragraph" w:customStyle="1" w:styleId="7B42A54129CD451A852A5735C71B8D36">
    <w:name w:val="7B42A54129CD451A852A5735C71B8D36"/>
  </w:style>
  <w:style w:type="paragraph" w:customStyle="1" w:styleId="D1EBD1D003CD48E1856D6D83D15AA0D3">
    <w:name w:val="D1EBD1D003CD48E1856D6D83D15AA0D3"/>
  </w:style>
  <w:style w:type="paragraph" w:customStyle="1" w:styleId="40E3322BA5E74FE283C96B98D6830B23">
    <w:name w:val="40E3322BA5E74FE283C96B98D6830B23"/>
  </w:style>
  <w:style w:type="paragraph" w:customStyle="1" w:styleId="B502D6BAE6064DDA8F722FEE63A601F6">
    <w:name w:val="B502D6BAE6064DDA8F722FEE63A601F6"/>
    <w:rsid w:val="00274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B093-2A0C-489D-AF69-8CA579A8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VN_asetus.dotx</Template>
  <TotalTime>465</TotalTime>
  <Pages>5</Pages>
  <Words>1316</Words>
  <Characters>9014</Characters>
  <Application>Microsoft Office Word</Application>
  <DocSecurity>0</DocSecurity>
  <Lines>75</Lines>
  <Paragraphs>20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Valtioneuvoston asetus radiotaajuuksien käytöstä ja taajuussuunnitelmasta annetun valtioneuvoston asetuksen muuttamisesta</vt:lpstr>
      <vt:lpstr>1</vt:lpstr>
    </vt:vector>
  </TitlesOfParts>
  <Company>VM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Valtioneuvoston asetus radiotaajuuksien käytöstä ja taajuussuunnitelmasta annetun valtioneuvoston asetuksen muuttamisesta</dc:title>
  <dc:subject/>
  <dc:creator>Pöllänen Jenna (LVM)</dc:creator>
  <cp:keywords/>
  <dc:description/>
  <cp:lastModifiedBy>Pöllänen Jenna (LVM)</cp:lastModifiedBy>
  <cp:revision>30</cp:revision>
  <cp:lastPrinted>2017-12-04T10:02:00Z</cp:lastPrinted>
  <dcterms:created xsi:type="dcterms:W3CDTF">2025-10-14T11:56:00Z</dcterms:created>
  <dcterms:modified xsi:type="dcterms:W3CDTF">2025-11-04T13:07:00Z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VN_asetus</vt:lpwstr>
  </property>
</Properties>
</file>