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311" w:rsidRPr="001576F0" w:rsidRDefault="004A268C" w:rsidP="00F15311">
      <w:pPr>
        <w:rPr>
          <w:sz w:val="22"/>
          <w:szCs w:val="22"/>
        </w:rPr>
      </w:pPr>
      <w:bookmarkStart w:id="0" w:name="_GoBack"/>
      <w:bookmarkEnd w:id="0"/>
      <w:r w:rsidRPr="001576F0">
        <w:rPr>
          <w:sz w:val="22"/>
          <w:szCs w:val="22"/>
        </w:rPr>
        <w:t>MTK Pohjois-Savo</w:t>
      </w:r>
    </w:p>
    <w:p w:rsidR="006B3485" w:rsidRPr="001576F0" w:rsidRDefault="006B3485" w:rsidP="004A268C">
      <w:pPr>
        <w:rPr>
          <w:sz w:val="22"/>
          <w:szCs w:val="22"/>
        </w:rPr>
      </w:pPr>
      <w:r w:rsidRPr="001576F0">
        <w:rPr>
          <w:sz w:val="22"/>
          <w:szCs w:val="22"/>
        </w:rPr>
        <w:t>Minna Canthin katu 11 B                                                                   </w:t>
      </w:r>
    </w:p>
    <w:p w:rsidR="006B3485" w:rsidRPr="001576F0" w:rsidRDefault="004A268C" w:rsidP="006B3485">
      <w:pPr>
        <w:rPr>
          <w:sz w:val="22"/>
          <w:szCs w:val="22"/>
        </w:rPr>
      </w:pPr>
      <w:r w:rsidRPr="001576F0">
        <w:rPr>
          <w:sz w:val="22"/>
          <w:szCs w:val="22"/>
        </w:rPr>
        <w:t>70100 KUOPIO</w:t>
      </w:r>
    </w:p>
    <w:p w:rsidR="006B3485" w:rsidRDefault="006B3485" w:rsidP="006B3485">
      <w:pPr>
        <w:rPr>
          <w:sz w:val="22"/>
          <w:szCs w:val="22"/>
        </w:rPr>
      </w:pPr>
    </w:p>
    <w:p w:rsidR="00DA150C" w:rsidRPr="001576F0" w:rsidRDefault="00DA150C" w:rsidP="006B3485">
      <w:pPr>
        <w:rPr>
          <w:b/>
          <w:sz w:val="22"/>
          <w:szCs w:val="22"/>
        </w:rPr>
      </w:pPr>
      <w:r w:rsidRPr="001576F0">
        <w:rPr>
          <w:b/>
          <w:sz w:val="22"/>
          <w:szCs w:val="22"/>
        </w:rPr>
        <w:t>LIIKENNE</w:t>
      </w:r>
      <w:r w:rsidR="00AC2A9B">
        <w:rPr>
          <w:b/>
          <w:sz w:val="22"/>
          <w:szCs w:val="22"/>
        </w:rPr>
        <w:t>-</w:t>
      </w:r>
      <w:r w:rsidRPr="001576F0">
        <w:rPr>
          <w:b/>
          <w:sz w:val="22"/>
          <w:szCs w:val="22"/>
        </w:rPr>
        <w:t xml:space="preserve"> JA VIESTINTÄMINISTERIÖ</w:t>
      </w:r>
    </w:p>
    <w:p w:rsidR="001576F0" w:rsidRDefault="001576F0" w:rsidP="00DA150C">
      <w:pPr>
        <w:rPr>
          <w:b/>
          <w:bCs/>
          <w:sz w:val="22"/>
          <w:szCs w:val="22"/>
        </w:rPr>
      </w:pPr>
    </w:p>
    <w:p w:rsidR="00DA150C" w:rsidRPr="001576F0" w:rsidRDefault="00DA150C" w:rsidP="00DA150C">
      <w:pPr>
        <w:rPr>
          <w:b/>
          <w:bCs/>
          <w:sz w:val="22"/>
          <w:szCs w:val="22"/>
        </w:rPr>
      </w:pPr>
      <w:r w:rsidRPr="001576F0">
        <w:rPr>
          <w:b/>
          <w:bCs/>
          <w:sz w:val="22"/>
          <w:szCs w:val="22"/>
        </w:rPr>
        <w:t xml:space="preserve">LAUSUNTO LUONNOKSESTA YKSITYISTIELAIKSI </w:t>
      </w:r>
    </w:p>
    <w:p w:rsidR="00DA150C" w:rsidRPr="001576F0" w:rsidRDefault="001576F0" w:rsidP="00DA150C">
      <w:pPr>
        <w:rPr>
          <w:b/>
          <w:bCs/>
          <w:sz w:val="22"/>
          <w:szCs w:val="22"/>
        </w:rPr>
      </w:pPr>
      <w:r w:rsidRPr="001576F0">
        <w:rPr>
          <w:b/>
          <w:bCs/>
          <w:sz w:val="22"/>
          <w:szCs w:val="22"/>
        </w:rPr>
        <w:tab/>
      </w:r>
      <w:r w:rsidRPr="001576F0">
        <w:rPr>
          <w:b/>
          <w:bCs/>
          <w:sz w:val="22"/>
          <w:szCs w:val="22"/>
        </w:rPr>
        <w:tab/>
      </w:r>
      <w:r w:rsidRPr="001576F0">
        <w:rPr>
          <w:b/>
          <w:bCs/>
          <w:sz w:val="22"/>
          <w:szCs w:val="22"/>
        </w:rPr>
        <w:tab/>
      </w:r>
    </w:p>
    <w:p w:rsidR="00DA150C" w:rsidRPr="001576F0" w:rsidRDefault="00DA150C" w:rsidP="00DA150C">
      <w:pPr>
        <w:rPr>
          <w:bCs/>
          <w:sz w:val="22"/>
          <w:szCs w:val="22"/>
        </w:rPr>
      </w:pPr>
      <w:r w:rsidRPr="001576F0">
        <w:rPr>
          <w:bCs/>
          <w:sz w:val="22"/>
          <w:szCs w:val="22"/>
        </w:rPr>
        <w:t>Liikenne- ja viestintäministeriö on pyytänyt lausuntoa luonnoksesta hallituksen esitykseksi yksityistielaista.</w:t>
      </w:r>
      <w:r w:rsidR="001576F0" w:rsidRPr="001576F0">
        <w:rPr>
          <w:bCs/>
          <w:sz w:val="22"/>
          <w:szCs w:val="22"/>
        </w:rPr>
        <w:t xml:space="preserve"> </w:t>
      </w:r>
      <w:r w:rsidRPr="001576F0">
        <w:rPr>
          <w:bCs/>
          <w:sz w:val="22"/>
          <w:szCs w:val="22"/>
        </w:rPr>
        <w:t>MTK Pohjois-Savo ry kiittää mahdollisuudesta antaa lausuntonsa.</w:t>
      </w:r>
    </w:p>
    <w:p w:rsidR="00DA150C" w:rsidRPr="001576F0" w:rsidRDefault="00DA150C" w:rsidP="00DA150C">
      <w:pPr>
        <w:rPr>
          <w:bCs/>
          <w:sz w:val="22"/>
          <w:szCs w:val="22"/>
        </w:rPr>
      </w:pPr>
    </w:p>
    <w:p w:rsidR="0060533D" w:rsidRPr="001576F0" w:rsidRDefault="00DA150C" w:rsidP="00DA150C">
      <w:pPr>
        <w:rPr>
          <w:bCs/>
          <w:sz w:val="22"/>
          <w:szCs w:val="22"/>
        </w:rPr>
      </w:pPr>
      <w:r w:rsidRPr="001576F0">
        <w:rPr>
          <w:bCs/>
          <w:sz w:val="22"/>
          <w:szCs w:val="22"/>
        </w:rPr>
        <w:t>Yksityistielain kokonaisuudistuksen käynnistäminen on tärkeä asia. Yksityistieverkon merkitys on tärkeä maaseudun elinkeinoille ja asumiselle. Nykyinen yksityistielaki kaipaa yksinkertaistamista ja nykyaikaistamista. Yksityistielain uudistamisessa tulee huomioida, että myös tulevaisuudessa yksityistienpito voidaan hoitaa edullisesti tienkäyttäjien yhteistoiminnan kautta. Uudistuksessa ei saa lisätä hallinnollisia kustannuksia tai velvoitteita.</w:t>
      </w:r>
      <w:r w:rsidR="00F44049" w:rsidRPr="001576F0">
        <w:rPr>
          <w:bCs/>
          <w:sz w:val="22"/>
          <w:szCs w:val="22"/>
        </w:rPr>
        <w:t xml:space="preserve"> </w:t>
      </w:r>
      <w:r w:rsidR="0060533D" w:rsidRPr="001576F0">
        <w:rPr>
          <w:bCs/>
          <w:sz w:val="22"/>
          <w:szCs w:val="22"/>
        </w:rPr>
        <w:t>Yksityistienpitoon tulee saada riittävä taloudellinen pohja, jolla pystytään huolehtimaan</w:t>
      </w:r>
      <w:r w:rsidR="00F44049" w:rsidRPr="001576F0">
        <w:rPr>
          <w:bCs/>
          <w:sz w:val="22"/>
          <w:szCs w:val="22"/>
        </w:rPr>
        <w:t xml:space="preserve"> yksityisteiden</w:t>
      </w:r>
      <w:r w:rsidR="0060533D" w:rsidRPr="001576F0">
        <w:rPr>
          <w:bCs/>
          <w:sz w:val="22"/>
          <w:szCs w:val="22"/>
        </w:rPr>
        <w:t xml:space="preserve"> hoidoss</w:t>
      </w:r>
      <w:r w:rsidR="00F44049" w:rsidRPr="001576F0">
        <w:rPr>
          <w:bCs/>
          <w:sz w:val="22"/>
          <w:szCs w:val="22"/>
        </w:rPr>
        <w:t xml:space="preserve">a </w:t>
      </w:r>
      <w:r w:rsidR="0060533D" w:rsidRPr="001576F0">
        <w:rPr>
          <w:bCs/>
          <w:sz w:val="22"/>
          <w:szCs w:val="22"/>
        </w:rPr>
        <w:t>ja perusparannuksissa myös maaseudun elinkeinojen vaatimalla tasolla.</w:t>
      </w:r>
      <w:r w:rsidR="00F44049" w:rsidRPr="001576F0">
        <w:rPr>
          <w:bCs/>
          <w:sz w:val="22"/>
          <w:szCs w:val="22"/>
        </w:rPr>
        <w:t xml:space="preserve"> </w:t>
      </w:r>
    </w:p>
    <w:p w:rsidR="0060533D" w:rsidRPr="001576F0" w:rsidRDefault="0060533D" w:rsidP="00DA150C">
      <w:pPr>
        <w:rPr>
          <w:bCs/>
          <w:sz w:val="22"/>
          <w:szCs w:val="22"/>
        </w:rPr>
      </w:pPr>
    </w:p>
    <w:p w:rsidR="00F44049" w:rsidRPr="001576F0" w:rsidRDefault="00DA150C" w:rsidP="00DA150C">
      <w:pPr>
        <w:rPr>
          <w:bCs/>
          <w:sz w:val="22"/>
          <w:szCs w:val="22"/>
        </w:rPr>
      </w:pPr>
      <w:r w:rsidRPr="001576F0">
        <w:rPr>
          <w:bCs/>
          <w:sz w:val="22"/>
          <w:szCs w:val="22"/>
        </w:rPr>
        <w:t>MTK Pohjois-Savo</w:t>
      </w:r>
      <w:r w:rsidR="00F44049" w:rsidRPr="001576F0">
        <w:rPr>
          <w:bCs/>
          <w:sz w:val="22"/>
          <w:szCs w:val="22"/>
        </w:rPr>
        <w:t xml:space="preserve"> lausuu esitysluonnoksen yksityiskohdista seuraavaa.</w:t>
      </w:r>
      <w:r w:rsidRPr="001576F0">
        <w:rPr>
          <w:bCs/>
          <w:sz w:val="22"/>
          <w:szCs w:val="22"/>
        </w:rPr>
        <w:t xml:space="preserve">  keskeisimpiä yksityiskohtia </w:t>
      </w:r>
    </w:p>
    <w:p w:rsidR="00DA150C" w:rsidRPr="001576F0" w:rsidRDefault="00DA150C" w:rsidP="00DA150C">
      <w:pPr>
        <w:rPr>
          <w:sz w:val="22"/>
          <w:szCs w:val="22"/>
        </w:rPr>
      </w:pPr>
      <w:r w:rsidRPr="001576F0">
        <w:rPr>
          <w:bCs/>
          <w:sz w:val="22"/>
          <w:szCs w:val="22"/>
        </w:rPr>
        <w:t xml:space="preserve"> </w:t>
      </w:r>
      <w:r w:rsidRPr="001576F0">
        <w:rPr>
          <w:bCs/>
          <w:sz w:val="22"/>
          <w:szCs w:val="22"/>
        </w:rPr>
        <w:br/>
      </w:r>
      <w:r w:rsidR="00F44049" w:rsidRPr="001576F0">
        <w:rPr>
          <w:sz w:val="22"/>
          <w:szCs w:val="22"/>
        </w:rPr>
        <w:t>Esteellisyyteen on esitetty merkittäviä muutoksia ja tiukempaa linjaa. Vähäisenkin laskutettavan työsuorituksen johtaminen jääviyteen tiekunnan kokouksessa toisi suuria ongelmia tiekuntien toimintaan. Pienistä tiekunnista loppuu aktiiviset jäsenet. Esteellisyys ei ole ollut ongelma tiekunnissa. Jääviyden ulkopuolelle pitää vähäarvoiset normaalit kunnossapitoon kuuluvat tehtävät.</w:t>
      </w:r>
    </w:p>
    <w:p w:rsidR="00F44049" w:rsidRPr="001576F0" w:rsidRDefault="00F44049" w:rsidP="00DA150C">
      <w:pPr>
        <w:rPr>
          <w:sz w:val="22"/>
          <w:szCs w:val="22"/>
        </w:rPr>
      </w:pPr>
    </w:p>
    <w:p w:rsidR="00F44049" w:rsidRPr="001576F0" w:rsidRDefault="00F44049" w:rsidP="00F44049">
      <w:pPr>
        <w:rPr>
          <w:sz w:val="22"/>
          <w:szCs w:val="22"/>
        </w:rPr>
      </w:pPr>
      <w:r w:rsidRPr="001576F0">
        <w:rPr>
          <w:sz w:val="22"/>
          <w:szCs w:val="22"/>
        </w:rPr>
        <w:t>Muutoksen hausta ei saa tehdä vaikeaa ja liian raskasta. Luonnoksessa tiekunnan päätöksien muutoksenhaun ensimmäiseksi ja ainoaksi portaaksi esitetään maaoikeutta. Se on turhan raskas ja hävinneelle osapuolelle erittäin kallis menettely. Tielautakunta tai selvitysmies tulee olla muutoksenhaku/ sovitteluportaana ennen maaoikeuteen viemistä.</w:t>
      </w:r>
      <w:r w:rsidR="00CE48CF" w:rsidRPr="001576F0">
        <w:rPr>
          <w:sz w:val="22"/>
          <w:szCs w:val="22"/>
        </w:rPr>
        <w:t xml:space="preserve"> Riita-asia voidaan antaa selvitysmiehen toimesta uudelle käsiteltäväksi tiekunnan kokoukselle.</w:t>
      </w:r>
      <w:r w:rsidR="00CE48CF" w:rsidRPr="001576F0">
        <w:rPr>
          <w:sz w:val="22"/>
          <w:szCs w:val="22"/>
        </w:rPr>
        <w:br/>
      </w:r>
      <w:r w:rsidR="00CE48CF" w:rsidRPr="001576F0">
        <w:rPr>
          <w:sz w:val="22"/>
          <w:szCs w:val="22"/>
        </w:rPr>
        <w:br/>
      </w:r>
      <w:r w:rsidRPr="001576F0">
        <w:rPr>
          <w:sz w:val="22"/>
          <w:szCs w:val="22"/>
        </w:rPr>
        <w:t>Korvaus aiemmin rakennetusta tiestä</w:t>
      </w:r>
      <w:r w:rsidR="00CE48CF" w:rsidRPr="001576F0">
        <w:rPr>
          <w:sz w:val="22"/>
          <w:szCs w:val="22"/>
        </w:rPr>
        <w:t xml:space="preserve"> on esityksessä 10 vuotta. Se tulee</w:t>
      </w:r>
      <w:r w:rsidRPr="001576F0">
        <w:rPr>
          <w:sz w:val="22"/>
          <w:szCs w:val="22"/>
        </w:rPr>
        <w:t xml:space="preserve"> säilyttää vähintään 15 vuodessa. </w:t>
      </w:r>
      <w:r w:rsidR="00CE48CF" w:rsidRPr="001576F0">
        <w:rPr>
          <w:sz w:val="22"/>
          <w:szCs w:val="22"/>
        </w:rPr>
        <w:br/>
      </w:r>
    </w:p>
    <w:p w:rsidR="005449A1" w:rsidRDefault="00CE48CF" w:rsidP="005449A1">
      <w:pPr>
        <w:rPr>
          <w:sz w:val="22"/>
          <w:szCs w:val="22"/>
        </w:rPr>
      </w:pPr>
      <w:r w:rsidRPr="001576F0">
        <w:rPr>
          <w:sz w:val="22"/>
          <w:szCs w:val="22"/>
        </w:rPr>
        <w:t>Kevyen liikenteen ohjaaminen yksityisteille pitää tarkastella huolella kustannusten jaon ja väylästön turvallisuuden ja laatuvaatimusten kannalta.</w:t>
      </w:r>
      <w:r w:rsidR="005449A1">
        <w:rPr>
          <w:sz w:val="22"/>
          <w:szCs w:val="22"/>
        </w:rPr>
        <w:t xml:space="preserve"> </w:t>
      </w:r>
    </w:p>
    <w:p w:rsidR="005449A1" w:rsidRDefault="005449A1" w:rsidP="005449A1">
      <w:pPr>
        <w:rPr>
          <w:sz w:val="22"/>
          <w:szCs w:val="22"/>
        </w:rPr>
      </w:pPr>
    </w:p>
    <w:p w:rsidR="005449A1" w:rsidRDefault="005449A1" w:rsidP="005449A1">
      <w:r>
        <w:rPr>
          <w:sz w:val="22"/>
          <w:szCs w:val="22"/>
        </w:rPr>
        <w:t>Tiestöä omassa liiketoiminnassaan hyödyntävät tahojen tulee myös osallistua kustannuksiin siksi esim. s</w:t>
      </w:r>
      <w:r w:rsidRPr="005449A1">
        <w:rPr>
          <w:sz w:val="22"/>
          <w:szCs w:val="22"/>
        </w:rPr>
        <w:t>ähköverkkoyhtiöille tulee säätää maksuvelvollisuus myös vähäisestä, mutta toistuvasta, verkoston huoltoajosta.</w:t>
      </w:r>
      <w:r w:rsidRPr="005449A1">
        <w:t xml:space="preserve"> </w:t>
      </w:r>
      <w:r>
        <w:t xml:space="preserve"> </w:t>
      </w:r>
    </w:p>
    <w:p w:rsidR="005449A1" w:rsidRDefault="005449A1" w:rsidP="005449A1"/>
    <w:p w:rsidR="005449A1" w:rsidRPr="005449A1" w:rsidRDefault="005449A1" w:rsidP="005449A1">
      <w:pPr>
        <w:rPr>
          <w:sz w:val="22"/>
          <w:szCs w:val="22"/>
        </w:rPr>
      </w:pPr>
      <w:r>
        <w:t>Maak</w:t>
      </w:r>
      <w:r w:rsidRPr="005449A1">
        <w:rPr>
          <w:sz w:val="22"/>
          <w:szCs w:val="22"/>
        </w:rPr>
        <w:t>aapeleiden sijoittamisessa tulisi huomioida, että niitä voi sijoittaa olemassa olev</w:t>
      </w:r>
      <w:r>
        <w:rPr>
          <w:sz w:val="22"/>
          <w:szCs w:val="22"/>
        </w:rPr>
        <w:t>aan tiehen tiekuntien luvalla. Maak</w:t>
      </w:r>
      <w:r w:rsidRPr="005449A1">
        <w:rPr>
          <w:sz w:val="22"/>
          <w:szCs w:val="22"/>
        </w:rPr>
        <w:t>aapeleita ei tule sijoittaa olemassa olevan tien ulkopuolelle.</w:t>
      </w:r>
    </w:p>
    <w:p w:rsidR="00CE48CF" w:rsidRPr="001576F0" w:rsidRDefault="00CE48CF" w:rsidP="00F44049">
      <w:pPr>
        <w:rPr>
          <w:sz w:val="22"/>
          <w:szCs w:val="22"/>
        </w:rPr>
      </w:pPr>
    </w:p>
    <w:p w:rsidR="00DA150C" w:rsidRPr="001576F0" w:rsidRDefault="00F44049" w:rsidP="00F44049">
      <w:pPr>
        <w:rPr>
          <w:sz w:val="22"/>
          <w:szCs w:val="22"/>
        </w:rPr>
      </w:pPr>
      <w:r w:rsidRPr="001576F0">
        <w:rPr>
          <w:sz w:val="22"/>
          <w:szCs w:val="22"/>
        </w:rPr>
        <w:t>A</w:t>
      </w:r>
      <w:r w:rsidR="00CE48CF" w:rsidRPr="001576F0">
        <w:rPr>
          <w:sz w:val="22"/>
          <w:szCs w:val="22"/>
        </w:rPr>
        <w:t>rvonlisäveron vähennysoikeudella on merkitystä yksityisteitä käyttäville elinkeinonharjoittajille. Maa- ja metsätilat sekä elinkeinonharjoittajat vastaavat yleensä merkittävimmistä osasta yksityisteiden kustannuksista. Arvonlisäveron vähennysoikeus tulee selvittää huolella ja arvioida vähennysoikeuden merkitys elinkeinojen kilpailukykyyn.</w:t>
      </w:r>
      <w:r w:rsidR="005449A1">
        <w:rPr>
          <w:sz w:val="22"/>
          <w:szCs w:val="22"/>
        </w:rPr>
        <w:t xml:space="preserve">  Perusparannusten toteuttamista aktivoisi myös kotitalousvähennyksen ulottamien yksityisteiden perusparannuskustannuksiin.</w:t>
      </w:r>
    </w:p>
    <w:p w:rsidR="00DA150C" w:rsidRPr="001576F0" w:rsidRDefault="00DA150C" w:rsidP="00F44049">
      <w:pPr>
        <w:rPr>
          <w:sz w:val="22"/>
          <w:szCs w:val="22"/>
        </w:rPr>
      </w:pPr>
      <w:r w:rsidRPr="001576F0">
        <w:rPr>
          <w:sz w:val="22"/>
          <w:szCs w:val="22"/>
        </w:rPr>
        <w:tab/>
      </w:r>
    </w:p>
    <w:p w:rsidR="006B3485" w:rsidRPr="001576F0" w:rsidRDefault="00A01564" w:rsidP="006B3485">
      <w:pPr>
        <w:rPr>
          <w:sz w:val="22"/>
          <w:szCs w:val="22"/>
        </w:rPr>
      </w:pPr>
      <w:r w:rsidRPr="001576F0">
        <w:rPr>
          <w:sz w:val="22"/>
          <w:szCs w:val="22"/>
        </w:rPr>
        <w:t xml:space="preserve">Kuopiossa </w:t>
      </w:r>
      <w:r w:rsidR="005449A1">
        <w:rPr>
          <w:sz w:val="22"/>
          <w:szCs w:val="22"/>
        </w:rPr>
        <w:t>21.3</w:t>
      </w:r>
      <w:r w:rsidR="00CB04CC" w:rsidRPr="001576F0">
        <w:rPr>
          <w:sz w:val="22"/>
          <w:szCs w:val="22"/>
        </w:rPr>
        <w:t>.2017</w:t>
      </w:r>
    </w:p>
    <w:p w:rsidR="00CB04CC" w:rsidRPr="001576F0" w:rsidRDefault="00CB04CC" w:rsidP="006B3485">
      <w:pPr>
        <w:rPr>
          <w:sz w:val="22"/>
          <w:szCs w:val="22"/>
        </w:rPr>
      </w:pPr>
      <w:r w:rsidRPr="001576F0">
        <w:rPr>
          <w:sz w:val="22"/>
          <w:szCs w:val="22"/>
        </w:rPr>
        <w:t>MTK Pohjois-Savo</w:t>
      </w:r>
    </w:p>
    <w:p w:rsidR="005449A1" w:rsidRDefault="005449A1" w:rsidP="006B3485">
      <w:pPr>
        <w:rPr>
          <w:sz w:val="22"/>
          <w:szCs w:val="22"/>
        </w:rPr>
      </w:pPr>
    </w:p>
    <w:p w:rsidR="00CB04CC" w:rsidRPr="001576F0" w:rsidRDefault="00CB04CC" w:rsidP="006B3485">
      <w:pPr>
        <w:rPr>
          <w:sz w:val="22"/>
          <w:szCs w:val="22"/>
        </w:rPr>
      </w:pPr>
      <w:r w:rsidRPr="001576F0">
        <w:rPr>
          <w:sz w:val="22"/>
          <w:szCs w:val="22"/>
        </w:rPr>
        <w:t>Jari Kauhanen</w:t>
      </w:r>
      <w:r w:rsidRPr="001576F0">
        <w:rPr>
          <w:sz w:val="22"/>
          <w:szCs w:val="22"/>
        </w:rPr>
        <w:br/>
        <w:t>Toiminnanjohtaja</w:t>
      </w:r>
    </w:p>
    <w:sectPr w:rsidR="00CB04CC" w:rsidRPr="001576F0" w:rsidSect="00577F27">
      <w:headerReference w:type="even" r:id="rId7"/>
      <w:headerReference w:type="default" r:id="rId8"/>
      <w:headerReference w:type="first" r:id="rId9"/>
      <w:pgSz w:w="11906" w:h="16838" w:code="9"/>
      <w:pgMar w:top="567" w:right="567" w:bottom="1276" w:left="1134" w:header="567" w:footer="96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B0F" w:rsidRDefault="00D53B0F">
      <w:r>
        <w:separator/>
      </w:r>
    </w:p>
  </w:endnote>
  <w:endnote w:type="continuationSeparator" w:id="0">
    <w:p w:rsidR="00D53B0F" w:rsidRDefault="00D5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B0F" w:rsidRDefault="00D53B0F">
      <w:r>
        <w:separator/>
      </w:r>
    </w:p>
  </w:footnote>
  <w:footnote w:type="continuationSeparator" w:id="0">
    <w:p w:rsidR="00D53B0F" w:rsidRDefault="00D53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401" w:rsidRDefault="00C02401" w:rsidP="00F906F6">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C02401" w:rsidRDefault="00C02401" w:rsidP="00B45C1F">
    <w:pPr>
      <w:pStyle w:val="Yltunnis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401" w:rsidRDefault="00C02401" w:rsidP="00F906F6">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5449A1">
      <w:rPr>
        <w:rStyle w:val="Sivunumero"/>
        <w:noProof/>
      </w:rPr>
      <w:t>2</w:t>
    </w:r>
    <w:r>
      <w:rPr>
        <w:rStyle w:val="Sivunumero"/>
      </w:rPr>
      <w:fldChar w:fldCharType="end"/>
    </w:r>
  </w:p>
  <w:tbl>
    <w:tblPr>
      <w:tblW w:w="0" w:type="auto"/>
      <w:tblLayout w:type="fixed"/>
      <w:tblCellMar>
        <w:left w:w="70" w:type="dxa"/>
        <w:right w:w="70" w:type="dxa"/>
      </w:tblCellMar>
      <w:tblLook w:val="0000" w:firstRow="0" w:lastRow="0" w:firstColumn="0" w:lastColumn="0" w:noHBand="0" w:noVBand="0"/>
    </w:tblPr>
    <w:tblGrid>
      <w:gridCol w:w="5315"/>
      <w:gridCol w:w="4394"/>
    </w:tblGrid>
    <w:tr w:rsidR="00C02401" w:rsidRPr="00BE0249" w:rsidTr="00DE797E">
      <w:trPr>
        <w:cantSplit/>
        <w:trHeight w:val="580"/>
      </w:trPr>
      <w:tc>
        <w:tcPr>
          <w:tcW w:w="5315" w:type="dxa"/>
          <w:vAlign w:val="center"/>
        </w:tcPr>
        <w:p w:rsidR="00C02401" w:rsidRDefault="00EF07DA" w:rsidP="00B45C1F">
          <w:pPr>
            <w:pStyle w:val="Yltunniste"/>
            <w:tabs>
              <w:tab w:val="clear" w:pos="4819"/>
              <w:tab w:val="clear" w:pos="9638"/>
            </w:tabs>
            <w:ind w:right="360"/>
          </w:pPr>
          <w:r>
            <w:rPr>
              <w:noProof/>
            </w:rPr>
            <w:drawing>
              <wp:inline distT="0" distB="0" distL="0" distR="0">
                <wp:extent cx="1038225" cy="733425"/>
                <wp:effectExtent l="0" t="0" r="9525" b="9525"/>
                <wp:docPr id="1" name="Kuva 1" descr="MTK_LE13_P-Savo____V3_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K_LE13_P-Savo____V3_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33425"/>
                        </a:xfrm>
                        <a:prstGeom prst="rect">
                          <a:avLst/>
                        </a:prstGeom>
                        <a:noFill/>
                        <a:ln>
                          <a:noFill/>
                        </a:ln>
                      </pic:spPr>
                    </pic:pic>
                  </a:graphicData>
                </a:graphic>
              </wp:inline>
            </w:drawing>
          </w:r>
        </w:p>
      </w:tc>
      <w:tc>
        <w:tcPr>
          <w:tcW w:w="4394" w:type="dxa"/>
        </w:tcPr>
        <w:p w:rsidR="00C02401" w:rsidRPr="00BE0249" w:rsidRDefault="00C02401" w:rsidP="00DE797E">
          <w:pPr>
            <w:pStyle w:val="Yltunniste"/>
            <w:tabs>
              <w:tab w:val="clear" w:pos="4819"/>
              <w:tab w:val="clear" w:pos="9638"/>
            </w:tabs>
            <w:rPr>
              <w:caps/>
            </w:rPr>
          </w:pPr>
        </w:p>
      </w:tc>
    </w:tr>
  </w:tbl>
  <w:p w:rsidR="00C02401" w:rsidRPr="00F15311" w:rsidRDefault="00C02401" w:rsidP="00F15311">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5315"/>
      <w:gridCol w:w="4394"/>
      <w:gridCol w:w="635"/>
    </w:tblGrid>
    <w:tr w:rsidR="00C02401">
      <w:trPr>
        <w:cantSplit/>
        <w:trHeight w:val="580"/>
      </w:trPr>
      <w:tc>
        <w:tcPr>
          <w:tcW w:w="5315" w:type="dxa"/>
          <w:vAlign w:val="center"/>
        </w:tcPr>
        <w:p w:rsidR="00C02401" w:rsidRDefault="00EF07DA">
          <w:pPr>
            <w:pStyle w:val="Yltunniste"/>
            <w:tabs>
              <w:tab w:val="clear" w:pos="4819"/>
              <w:tab w:val="clear" w:pos="9638"/>
            </w:tabs>
          </w:pPr>
          <w:r>
            <w:rPr>
              <w:noProof/>
            </w:rPr>
            <w:drawing>
              <wp:inline distT="0" distB="0" distL="0" distR="0">
                <wp:extent cx="1047750" cy="733425"/>
                <wp:effectExtent l="0" t="0" r="0" b="9525"/>
                <wp:docPr id="2" name="Kuva 2" descr="MTK_LE13_P-Savo____V3_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K_LE13_P-Savo____V3_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733425"/>
                        </a:xfrm>
                        <a:prstGeom prst="rect">
                          <a:avLst/>
                        </a:prstGeom>
                        <a:noFill/>
                        <a:ln>
                          <a:noFill/>
                        </a:ln>
                      </pic:spPr>
                    </pic:pic>
                  </a:graphicData>
                </a:graphic>
              </wp:inline>
            </w:drawing>
          </w:r>
        </w:p>
      </w:tc>
      <w:tc>
        <w:tcPr>
          <w:tcW w:w="4394" w:type="dxa"/>
        </w:tcPr>
        <w:p w:rsidR="00C02401" w:rsidRPr="00BE0249" w:rsidRDefault="00C02401">
          <w:pPr>
            <w:pStyle w:val="Yltunniste"/>
            <w:tabs>
              <w:tab w:val="clear" w:pos="4819"/>
              <w:tab w:val="clear" w:pos="9638"/>
            </w:tabs>
            <w:rPr>
              <w:caps/>
            </w:rPr>
          </w:pPr>
        </w:p>
      </w:tc>
      <w:tc>
        <w:tcPr>
          <w:tcW w:w="635" w:type="dxa"/>
          <w:vAlign w:val="center"/>
        </w:tcPr>
        <w:p w:rsidR="00C02401" w:rsidRDefault="00C02401">
          <w:pPr>
            <w:pStyle w:val="Yltunniste"/>
            <w:tabs>
              <w:tab w:val="clear" w:pos="4819"/>
              <w:tab w:val="clear" w:pos="9638"/>
            </w:tabs>
          </w:pPr>
        </w:p>
      </w:tc>
    </w:tr>
    <w:tr w:rsidR="00C02401">
      <w:trPr>
        <w:cantSplit/>
      </w:trPr>
      <w:tc>
        <w:tcPr>
          <w:tcW w:w="5315" w:type="dxa"/>
        </w:tcPr>
        <w:p w:rsidR="00C02401" w:rsidRDefault="00C02401">
          <w:pPr>
            <w:pStyle w:val="Yltunniste"/>
            <w:tabs>
              <w:tab w:val="clear" w:pos="4819"/>
              <w:tab w:val="clear" w:pos="9638"/>
            </w:tabs>
          </w:pPr>
        </w:p>
      </w:tc>
      <w:tc>
        <w:tcPr>
          <w:tcW w:w="4394" w:type="dxa"/>
        </w:tcPr>
        <w:p w:rsidR="00C02401" w:rsidRDefault="00C02401">
          <w:pPr>
            <w:pStyle w:val="Yltunniste"/>
            <w:tabs>
              <w:tab w:val="clear" w:pos="4819"/>
              <w:tab w:val="clear" w:pos="9638"/>
            </w:tabs>
          </w:pPr>
        </w:p>
      </w:tc>
      <w:tc>
        <w:tcPr>
          <w:tcW w:w="635" w:type="dxa"/>
        </w:tcPr>
        <w:p w:rsidR="00C02401" w:rsidRDefault="00C02401">
          <w:pPr>
            <w:pStyle w:val="Yltunniste"/>
            <w:tabs>
              <w:tab w:val="clear" w:pos="4819"/>
              <w:tab w:val="clear" w:pos="9638"/>
            </w:tabs>
          </w:pPr>
        </w:p>
      </w:tc>
    </w:tr>
  </w:tbl>
  <w:p w:rsidR="00C02401" w:rsidRDefault="00C02401">
    <w:pPr>
      <w:pStyle w:val="Yltunniste"/>
      <w:tabs>
        <w:tab w:val="clear" w:pos="4819"/>
        <w:tab w:val="clear"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49"/>
    <w:rsid w:val="00037131"/>
    <w:rsid w:val="00042753"/>
    <w:rsid w:val="00123F54"/>
    <w:rsid w:val="00126684"/>
    <w:rsid w:val="00132847"/>
    <w:rsid w:val="00142B13"/>
    <w:rsid w:val="0015317D"/>
    <w:rsid w:val="001576F0"/>
    <w:rsid w:val="00205ADD"/>
    <w:rsid w:val="00206ADD"/>
    <w:rsid w:val="00211779"/>
    <w:rsid w:val="003009BC"/>
    <w:rsid w:val="00322BB0"/>
    <w:rsid w:val="003309F6"/>
    <w:rsid w:val="00374933"/>
    <w:rsid w:val="00394BA7"/>
    <w:rsid w:val="003C132F"/>
    <w:rsid w:val="00430809"/>
    <w:rsid w:val="00480990"/>
    <w:rsid w:val="004A268C"/>
    <w:rsid w:val="00505E9F"/>
    <w:rsid w:val="00517A09"/>
    <w:rsid w:val="0053723C"/>
    <w:rsid w:val="005449A1"/>
    <w:rsid w:val="00577F27"/>
    <w:rsid w:val="005C1853"/>
    <w:rsid w:val="0060533D"/>
    <w:rsid w:val="00643457"/>
    <w:rsid w:val="00676C22"/>
    <w:rsid w:val="00694E75"/>
    <w:rsid w:val="006B3485"/>
    <w:rsid w:val="00705BF5"/>
    <w:rsid w:val="007456AC"/>
    <w:rsid w:val="00822C63"/>
    <w:rsid w:val="0087015E"/>
    <w:rsid w:val="008A5225"/>
    <w:rsid w:val="009058CA"/>
    <w:rsid w:val="009131DF"/>
    <w:rsid w:val="0093462E"/>
    <w:rsid w:val="009B09C7"/>
    <w:rsid w:val="009C6E72"/>
    <w:rsid w:val="009E0C6B"/>
    <w:rsid w:val="009F767B"/>
    <w:rsid w:val="00A01564"/>
    <w:rsid w:val="00A10339"/>
    <w:rsid w:val="00A64A55"/>
    <w:rsid w:val="00A9770D"/>
    <w:rsid w:val="00AC2A9B"/>
    <w:rsid w:val="00B45C1F"/>
    <w:rsid w:val="00B92900"/>
    <w:rsid w:val="00BE0249"/>
    <w:rsid w:val="00BF0E6F"/>
    <w:rsid w:val="00C02401"/>
    <w:rsid w:val="00C05EE6"/>
    <w:rsid w:val="00CB04CC"/>
    <w:rsid w:val="00CC2118"/>
    <w:rsid w:val="00CE48CF"/>
    <w:rsid w:val="00D0176C"/>
    <w:rsid w:val="00D04930"/>
    <w:rsid w:val="00D53B0F"/>
    <w:rsid w:val="00DA150C"/>
    <w:rsid w:val="00DE797E"/>
    <w:rsid w:val="00E821F0"/>
    <w:rsid w:val="00EA2560"/>
    <w:rsid w:val="00ED6141"/>
    <w:rsid w:val="00EF07DA"/>
    <w:rsid w:val="00F12827"/>
    <w:rsid w:val="00F15311"/>
    <w:rsid w:val="00F44049"/>
    <w:rsid w:val="00F906F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BE0249"/>
    <w:rPr>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BE0249"/>
    <w:pPr>
      <w:tabs>
        <w:tab w:val="center" w:pos="4819"/>
        <w:tab w:val="right" w:pos="9638"/>
      </w:tabs>
    </w:pPr>
  </w:style>
  <w:style w:type="paragraph" w:styleId="Alatunniste">
    <w:name w:val="footer"/>
    <w:basedOn w:val="Normaali"/>
    <w:rsid w:val="00BE0249"/>
    <w:pPr>
      <w:tabs>
        <w:tab w:val="center" w:pos="4819"/>
        <w:tab w:val="right" w:pos="9638"/>
      </w:tabs>
    </w:pPr>
  </w:style>
  <w:style w:type="character" w:styleId="Sivunumero">
    <w:name w:val="page number"/>
    <w:basedOn w:val="Kappaleenoletusfontti"/>
    <w:rsid w:val="00BE0249"/>
  </w:style>
  <w:style w:type="paragraph" w:styleId="Sisennettyleipteksti">
    <w:name w:val="Body Text Indent"/>
    <w:basedOn w:val="Normaali"/>
    <w:rsid w:val="00BE0249"/>
    <w:pPr>
      <w:ind w:left="1304"/>
    </w:pPr>
  </w:style>
  <w:style w:type="character" w:styleId="Hyperlinkki">
    <w:name w:val="Hyperlink"/>
    <w:rsid w:val="00BE0249"/>
    <w:rPr>
      <w:color w:val="0000FF"/>
      <w:u w:val="single"/>
    </w:rPr>
  </w:style>
  <w:style w:type="paragraph" w:styleId="Seliteteksti">
    <w:name w:val="Balloon Text"/>
    <w:basedOn w:val="Normaali"/>
    <w:semiHidden/>
    <w:rsid w:val="00BE02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BE0249"/>
    <w:rPr>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BE0249"/>
    <w:pPr>
      <w:tabs>
        <w:tab w:val="center" w:pos="4819"/>
        <w:tab w:val="right" w:pos="9638"/>
      </w:tabs>
    </w:pPr>
  </w:style>
  <w:style w:type="paragraph" w:styleId="Alatunniste">
    <w:name w:val="footer"/>
    <w:basedOn w:val="Normaali"/>
    <w:rsid w:val="00BE0249"/>
    <w:pPr>
      <w:tabs>
        <w:tab w:val="center" w:pos="4819"/>
        <w:tab w:val="right" w:pos="9638"/>
      </w:tabs>
    </w:pPr>
  </w:style>
  <w:style w:type="character" w:styleId="Sivunumero">
    <w:name w:val="page number"/>
    <w:basedOn w:val="Kappaleenoletusfontti"/>
    <w:rsid w:val="00BE0249"/>
  </w:style>
  <w:style w:type="paragraph" w:styleId="Sisennettyleipteksti">
    <w:name w:val="Body Text Indent"/>
    <w:basedOn w:val="Normaali"/>
    <w:rsid w:val="00BE0249"/>
    <w:pPr>
      <w:ind w:left="1304"/>
    </w:pPr>
  </w:style>
  <w:style w:type="character" w:styleId="Hyperlinkki">
    <w:name w:val="Hyperlink"/>
    <w:rsid w:val="00BE0249"/>
    <w:rPr>
      <w:color w:val="0000FF"/>
      <w:u w:val="single"/>
    </w:rPr>
  </w:style>
  <w:style w:type="paragraph" w:styleId="Seliteteksti">
    <w:name w:val="Balloon Text"/>
    <w:basedOn w:val="Normaali"/>
    <w:semiHidden/>
    <w:rsid w:val="00BE02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78132">
      <w:bodyDiv w:val="1"/>
      <w:marLeft w:val="0"/>
      <w:marRight w:val="0"/>
      <w:marTop w:val="0"/>
      <w:marBottom w:val="0"/>
      <w:divBdr>
        <w:top w:val="none" w:sz="0" w:space="0" w:color="auto"/>
        <w:left w:val="none" w:sz="0" w:space="0" w:color="auto"/>
        <w:bottom w:val="none" w:sz="0" w:space="0" w:color="auto"/>
        <w:right w:val="none" w:sz="0" w:space="0" w:color="auto"/>
      </w:divBdr>
    </w:div>
    <w:div w:id="132238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2784</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Pohjois-Savon Riistanhoitopiiri</vt:lpstr>
    </vt:vector>
  </TitlesOfParts>
  <Company>MTK</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Pohjois-Savon Riistanhoitopiiri</dc:title>
  <dc:creator>jukhuja</dc:creator>
  <cp:lastModifiedBy>Kainulainen Sirpa</cp:lastModifiedBy>
  <cp:revision>2</cp:revision>
  <cp:lastPrinted>2017-02-28T14:14:00Z</cp:lastPrinted>
  <dcterms:created xsi:type="dcterms:W3CDTF">2017-03-21T12:25:00Z</dcterms:created>
  <dcterms:modified xsi:type="dcterms:W3CDTF">2017-03-21T12:25:00Z</dcterms:modified>
</cp:coreProperties>
</file>