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67" w:rsidRDefault="0055039D">
      <w:pPr>
        <w:pStyle w:val="Otsikko2"/>
      </w:pPr>
      <w:bookmarkStart w:id="0" w:name="_GoBack"/>
      <w:bookmarkEnd w:id="0"/>
      <w:r>
        <w:t>Liikenne- ja viestintäministeriö</w:t>
      </w:r>
    </w:p>
    <w:p w:rsidR="00AC0C67" w:rsidRDefault="0055039D">
      <w:pPr>
        <w:ind w:left="709"/>
        <w:rPr>
          <w:rFonts w:hint="eastAsia"/>
        </w:rPr>
      </w:pPr>
      <w:r>
        <w:t xml:space="preserve">Mikael Nyberg Osastopäällikkö, ylijohtaja </w:t>
      </w:r>
    </w:p>
    <w:p w:rsidR="00AC0C67" w:rsidRDefault="0055039D">
      <w:pPr>
        <w:ind w:left="709"/>
        <w:rPr>
          <w:rFonts w:hint="eastAsia"/>
        </w:rPr>
      </w:pPr>
      <w:r>
        <w:t xml:space="preserve">Kaisa Kuukasjärvi Ylitarkastaja </w:t>
      </w:r>
    </w:p>
    <w:p w:rsidR="00AC0C67" w:rsidRDefault="00AC0C67">
      <w:pPr>
        <w:rPr>
          <w:rFonts w:hint="eastAsia"/>
        </w:rPr>
      </w:pPr>
    </w:p>
    <w:p w:rsidR="00AC0C67" w:rsidRDefault="00AC0C67">
      <w:pPr>
        <w:rPr>
          <w:rFonts w:hint="eastAsia"/>
        </w:rPr>
      </w:pPr>
    </w:p>
    <w:p w:rsidR="00AC0C67" w:rsidRDefault="0055039D">
      <w:pPr>
        <w:ind w:left="709"/>
        <w:rPr>
          <w:rFonts w:hint="eastAsia"/>
        </w:rPr>
      </w:pPr>
      <w:r>
        <w:rPr>
          <w:b/>
          <w:bCs/>
        </w:rPr>
        <w:t>Viite:</w:t>
      </w:r>
      <w:r>
        <w:tab/>
        <w:t>LVM082:00/2015</w:t>
      </w:r>
    </w:p>
    <w:p w:rsidR="00AC0C67" w:rsidRDefault="0055039D">
      <w:pPr>
        <w:ind w:left="1418"/>
        <w:rPr>
          <w:rFonts w:hint="eastAsia"/>
        </w:rPr>
      </w:pPr>
      <w:r>
        <w:t>”Lausuntopyyntö luonnoksesta hallituksen esitykseksi yksityistielaiksi ja eräiksi siihen liittyviksi laeiksi”</w:t>
      </w:r>
    </w:p>
    <w:p w:rsidR="00AC0C67" w:rsidRDefault="00AC0C67">
      <w:pPr>
        <w:rPr>
          <w:rFonts w:hint="eastAsia"/>
        </w:rPr>
      </w:pPr>
    </w:p>
    <w:p w:rsidR="00AC0C67" w:rsidRDefault="00AC0C67">
      <w:pPr>
        <w:rPr>
          <w:rFonts w:hint="eastAsia"/>
        </w:rPr>
      </w:pPr>
    </w:p>
    <w:p w:rsidR="00AC0C67" w:rsidRDefault="0055039D">
      <w:pPr>
        <w:pStyle w:val="Otsikko2"/>
      </w:pPr>
      <w:r>
        <w:t>Kommentteja yksityistielakiin</w:t>
      </w:r>
    </w:p>
    <w:p w:rsidR="00AC0C67" w:rsidRDefault="00AC0C67">
      <w:pPr>
        <w:rPr>
          <w:rFonts w:hint="eastAsia"/>
        </w:rPr>
      </w:pPr>
    </w:p>
    <w:p w:rsidR="00AC0C67" w:rsidRDefault="0055039D">
      <w:pPr>
        <w:rPr>
          <w:rFonts w:hint="eastAsia"/>
        </w:rPr>
      </w:pPr>
      <w:r>
        <w:t>Pahoittelen palautteeni pientä viivästymistä terveysesteiden johdosta.</w:t>
      </w:r>
    </w:p>
    <w:p w:rsidR="00AC0C67" w:rsidRDefault="0055039D">
      <w:pPr>
        <w:rPr>
          <w:rFonts w:hint="eastAsia"/>
        </w:rPr>
      </w:pPr>
      <w:r>
        <w:t>Lausuntoni kohdistuu alla mainittuihin aihepiireihin.</w:t>
      </w:r>
    </w:p>
    <w:p w:rsidR="00AC0C67" w:rsidRDefault="00AC0C67">
      <w:pPr>
        <w:rPr>
          <w:rFonts w:hint="eastAsia"/>
        </w:rPr>
      </w:pPr>
    </w:p>
    <w:p w:rsidR="00AC0C67" w:rsidRDefault="0055039D">
      <w:pPr>
        <w:jc w:val="center"/>
        <w:rPr>
          <w:rFonts w:hint="eastAsia"/>
        </w:rPr>
      </w:pPr>
      <w:r>
        <w:t xml:space="preserve">Antti Saksa, </w:t>
      </w:r>
      <w:proofErr w:type="spellStart"/>
      <w:r>
        <w:t>TkL</w:t>
      </w:r>
      <w:proofErr w:type="spellEnd"/>
    </w:p>
    <w:p w:rsidR="00AC0C67" w:rsidRDefault="0055039D">
      <w:pPr>
        <w:jc w:val="center"/>
        <w:rPr>
          <w:rFonts w:hint="eastAsia"/>
        </w:rPr>
      </w:pPr>
      <w:r>
        <w:t>p. 0400 416117</w:t>
      </w:r>
    </w:p>
    <w:p w:rsidR="00AC0C67" w:rsidRDefault="0055039D">
      <w:pPr>
        <w:jc w:val="center"/>
        <w:rPr>
          <w:rFonts w:hint="eastAsia"/>
        </w:rPr>
      </w:pPr>
      <w:r>
        <w:t>Uudellamaalla sijaitsevan yksityistien hoitokunnan sihteeri</w:t>
      </w:r>
    </w:p>
    <w:p w:rsidR="00AC0C67" w:rsidRDefault="00AC0C67">
      <w:pPr>
        <w:rPr>
          <w:rFonts w:hint="eastAsia"/>
        </w:rPr>
      </w:pPr>
    </w:p>
    <w:p w:rsidR="00AC0C67" w:rsidRDefault="00AC0C67">
      <w:pPr>
        <w:rPr>
          <w:rFonts w:hint="eastAsia"/>
        </w:rPr>
      </w:pPr>
    </w:p>
    <w:p w:rsidR="00AC0C67" w:rsidRDefault="0055039D">
      <w:pPr>
        <w:pStyle w:val="Otsikko3"/>
      </w:pPr>
      <w:proofErr w:type="gramStart"/>
      <w:r>
        <w:t>1  Ti</w:t>
      </w:r>
      <w:r>
        <w:t>ekuntien</w:t>
      </w:r>
      <w:proofErr w:type="gramEnd"/>
      <w:r>
        <w:t xml:space="preserve"> ”sisäkkäisyys”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Varsin usein tiekunnat ovat sisäkkäisiä tai ristikkäisiä siten, että toisen tien liikenne kulkee toisen kautta.  Toisen tien ulkoinen liikenne saattaa jopa kokonaisuudessaan kulkea vain toisen tien kautta.  Liikennetarpeet siis kytk</w:t>
      </w:r>
      <w:r>
        <w:t>evät tiekuntia toisiinsa kiinteästi, vaikka ne ”juridisina olioina” olisivatkin erillisiä, itsenäisiä.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Eri teiden tarpeet ja ratkaisut saattavat poiketa toisistaan olennaisestikin.</w:t>
      </w:r>
    </w:p>
    <w:p w:rsidR="00AC0C67" w:rsidRDefault="0055039D">
      <w:pPr>
        <w:numPr>
          <w:ilvl w:val="0"/>
          <w:numId w:val="2"/>
        </w:numPr>
        <w:jc w:val="both"/>
        <w:rPr>
          <w:rFonts w:hint="eastAsia"/>
        </w:rPr>
      </w:pPr>
      <w:r>
        <w:t>liikennetarpeet</w:t>
      </w:r>
    </w:p>
    <w:p w:rsidR="00AC0C67" w:rsidRDefault="0055039D">
      <w:pPr>
        <w:numPr>
          <w:ilvl w:val="0"/>
          <w:numId w:val="2"/>
        </w:numPr>
        <w:jc w:val="both"/>
        <w:rPr>
          <w:rFonts w:hint="eastAsia"/>
        </w:rPr>
      </w:pPr>
      <w:r>
        <w:t>kuormitukset</w:t>
      </w:r>
    </w:p>
    <w:p w:rsidR="00AC0C67" w:rsidRDefault="0055039D">
      <w:pPr>
        <w:numPr>
          <w:ilvl w:val="0"/>
          <w:numId w:val="2"/>
        </w:numPr>
        <w:jc w:val="both"/>
        <w:rPr>
          <w:rFonts w:hint="eastAsia"/>
        </w:rPr>
      </w:pPr>
      <w:r>
        <w:t>hoitotarpeet ja -tasot</w:t>
      </w:r>
    </w:p>
    <w:p w:rsidR="00AC0C67" w:rsidRDefault="0055039D">
      <w:pPr>
        <w:numPr>
          <w:ilvl w:val="0"/>
          <w:numId w:val="2"/>
        </w:numPr>
        <w:jc w:val="both"/>
        <w:rPr>
          <w:rFonts w:hint="eastAsia"/>
        </w:rPr>
      </w:pPr>
      <w:r>
        <w:t xml:space="preserve">turvallisuusratkaisut, </w:t>
      </w:r>
      <w:r>
        <w:t>jne.</w:t>
      </w:r>
    </w:p>
    <w:p w:rsidR="00AC0C67" w:rsidRDefault="00AC0C67">
      <w:pPr>
        <w:ind w:left="709"/>
        <w:rPr>
          <w:rFonts w:hint="eastAsia"/>
        </w:rPr>
      </w:pPr>
    </w:p>
    <w:p w:rsidR="00AC0C67" w:rsidRDefault="0055039D">
      <w:pPr>
        <w:pStyle w:val="TextBody"/>
        <w:ind w:left="709"/>
        <w:rPr>
          <w:rFonts w:hint="eastAsia"/>
        </w:rPr>
      </w:pPr>
      <w:r>
        <w:t>Asiaa tulisi tarkastella ainakin seuraavien seikkojen viimeistelyssä:</w:t>
      </w:r>
    </w:p>
    <w:p w:rsidR="00AC0C67" w:rsidRDefault="0055039D">
      <w:pPr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yksiköintiperusteet</w:t>
      </w:r>
      <w:proofErr w:type="spellEnd"/>
    </w:p>
    <w:p w:rsidR="00AC0C67" w:rsidRDefault="0055039D">
      <w:pPr>
        <w:numPr>
          <w:ilvl w:val="0"/>
          <w:numId w:val="3"/>
        </w:numPr>
        <w:jc w:val="both"/>
        <w:rPr>
          <w:rFonts w:hint="eastAsia"/>
        </w:rPr>
      </w:pPr>
      <w:r>
        <w:t>liikennemäärien arviointi, kustannuspainotukset</w:t>
      </w:r>
    </w:p>
    <w:p w:rsidR="00AC0C67" w:rsidRDefault="0055039D">
      <w:pPr>
        <w:numPr>
          <w:ilvl w:val="0"/>
          <w:numId w:val="3"/>
        </w:numPr>
        <w:jc w:val="both"/>
        <w:rPr>
          <w:rFonts w:hint="eastAsia"/>
        </w:rPr>
      </w:pPr>
      <w:r>
        <w:t xml:space="preserve">päätöksenteko, äänivalta, äänileikkuri, </w:t>
      </w:r>
    </w:p>
    <w:p w:rsidR="00AC0C67" w:rsidRDefault="0055039D">
      <w:pPr>
        <w:numPr>
          <w:ilvl w:val="0"/>
          <w:numId w:val="3"/>
        </w:numPr>
        <w:jc w:val="both"/>
        <w:rPr>
          <w:rFonts w:hint="eastAsia"/>
        </w:rPr>
      </w:pPr>
      <w:r>
        <w:t>vastuut, jne.</w:t>
      </w:r>
    </w:p>
    <w:p w:rsidR="00AC0C67" w:rsidRDefault="00AC0C67">
      <w:pPr>
        <w:ind w:left="709"/>
        <w:rPr>
          <w:rFonts w:hint="eastAsia"/>
        </w:rPr>
      </w:pPr>
    </w:p>
    <w:p w:rsidR="00AC0C67" w:rsidRDefault="0055039D">
      <w:pPr>
        <w:pStyle w:val="TextBody"/>
        <w:ind w:left="709"/>
        <w:rPr>
          <w:rFonts w:hint="eastAsia"/>
        </w:rPr>
      </w:pPr>
      <w:r>
        <w:t>Myös kytkettyjen tiekuntien yhteistyön muotoja tulisi ha</w:t>
      </w:r>
      <w:r>
        <w:t>hmotella?  Vastaava koordinointitarve tietysti koskee myös yksityistien ja ympäröivien yleisten teiden hoitajien yhteistyötä.</w:t>
      </w:r>
    </w:p>
    <w:p w:rsidR="00AC0C67" w:rsidRDefault="0055039D">
      <w:pPr>
        <w:pStyle w:val="Otsikko3"/>
      </w:pPr>
      <w:proofErr w:type="gramStart"/>
      <w:r>
        <w:t>2  Yksityistien</w:t>
      </w:r>
      <w:proofErr w:type="gramEnd"/>
      <w:r>
        <w:t xml:space="preserve"> perusolemus vaatii selvennystä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Tieoikeuden lähtökohtana ovat kiinteistön pääsy- ja liikennetarpeet.  Tämä on keske</w:t>
      </w:r>
      <w:r>
        <w:t xml:space="preserve">inen talouden kriteeri tien perustamisen yhteydessä ja hoidon aikana.  </w:t>
      </w:r>
      <w:proofErr w:type="gramStart"/>
      <w:r>
        <w:t xml:space="preserve">Sekä teknisten ratkaisujen </w:t>
      </w:r>
      <w:r>
        <w:lastRenderedPageBreak/>
        <w:t>että turvallisuusjärjestelyjen perusta.</w:t>
      </w:r>
      <w:proofErr w:type="gramEnd"/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Siispä ”kiinteistön liikennetarpeen” käsitteellistä sisältöä pitäisi selkeyttää asianmukaisesti.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proofErr w:type="gramStart"/>
      <w:r>
        <w:t>Alla konkretisoiva es</w:t>
      </w:r>
      <w:r>
        <w:t>imerkki tositapahtumista omalla tiellämme Nurmijärjellä, liikennemerkein osoitetulla taajama-alueella, ja liikennemerkein osoitetulla yksityistiellä.</w:t>
      </w:r>
      <w:proofErr w:type="gramEnd"/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****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Yleisellä tieverkostolla tapahtuu monen sorttista liikennettä, joista osa on luonteeltaan sellaista, </w:t>
      </w:r>
      <w:r>
        <w:t>ettei se mitenkään voi kuulua ”tavanomaisen mökkitien kiinteistöjen liikennetarpeistoon”.  Esimerkkinä vaikkapa vaarallisten aineiden kuljetukset, VAK.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Enkä tarkoita kaasupulloa tai jerrykannua, vaan tankkiautoa tai rekkaa lastattuna kymmenien tonnien kuor</w:t>
      </w:r>
      <w:r>
        <w:t>malla myrkkyä, räjähdettä, taistelukaasua, jne.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Oman tiemme rakenteissa, hoidossa, suojavarusteissa eikä valvonnassa ole millään tavalla huomioitu edes </w:t>
      </w:r>
      <w:proofErr w:type="spellStart"/>
      <w:r>
        <w:t>VAK-liikenteen</w:t>
      </w:r>
      <w:proofErr w:type="spellEnd"/>
      <w:r>
        <w:t xml:space="preserve"> mahdollisuutta.  Eikä toki mikään osakkaista ole ilmoittanut </w:t>
      </w:r>
      <w:proofErr w:type="spellStart"/>
      <w:r>
        <w:t>VAK-palveluita</w:t>
      </w:r>
      <w:proofErr w:type="spellEnd"/>
      <w:r>
        <w:t xml:space="preserve"> tarvitsevansa</w:t>
      </w:r>
      <w:r>
        <w:t>kaan.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Tien talvihoidoksi on sovittu kohtuullinen auraus ja hiekoitus, mutta ei tietenkään jään poistoa, sulatusta, kaasuvuotojen torjuntavälineitä, taistelunaamareita, jne.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****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Kuitenkin kävi ilmi, että täydessä lastissa oleva </w:t>
      </w:r>
      <w:proofErr w:type="spellStart"/>
      <w:r>
        <w:t>VAK-rekka</w:t>
      </w:r>
      <w:proofErr w:type="spellEnd"/>
      <w:r>
        <w:t xml:space="preserve"> kaatui tiellämme, </w:t>
      </w:r>
      <w:r>
        <w:t>liukui mäkeä alas, kaatoi puita mennessään.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Suuronnettomuus oli hilkulla.  Lähimmät asumukset olivat vain muutaman metrin päässä kumollaan olevasta tankista, kymmeniä asumuksia sadan metrin säteellä.  Asukkaita paikalla monessa mökissä talviviikonloppuna, </w:t>
      </w:r>
      <w:r>
        <w:t>kyseessä oli tuplapyhä.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Rekan nostoon kului tunteja.  Poliisia tai palokuntaa ei kutsuttu paikalle turvallisuudesta huolehtimaan, vaikka ilmeinen suuronnettomuus uhkasi koko ajan.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****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Myöhemmin selvisi, että AGA piti ”pimeätä </w:t>
      </w:r>
      <w:proofErr w:type="spellStart"/>
      <w:r>
        <w:t>VAK-varikkoa</w:t>
      </w:r>
      <w:proofErr w:type="spellEnd"/>
      <w:r>
        <w:t>” tieosakkaamme p</w:t>
      </w:r>
      <w:r>
        <w:t xml:space="preserve">ihatiellä vuosikausia.  Täysissä lasteissa olevia </w:t>
      </w:r>
      <w:proofErr w:type="spellStart"/>
      <w:r>
        <w:t>VAK-rekkoja</w:t>
      </w:r>
      <w:proofErr w:type="spellEnd"/>
      <w:r>
        <w:t xml:space="preserve"> oli säännöllisesti pysäköity tiemme varteen ilman mitään turvajärjestelyjä, naapurimökkien sekaan.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Osakas ilmoitti liikennöivänsä vain henkilöautolla.  Tiekunta ei tietenkään ollut millään taval</w:t>
      </w:r>
      <w:r>
        <w:t xml:space="preserve">la varautunut </w:t>
      </w:r>
      <w:proofErr w:type="spellStart"/>
      <w:r>
        <w:t>VAK-liikenteeseen</w:t>
      </w:r>
      <w:proofErr w:type="spellEnd"/>
      <w:r>
        <w:t>, uhkiin, suuronnettomuuksiin, yleiseen ”kemialliseen” vaaraan, jne.  Tuskinpa varautuu mikään muukaan yksityistiekunta?  Liekö lainsäätäjäkään moisen liikenteen mahdollisuutta huomioinut?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Silti tuollaista tolkutonta </w:t>
      </w:r>
      <w:r>
        <w:t xml:space="preserve">liikennettä </w:t>
      </w:r>
      <w:proofErr w:type="gramStart"/>
      <w:r>
        <w:t>tapahtuu !</w:t>
      </w:r>
      <w:proofErr w:type="gramEnd"/>
      <w:r>
        <w:t xml:space="preserve">  Ja VAK on vain yksi liikenteen erityislaji, joka ei yksityisteille kuulu.  Olisiko kohtuutonta, että lain uudistaja listaisi eteensä eri liikennelajit ja miettisi, missä niitä voi harrastaa ja millä perusteella?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Yleinen tie vaihtuu </w:t>
      </w:r>
      <w:r>
        <w:t xml:space="preserve">yksityistieksi aivan liian huomaamatta.  Esimerkissämme edes koulutettu </w:t>
      </w:r>
      <w:proofErr w:type="spellStart"/>
      <w:r>
        <w:t>VAK-ammattilainen</w:t>
      </w:r>
      <w:proofErr w:type="spellEnd"/>
      <w:r>
        <w:t xml:space="preserve"> ei jaksanut huomioida tietyypin vaihtumista ja siihen liittyviä riskejä, olihan toisessa vaakakupissa oma mukavuus ja muutaman minuutin säästö </w:t>
      </w:r>
      <w:proofErr w:type="gramStart"/>
      <w:r>
        <w:t>työmatkoissa ?</w:t>
      </w:r>
      <w:proofErr w:type="gramEnd"/>
      <w:r>
        <w:t xml:space="preserve">  </w:t>
      </w:r>
      <w:r>
        <w:lastRenderedPageBreak/>
        <w:t>Nimekäs</w:t>
      </w:r>
      <w:r>
        <w:t xml:space="preserve"> alan yrityskin oli täysin sokea, pysyvästi.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****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Olisi tärkeää jollain selkeällä tavalla kiinnittää tienkäyttäjän huomio yksityisteiden ”erilaisuuteen”, </w:t>
      </w:r>
      <w:proofErr w:type="spellStart"/>
      <w:r>
        <w:t>vastuuttaa</w:t>
      </w:r>
      <w:proofErr w:type="spellEnd"/>
      <w:r>
        <w:t xml:space="preserve"> vaaran aiheuttajat, edellyttää huolellisuutta kuljetusten suunnittelussa ja myös tarjota to</w:t>
      </w:r>
      <w:r>
        <w:t>delliset nykyajan konstit yhteydensaantiin tien hoitokuntaan / toimitsijamieheen, jotta kuljetuksista voidaan vaivatta sopia etukäteen.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Keinoja voinevat olla esimerkiksi </w:t>
      </w:r>
    </w:p>
    <w:p w:rsidR="00AC0C67" w:rsidRDefault="0055039D">
      <w:pPr>
        <w:pStyle w:val="TextBody"/>
        <w:numPr>
          <w:ilvl w:val="0"/>
          <w:numId w:val="4"/>
        </w:numPr>
        <w:jc w:val="both"/>
        <w:rPr>
          <w:rFonts w:hint="eastAsia"/>
        </w:rPr>
      </w:pPr>
      <w:r>
        <w:t>Selkeä ja yhtenäinen liikennemerkki osoittamaan, että ”tästä eteenpäin tie ei noudata</w:t>
      </w:r>
      <w:r>
        <w:t xml:space="preserve"> yleisillä teillä sovellettavia ratkaisuja </w:t>
      </w:r>
      <w:proofErr w:type="gramStart"/>
      <w:r>
        <w:t>…..</w:t>
      </w:r>
      <w:proofErr w:type="gramEnd"/>
      <w:r>
        <w:t>”, vaikka toki oletkin tervetullut tietä käyttämään.  Perus liikennemerkeistä kootulla viidakolla ei selkeyttä asiaan synny.</w:t>
      </w:r>
    </w:p>
    <w:p w:rsidR="00AC0C67" w:rsidRDefault="0055039D">
      <w:pPr>
        <w:pStyle w:val="TextBody"/>
        <w:numPr>
          <w:ilvl w:val="0"/>
          <w:numId w:val="4"/>
        </w:numPr>
        <w:jc w:val="both"/>
        <w:rPr>
          <w:rFonts w:hint="eastAsia"/>
        </w:rPr>
      </w:pPr>
      <w:r>
        <w:t xml:space="preserve">Lisäksi samassa yhteydessä tulisi olla tien nimi ja </w:t>
      </w:r>
      <w:proofErr w:type="spellStart"/>
      <w:r>
        <w:t>help-desk'in</w:t>
      </w:r>
      <w:proofErr w:type="spellEnd"/>
      <w:r>
        <w:t xml:space="preserve"> www-osoite tai </w:t>
      </w:r>
      <w:proofErr w:type="spellStart"/>
      <w:r>
        <w:t>puh.n</w:t>
      </w:r>
      <w:r>
        <w:t>ro</w:t>
      </w:r>
      <w:proofErr w:type="spellEnd"/>
      <w:r>
        <w:t>, josta tiekunnan ajanmukaiset yhteystiedot jokainen saisi heti.</w:t>
      </w:r>
    </w:p>
    <w:p w:rsidR="00AC0C67" w:rsidRDefault="0055039D">
      <w:pPr>
        <w:pStyle w:val="Otsikko3"/>
      </w:pPr>
      <w:proofErr w:type="gramStart"/>
      <w:r>
        <w:t>3  Äänileikkuri</w:t>
      </w:r>
      <w:proofErr w:type="gramEnd"/>
      <w:r>
        <w:t xml:space="preserve"> 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Äänileikkuri pitäisi määritellä yksikäsitteisellä tavalla.  Epäselvyyttä aiheuttaa mm. se, että</w:t>
      </w:r>
      <w:proofErr w:type="gramStart"/>
      <w:r>
        <w:t xml:space="preserve"> %-osuudet</w:t>
      </w:r>
      <w:proofErr w:type="gramEnd"/>
      <w:r>
        <w:t xml:space="preserve"> tietysti muuttuvat, kun leikkuria sovelletaan.  Kullakin</w:t>
      </w:r>
      <w:r>
        <w:t xml:space="preserve"> osakkaalla on siis erilaisia</w:t>
      </w:r>
      <w:proofErr w:type="gramStart"/>
      <w:r>
        <w:t xml:space="preserve"> %-osuuksia</w:t>
      </w:r>
      <w:proofErr w:type="gramEnd"/>
      <w:r>
        <w:t xml:space="preserve"> laskennan eri vaiheissa.</w:t>
      </w:r>
    </w:p>
    <w:p w:rsidR="00AC0C67" w:rsidRDefault="0055039D">
      <w:pPr>
        <w:pStyle w:val="Otsikko3"/>
      </w:pPr>
      <w:proofErr w:type="gramStart"/>
      <w:r>
        <w:t>4  Vesitie</w:t>
      </w:r>
      <w:proofErr w:type="gramEnd"/>
      <w:r>
        <w:t xml:space="preserve"> yksityistien jatkeena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Oman tiekuntamme noin </w:t>
      </w:r>
      <w:proofErr w:type="gramStart"/>
      <w:r>
        <w:t>10%</w:t>
      </w:r>
      <w:proofErr w:type="gramEnd"/>
      <w:r>
        <w:t xml:space="preserve"> osakkaista asustelee saaressa.  Vanhassa laissa tällainen tilanne kuitattiin ”sivulauseessa”, eikä uusikaan ehdotus näytä asiaan ko</w:t>
      </w:r>
      <w:r>
        <w:t>vin määrätietoisesti puuttuneen.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Järvistä ei maassamme ole pulaa, eikä saarista.  Tilanne toistuu monessa tiekunnassa.  Monttuun ajamisen uhka vaihtuu kesken matkaa laiturilta liukastumisen uhkaksi.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>Asiaan liittyy monenlaista pysäköinti- ja satamajärjestel</w:t>
      </w:r>
      <w:r>
        <w:t>yä, lisävälinettä ja pelastusrengasta, hoitotoimenpidettä, kustannus- ja turvallisuustekijää, ym.</w:t>
      </w:r>
    </w:p>
    <w:p w:rsidR="00AC0C67" w:rsidRDefault="0055039D">
      <w:pPr>
        <w:pStyle w:val="TextBody"/>
        <w:ind w:left="709"/>
        <w:jc w:val="both"/>
        <w:rPr>
          <w:rFonts w:hint="eastAsia"/>
        </w:rPr>
      </w:pPr>
      <w:r>
        <w:t xml:space="preserve">Asia sivuaa </w:t>
      </w:r>
      <w:proofErr w:type="spellStart"/>
      <w:r>
        <w:t>yksiköintiä</w:t>
      </w:r>
      <w:proofErr w:type="spellEnd"/>
      <w:r>
        <w:t>, hoitotason määrittelyä, päätösvaltaa, vastuita, palvelun keskeytymistä, jne.</w:t>
      </w:r>
    </w:p>
    <w:p w:rsidR="00AC0C67" w:rsidRDefault="00AC0C67">
      <w:pPr>
        <w:pStyle w:val="TextBody"/>
        <w:ind w:left="709"/>
        <w:jc w:val="both"/>
        <w:rPr>
          <w:rFonts w:hint="eastAsia"/>
        </w:rPr>
      </w:pPr>
    </w:p>
    <w:sectPr w:rsidR="00AC0C6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7BC"/>
    <w:multiLevelType w:val="multilevel"/>
    <w:tmpl w:val="6248FB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905E86"/>
    <w:multiLevelType w:val="multilevel"/>
    <w:tmpl w:val="0504ECE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nsid w:val="58BC5ED8"/>
    <w:multiLevelType w:val="multilevel"/>
    <w:tmpl w:val="7D54833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3">
    <w:nsid w:val="643B6981"/>
    <w:multiLevelType w:val="multilevel"/>
    <w:tmpl w:val="6A104D7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67"/>
    <w:rsid w:val="0055039D"/>
    <w:rsid w:val="00A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fi-F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</w:style>
  <w:style w:type="paragraph" w:styleId="Otsikko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tsikk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ali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ali"/>
    <w:pPr>
      <w:spacing w:after="140" w:line="288" w:lineRule="auto"/>
    </w:pPr>
  </w:style>
  <w:style w:type="paragraph" w:styleId="Luettelo">
    <w:name w:val="List"/>
    <w:basedOn w:val="TextBody"/>
  </w:style>
  <w:style w:type="paragraph" w:styleId="Kuvan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i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fi-F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</w:pPr>
  </w:style>
  <w:style w:type="paragraph" w:styleId="Otsikko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tsikk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ali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ali"/>
    <w:pPr>
      <w:spacing w:after="140" w:line="288" w:lineRule="auto"/>
    </w:pPr>
  </w:style>
  <w:style w:type="paragraph" w:styleId="Luettelo">
    <w:name w:val="List"/>
    <w:basedOn w:val="TextBody"/>
  </w:style>
  <w:style w:type="paragraph" w:styleId="Kuvan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Rosbäck Sonja</dc:creator>
  <cp:lastModifiedBy>Rosbäck Sonja</cp:lastModifiedBy>
  <cp:revision>2</cp:revision>
  <dcterms:created xsi:type="dcterms:W3CDTF">2017-03-28T11:32:00Z</dcterms:created>
  <dcterms:modified xsi:type="dcterms:W3CDTF">2017-03-28T11:32:00Z</dcterms:modified>
  <dc:language>fi-FI</dc:language>
</cp:coreProperties>
</file>