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F426E" w14:textId="77777777" w:rsidR="00054DE8" w:rsidRDefault="00054DE8" w:rsidP="00054DE8">
      <w:bookmarkStart w:id="0" w:name="_GoBack"/>
      <w:bookmarkEnd w:id="0"/>
      <w:r>
        <w:t>Oikeusministeriö/Avoimuusrekisterivalmistelun asiantuntijatyöryhmä</w:t>
      </w:r>
    </w:p>
    <w:p w14:paraId="54E47063" w14:textId="0E808001" w:rsidR="00054DE8" w:rsidRDefault="00054DE8" w:rsidP="00054DE8">
      <w:r>
        <w:t>MUISTIO</w:t>
      </w:r>
      <w:r>
        <w:tab/>
      </w:r>
      <w:r>
        <w:tab/>
      </w:r>
      <w:r>
        <w:tab/>
      </w:r>
      <w:r>
        <w:tab/>
      </w:r>
      <w:r>
        <w:tab/>
      </w:r>
      <w:r>
        <w:tab/>
        <w:t>26.1.2021</w:t>
      </w:r>
    </w:p>
    <w:p w14:paraId="72BB5BEF" w14:textId="77777777" w:rsidR="00054DE8" w:rsidRDefault="00054DE8" w:rsidP="00054DE8"/>
    <w:p w14:paraId="4D112A69" w14:textId="66EAB311" w:rsidR="009F7B65" w:rsidRDefault="009F7B65" w:rsidP="009F7B65">
      <w:pPr>
        <w:pStyle w:val="Otsikko1"/>
      </w:pPr>
      <w:r>
        <w:t>Millä perustein soveltamisalasta voidaan luoda hybridimalli</w:t>
      </w:r>
      <w:r w:rsidR="00B57FA2">
        <w:t>, ja mitä organisaatioita mallin ulkopuolelle voitaisiin jättää</w:t>
      </w:r>
      <w:r>
        <w:t>?</w:t>
      </w:r>
    </w:p>
    <w:p w14:paraId="75CD490E" w14:textId="77777777" w:rsidR="009F7B65" w:rsidRDefault="009F7B65" w:rsidP="0021637D">
      <w:pPr>
        <w:rPr>
          <w:b/>
        </w:rPr>
      </w:pPr>
    </w:p>
    <w:p w14:paraId="323D848B" w14:textId="03231427" w:rsidR="009F7B65" w:rsidRDefault="009F7B65" w:rsidP="0021637D">
      <w:pPr>
        <w:rPr>
          <w:b/>
        </w:rPr>
      </w:pPr>
      <w:r>
        <w:rPr>
          <w:b/>
        </w:rPr>
        <w:t>Hybridimallin tavoite</w:t>
      </w:r>
    </w:p>
    <w:p w14:paraId="64490B0F" w14:textId="44262849" w:rsidR="009F7B65" w:rsidRPr="009F7B65" w:rsidRDefault="009F7B65" w:rsidP="0021637D">
      <w:r w:rsidRPr="009F7B65">
        <w:t>Avoimuusrekis</w:t>
      </w:r>
      <w:r>
        <w:t>teriohjausryhmä antoi 20.1. ohjausryhmäkokouksessa asiantuntijatyöryhmällä tehtäväksi valmistella hybridiehdotus kokouksessa esitetyistä soveltamisalamalleista. Hybridiehdotuksen tulisi ulottua eduskunnan ja ministeriöiden lisäksi vain sellaisiin valtion</w:t>
      </w:r>
      <w:r w:rsidR="00D7432B">
        <w:t xml:space="preserve"> virastoihin</w:t>
      </w:r>
      <w:r>
        <w:t>, joihin kohdistuu lobbausta.</w:t>
      </w:r>
    </w:p>
    <w:p w14:paraId="0DA6652E" w14:textId="5F78A422" w:rsidR="0021637D" w:rsidRDefault="0021637D" w:rsidP="0021637D">
      <w:pPr>
        <w:rPr>
          <w:b/>
        </w:rPr>
      </w:pPr>
      <w:r>
        <w:rPr>
          <w:b/>
        </w:rPr>
        <w:t>Lobbauskohteiden määrittelemiseen liittyviä yleisiä haasteita</w:t>
      </w:r>
      <w:r w:rsidRPr="00AA6A42">
        <w:rPr>
          <w:b/>
        </w:rPr>
        <w:t>:</w:t>
      </w:r>
    </w:p>
    <w:p w14:paraId="43843FF8" w14:textId="552C0EAF" w:rsidR="0021637D" w:rsidRDefault="0021637D" w:rsidP="0021637D">
      <w:pPr>
        <w:pStyle w:val="Luettelokappale"/>
        <w:numPr>
          <w:ilvl w:val="0"/>
          <w:numId w:val="6"/>
        </w:numPr>
      </w:pPr>
      <w:r w:rsidRPr="0021637D">
        <w:rPr>
          <w:b/>
        </w:rPr>
        <w:t>Epäyhdenmukaisuus ja jatkuva muutos:</w:t>
      </w:r>
      <w:r>
        <w:t xml:space="preserve"> </w:t>
      </w:r>
      <w:r w:rsidRPr="004111B9">
        <w:t>Valtio organisoi toimintaansa monessa organisaatiomuodossa, joita ovat virastot, liikelaitokset, osakeyhtiöt, rahastot, julkisoikeudelliset laitokset ja säätiöt. Valinta eri organisaatiomuotojen välillä on ollut epäsys</w:t>
      </w:r>
      <w:r>
        <w:t>temaattista ja osin satunnaista,</w:t>
      </w:r>
      <w:r w:rsidRPr="004111B9">
        <w:t xml:space="preserve"> tämä on johtanut hallinnonalakohtaisiin kehityspolkuihin</w:t>
      </w:r>
      <w:r>
        <w:t xml:space="preserve"> – eri hallinnonaloilla tehdään samanlaisia päätöksiä eri tasoilla.</w:t>
      </w:r>
      <w:r w:rsidRPr="00A37253">
        <w:t xml:space="preserve"> </w:t>
      </w:r>
      <w:r>
        <w:t>Lisäksi valtion organisaatiokentästä tapahtuu jatkuvia muutoksia.</w:t>
      </w:r>
    </w:p>
    <w:p w14:paraId="7F2E1F58" w14:textId="355A2266" w:rsidR="00AC708A" w:rsidRPr="0021637D" w:rsidRDefault="00AC708A" w:rsidP="00AC708A">
      <w:pPr>
        <w:pStyle w:val="Luettelokappale"/>
        <w:numPr>
          <w:ilvl w:val="0"/>
          <w:numId w:val="6"/>
        </w:numPr>
      </w:pPr>
      <w:r>
        <w:rPr>
          <w:b/>
        </w:rPr>
        <w:t>Lobbaus määrittyy toiminnan, ei intressien kautta</w:t>
      </w:r>
      <w:r w:rsidR="0021637D" w:rsidRPr="0021637D">
        <w:rPr>
          <w:b/>
        </w:rPr>
        <w:t>:</w:t>
      </w:r>
      <w:r w:rsidR="0021637D">
        <w:t xml:space="preserve"> Lobbausta ei voida määritellä</w:t>
      </w:r>
      <w:r>
        <w:t xml:space="preserve"> yksiselitteisesti</w:t>
      </w:r>
      <w:r w:rsidR="0021637D">
        <w:t xml:space="preserve"> intressien kautta, vaan toiminnan, tässä tapauksessa</w:t>
      </w:r>
      <w:r>
        <w:t xml:space="preserve"> lobbauskohteeseen kohdistuvan</w:t>
      </w:r>
      <w:r w:rsidR="0021637D">
        <w:t xml:space="preserve"> yhteydenpidon</w:t>
      </w:r>
      <w:r>
        <w:t xml:space="preserve"> ja siihen liittyvän neuvonnan</w:t>
      </w:r>
      <w:r w:rsidR="0021637D">
        <w:t>, kautta. Tämä tarkoittaa käytännössä sitä, että lobbauskohteita ei voida myöskään yksiselitteisesti määritellä niihin kohdistuvien intressien kautta.</w:t>
      </w:r>
    </w:p>
    <w:p w14:paraId="584748C7" w14:textId="503DEDA8" w:rsidR="004111B9" w:rsidRPr="0063735C" w:rsidRDefault="000F37F5" w:rsidP="0063735C">
      <w:pPr>
        <w:rPr>
          <w:b/>
        </w:rPr>
      </w:pPr>
      <w:r>
        <w:rPr>
          <w:b/>
        </w:rPr>
        <w:t>Oikeudelliset reunaehdot</w:t>
      </w:r>
    </w:p>
    <w:p w14:paraId="6C71166D" w14:textId="62530123" w:rsidR="00D1447D" w:rsidRDefault="00AC708A" w:rsidP="00D1447D">
      <w:pPr>
        <w:pStyle w:val="Luettelokappale"/>
        <w:numPr>
          <w:ilvl w:val="0"/>
          <w:numId w:val="4"/>
        </w:numPr>
      </w:pPr>
      <w:r>
        <w:t xml:space="preserve">Soveltamisalan </w:t>
      </w:r>
      <w:r w:rsidR="00865E96">
        <w:t>rajaukset</w:t>
      </w:r>
      <w:r>
        <w:t xml:space="preserve"> lobbauskohteiden osalta</w:t>
      </w:r>
      <w:r w:rsidR="003C25B5">
        <w:t xml:space="preserve"> tulisi</w:t>
      </w:r>
      <w:r w:rsidR="00865E96">
        <w:t xml:space="preserve"> tehdä</w:t>
      </w:r>
      <w:r w:rsidR="000F37F5" w:rsidRPr="000F37F5">
        <w:t xml:space="preserve"> laille asetettujen tavoitteiden kautta</w:t>
      </w:r>
      <w:r w:rsidR="00165263">
        <w:t>. Käytännössä tarkoittaen</w:t>
      </w:r>
      <w:r w:rsidR="000F37F5">
        <w:t xml:space="preserve"> sitä, </w:t>
      </w:r>
      <w:r w:rsidR="003321C4">
        <w:t xml:space="preserve">että </w:t>
      </w:r>
      <w:r w:rsidR="00165263">
        <w:t>lain tavoitteissa tulee päättää mitä</w:t>
      </w:r>
      <w:r w:rsidR="000F37F5">
        <w:t xml:space="preserve"> päätö</w:t>
      </w:r>
      <w:r w:rsidR="002170B3">
        <w:t>ksentekoa</w:t>
      </w:r>
      <w:r w:rsidR="0063735C">
        <w:t xml:space="preserve"> tai minkälaista julkisen vallan käyttöä</w:t>
      </w:r>
      <w:r w:rsidR="002170B3">
        <w:t xml:space="preserve"> </w:t>
      </w:r>
      <w:r w:rsidR="003321C4">
        <w:t>halutaan läpivalaista.</w:t>
      </w:r>
      <w:r w:rsidR="000F37F5">
        <w:t xml:space="preserve"> Tämä</w:t>
      </w:r>
      <w:r w:rsidR="00954032">
        <w:t>n jälkeen kaikki sellaiset valtion toimijat</w:t>
      </w:r>
      <w:r w:rsidR="00165263">
        <w:t xml:space="preserve">, jotka tekevät </w:t>
      </w:r>
      <w:r w:rsidR="00346D98">
        <w:t>samankaltaisia</w:t>
      </w:r>
      <w:r w:rsidR="00165263">
        <w:t xml:space="preserve"> päätöksiä</w:t>
      </w:r>
      <w:r w:rsidR="0063735C">
        <w:t xml:space="preserve"> tai käyttävät</w:t>
      </w:r>
      <w:r w:rsidR="0021637D">
        <w:t xml:space="preserve"> </w:t>
      </w:r>
      <w:r w:rsidR="0063735C">
        <w:t>samanlaista valtaa</w:t>
      </w:r>
      <w:r w:rsidR="00165263">
        <w:t>,</w:t>
      </w:r>
      <w:r>
        <w:t xml:space="preserve"> tulisi</w:t>
      </w:r>
      <w:r w:rsidR="000F37F5">
        <w:t xml:space="preserve"> sisällyttää mukaan lain soveltamisalaan</w:t>
      </w:r>
      <w:r w:rsidR="003321C4">
        <w:t>, jotta laki täyttäisi yhdenvertaisuus, tarkoituksenmukaisuus ja oikeasuhtaisuus periaatteet</w:t>
      </w:r>
      <w:r w:rsidR="000F37F5">
        <w:t>.</w:t>
      </w:r>
      <w:r w:rsidR="003321C4">
        <w:t xml:space="preserve"> </w:t>
      </w:r>
      <w:r>
        <w:t xml:space="preserve">Hyvänä esimerkkinä voidaan pitää </w:t>
      </w:r>
      <w:r w:rsidR="009F7B65">
        <w:t>hallintolaki</w:t>
      </w:r>
      <w:r>
        <w:t>a</w:t>
      </w:r>
      <w:r w:rsidR="009F7B65">
        <w:t xml:space="preserve"> ja julkisuuslaki</w:t>
      </w:r>
      <w:r>
        <w:t>a, jotka mukailevat valtion päätöksentekoa ja</w:t>
      </w:r>
      <w:r w:rsidR="009F7B65">
        <w:t xml:space="preserve"> kattavat </w:t>
      </w:r>
      <w:r>
        <w:t xml:space="preserve">näin ollen </w:t>
      </w:r>
      <w:r w:rsidR="009F7B65">
        <w:t>jokaisen organisaatiomuodon</w:t>
      </w:r>
      <w:r>
        <w:t xml:space="preserve"> – ainakin osittain</w:t>
      </w:r>
      <w:r w:rsidR="009F7B65">
        <w:t>.</w:t>
      </w:r>
    </w:p>
    <w:p w14:paraId="5BB89370" w14:textId="78DEEBD3" w:rsidR="004020E0" w:rsidRPr="004020E0" w:rsidRDefault="003321C4" w:rsidP="004020E0">
      <w:pPr>
        <w:pStyle w:val="Luettelokappale"/>
        <w:numPr>
          <w:ilvl w:val="0"/>
          <w:numId w:val="4"/>
        </w:numPr>
      </w:pPr>
      <w:r>
        <w:t xml:space="preserve">Oikeusvarmuuden kannalta soveltamisalan rajaus </w:t>
      </w:r>
      <w:r w:rsidR="00865E96">
        <w:t xml:space="preserve">lobbauskohteiden osalta </w:t>
      </w:r>
      <w:r>
        <w:t>tulisi tehdä</w:t>
      </w:r>
      <w:r w:rsidR="00817928">
        <w:t xml:space="preserve"> ensisijaisesti</w:t>
      </w:r>
      <w:r w:rsidR="00BA3542">
        <w:t xml:space="preserve"> organisaatiomuotojen ja -rajojen mukaan</w:t>
      </w:r>
      <w:r>
        <w:t xml:space="preserve">, sillä </w:t>
      </w:r>
      <w:r w:rsidR="00B22ACA">
        <w:t xml:space="preserve">liian tarkat </w:t>
      </w:r>
      <w:r>
        <w:t>rajaukset</w:t>
      </w:r>
      <w:r w:rsidR="00B22ACA">
        <w:t xml:space="preserve"> </w:t>
      </w:r>
      <w:r>
        <w:t>tehtävien tai päätösten sisältöjen mukaan aiheuttaisi todennäköisesti liikaa tulkinnanvaraa</w:t>
      </w:r>
      <w:r w:rsidR="00BA3542">
        <w:t xml:space="preserve"> ja </w:t>
      </w:r>
      <w:r w:rsidR="007B4241">
        <w:t>vaikeuttaisi lain ymmärrettävyyttä</w:t>
      </w:r>
      <w:r w:rsidR="00AC708A">
        <w:t xml:space="preserve">. </w:t>
      </w:r>
    </w:p>
    <w:p w14:paraId="5926ABEA" w14:textId="7DDEDCAD" w:rsidR="00663CB6" w:rsidRPr="00AA6A42" w:rsidRDefault="002D381E" w:rsidP="00663CB6">
      <w:pPr>
        <w:rPr>
          <w:b/>
        </w:rPr>
      </w:pPr>
      <w:r w:rsidRPr="002D381E">
        <w:rPr>
          <w:b/>
        </w:rPr>
        <w:t>Mitä toimijoita voidaan rajata ulkopuolelle, ja millä perustein?</w:t>
      </w:r>
    </w:p>
    <w:p w14:paraId="5F6E1E67" w14:textId="0395699C" w:rsidR="00BB24E7" w:rsidRDefault="00663CB6" w:rsidP="00AD03E7">
      <w:r w:rsidRPr="00AA6A42">
        <w:t>Edellä esitettyjen reunaehtojen per</w:t>
      </w:r>
      <w:r w:rsidR="00954032">
        <w:t xml:space="preserve">usteella on ilmeistä, ettei hybridimallia, jossa rajattaisiin laajemmin valtion </w:t>
      </w:r>
      <w:r w:rsidR="004020E0">
        <w:t xml:space="preserve">virastoja </w:t>
      </w:r>
      <w:r w:rsidRPr="00AA6A42">
        <w:t>ulos</w:t>
      </w:r>
      <w:r w:rsidR="00954032">
        <w:t xml:space="preserve"> soveltamisalan piiristä</w:t>
      </w:r>
      <w:r w:rsidR="004020E0">
        <w:t>, esimerkiksi niihin liittyen</w:t>
      </w:r>
      <w:r w:rsidR="00BA3542">
        <w:t xml:space="preserve"> vähäisten</w:t>
      </w:r>
      <w:r w:rsidR="004020E0">
        <w:t xml:space="preserve"> intressien perusteella</w:t>
      </w:r>
      <w:r w:rsidRPr="00AA6A42">
        <w:t>, ole mahdollista toteuttaa hy</w:t>
      </w:r>
      <w:r w:rsidR="004020E0">
        <w:t xml:space="preserve">vän lainvalmistelun puitteissa. </w:t>
      </w:r>
      <w:r w:rsidR="00BB24E7">
        <w:t>Hallinnonalakohtaiste</w:t>
      </w:r>
      <w:r w:rsidR="006B29A9">
        <w:t>n kehityspolkujen perusteella näyttää pikemminkin siltä</w:t>
      </w:r>
      <w:r w:rsidR="00BB24E7">
        <w:t>, että valtion virastojen lisäksi lain soveltamisalan tulisi kattaa myös muita valtionhallinnon organisaatiomuotoja, ku</w:t>
      </w:r>
      <w:r w:rsidR="00346D98">
        <w:t>ten julkisuus- ja hallintolain soveltamisalat kattavat</w:t>
      </w:r>
      <w:r w:rsidR="00BB24E7">
        <w:t>.</w:t>
      </w:r>
    </w:p>
    <w:p w14:paraId="239E61B6" w14:textId="2A31D7C9" w:rsidR="006817DE" w:rsidRDefault="00082B7A" w:rsidP="00AD03E7">
      <w:r>
        <w:lastRenderedPageBreak/>
        <w:t>P</w:t>
      </w:r>
      <w:r w:rsidR="006B29A9">
        <w:t>yydetyn tehtävänannon mukaisesti</w:t>
      </w:r>
      <w:r>
        <w:t xml:space="preserve"> </w:t>
      </w:r>
      <w:r w:rsidR="00346D98">
        <w:t xml:space="preserve">olisi </w:t>
      </w:r>
      <w:r>
        <w:t>kuitenkin</w:t>
      </w:r>
      <w:r w:rsidR="00346D98">
        <w:t xml:space="preserve"> mahdollista rajata</w:t>
      </w:r>
      <w:r w:rsidR="006B29A9">
        <w:t xml:space="preserve"> </w:t>
      </w:r>
      <w:r w:rsidR="00663CB6" w:rsidRPr="00AA6A42">
        <w:t>perustuslaissa määritellyt tuomiois</w:t>
      </w:r>
      <w:r w:rsidR="003E04E0">
        <w:t xml:space="preserve">tuimet </w:t>
      </w:r>
      <w:r w:rsidR="00663CB6" w:rsidRPr="00AA6A42">
        <w:t xml:space="preserve">soveltamisalan ulkopuolelle, sillä ne edustavat tuomiovaltaa erotuksena lainsäädäntö- ja toimeenpanovallasta. </w:t>
      </w:r>
      <w:r w:rsidR="00176D2B" w:rsidRPr="00AA6A42">
        <w:t>Lisäksi tuomioistuimiin liittyvät hallinnolliset päätökset</w:t>
      </w:r>
      <w:r w:rsidR="005F2104" w:rsidRPr="00AA6A42">
        <w:t>, kuten hankinnat ja kehittämishankkeet</w:t>
      </w:r>
      <w:r w:rsidR="00176D2B" w:rsidRPr="00AA6A42">
        <w:t>, joihin voisi kohdistua lobbausta, tehdään joko Tuomioistuinviras</w:t>
      </w:r>
      <w:r w:rsidR="00C36F0B">
        <w:t>tossa tai oikeusministeriössä.</w:t>
      </w:r>
    </w:p>
    <w:p w14:paraId="7D6EF9C5" w14:textId="54EFC1E2" w:rsidR="00BB24E7" w:rsidRDefault="003E04E0" w:rsidP="00AD03E7">
      <w:r>
        <w:t>Muiden lainkäyttöviranomaisten osalta rajaaminen on</w:t>
      </w:r>
      <w:r w:rsidR="001B2E7B">
        <w:t xml:space="preserve"> hankalampaa</w:t>
      </w:r>
      <w:r>
        <w:t>, sillä organisatorisesti ne on</w:t>
      </w:r>
      <w:r w:rsidR="001B2E7B">
        <w:t xml:space="preserve"> voitu järjestää</w:t>
      </w:r>
      <w:r>
        <w:t xml:space="preserve"> siten, että lainkäyttö- ja hal</w:t>
      </w:r>
      <w:r w:rsidR="006817DE">
        <w:t>lintoviranomaiset toimivat</w:t>
      </w:r>
      <w:r>
        <w:t xml:space="preserve"> samassa organisaatiossa (esim. Ulosottolaitos</w:t>
      </w:r>
      <w:r w:rsidR="006817DE">
        <w:t>, Verohallinto</w:t>
      </w:r>
      <w:r>
        <w:t>)</w:t>
      </w:r>
      <w:r w:rsidR="00921C83">
        <w:t xml:space="preserve">. Täten muita lainkäyttöviranomaisia kuin tuomioistuimet </w:t>
      </w:r>
      <w:r w:rsidR="002D381E">
        <w:t>ei lähtökohtaisesti tulisi rajata soveltamisalan ulkopuolelle</w:t>
      </w:r>
      <w:r w:rsidR="00921C83">
        <w:t>.</w:t>
      </w:r>
      <w:r w:rsidR="00346D98">
        <w:t xml:space="preserve"> Harkittavaksi kuitenkin tulisi </w:t>
      </w:r>
      <w:r w:rsidR="003C25B5">
        <w:t>sellaiset lainkäyttöviranomaiset</w:t>
      </w:r>
      <w:r w:rsidR="00346D98">
        <w:t>, lähinnä jo</w:t>
      </w:r>
      <w:r w:rsidR="00427180">
        <w:t>i</w:t>
      </w:r>
      <w:r w:rsidR="00346D98">
        <w:t>tain lautakuntia, joissa lainkäyttö on erotettu omaan organisaatioon tuomioistuimien tapaan. Näissäkin tapauksissa perustellumpaa sääntelyn yhdenmukaisuuden näkökulmasta olisi rajata kokonaan</w:t>
      </w:r>
      <w:r w:rsidR="00427180">
        <w:t xml:space="preserve"> varsinainen</w:t>
      </w:r>
      <w:r w:rsidR="00346D98">
        <w:t xml:space="preserve"> lainkäyttö, hallintolain tapaan, soveltamisalan ulkopuolelle.</w:t>
      </w:r>
    </w:p>
    <w:p w14:paraId="0B5FD48D" w14:textId="78F95C39" w:rsidR="00427180" w:rsidRDefault="00E017A3" w:rsidP="00AD03E7">
      <w:r>
        <w:t xml:space="preserve">Edellä esitetyn perusteella olisi mahdollista pohtia myös laillisuusvalvonnan rajaamista sääntelyn ulkopuolelle. Tällöin voitaisiin rajata ainakin ylimmät laillisuusvalvojat ja erilaiset valtuutetut pois sääntelyn piiristä. Toisaalta laillisuusvalvontaa harjoitetaan myös muiden viranomaisten toimesta, jolloin tulisi vielä tarkemmin selvittää perusteita poisrajaamiselle. </w:t>
      </w:r>
      <w:r w:rsidR="00011C5D">
        <w:t xml:space="preserve">Tässä kohtaa haasteeksi saattaisi nousta organisaatiorajat, joissa laillisuusvalvontaa ei ole erotettu organisatorisesti riittävän selkeästi muusta toiminnasta.   </w:t>
      </w:r>
    </w:p>
    <w:p w14:paraId="0DC28E10" w14:textId="2C68C03E" w:rsidR="00011C5D" w:rsidRDefault="00011C5D" w:rsidP="00011C5D">
      <w:r>
        <w:t>Edellä esitettyihin rajauksiin liittyy haasteita, etenkin muiden</w:t>
      </w:r>
      <w:r w:rsidR="003449B9">
        <w:t xml:space="preserve"> toimijoiden</w:t>
      </w:r>
      <w:r>
        <w:t xml:space="preserve"> kuin tuomioistuinten osalta. Rajauksilla saatavat hyödyt, esimerkiksi hallinnollisen takaan suhteen, voidaan arvioida melko pieneksi. Rajaukset saattavat myös vaikeuttaa lain ymmärrettävyyttä, jolloin tehtävät rajaukset tosiasiallisesti pikemminkin kuormittavat kuin helpottavat toimeenpanoa</w:t>
      </w:r>
      <w:r w:rsidR="003449B9">
        <w:t xml:space="preserve"> – etenkin niiltä osin, jos rajaukset eivät noudata selkeästi organisaatiorajoja</w:t>
      </w:r>
      <w:r>
        <w:t>. Tämä huomioiden perustellumpaa olisi organisaatioiden</w:t>
      </w:r>
      <w:r w:rsidR="003449B9">
        <w:t xml:space="preserve"> tai joiden</w:t>
      </w:r>
      <w:r w:rsidR="00D7432B">
        <w:t>kin</w:t>
      </w:r>
      <w:r w:rsidR="003449B9">
        <w:t xml:space="preserve"> yksittäisten tehtäväkokonaisuuksien</w:t>
      </w:r>
      <w:r>
        <w:t xml:space="preserve"> poisrajaamisen sijaan vahvistaa tavanomaisen viranomaisasioinnin määrittelyä</w:t>
      </w:r>
      <w:r w:rsidR="003449B9">
        <w:t xml:space="preserve"> siten, että avoimuusrekisterisääntelyssä korostettaisiin hallintolaissa jokaiselle turvattua oikeutta asianmukaiseen asiointiin ja käsittelyyn sekä</w:t>
      </w:r>
      <w:r w:rsidR="00B22ACA">
        <w:t xml:space="preserve"> neuvontaan ilman, että toimijoiden</w:t>
      </w:r>
      <w:r w:rsidR="003449B9">
        <w:t xml:space="preserve"> tulee pelätä rekisteröintiä.</w:t>
      </w:r>
      <w:r w:rsidR="00B22ACA">
        <w:t xml:space="preserve"> </w:t>
      </w:r>
      <w:r w:rsidR="003449B9">
        <w:t xml:space="preserve">  </w:t>
      </w:r>
      <w:r>
        <w:t xml:space="preserve"> </w:t>
      </w:r>
    </w:p>
    <w:p w14:paraId="5FED5DD4" w14:textId="77DA1D7A" w:rsidR="00921C83" w:rsidRPr="00BB24E7" w:rsidRDefault="00082B7A" w:rsidP="00AD03E7">
      <w:pPr>
        <w:rPr>
          <w:b/>
        </w:rPr>
      </w:pPr>
      <w:r>
        <w:rPr>
          <w:b/>
        </w:rPr>
        <w:t>Loppup</w:t>
      </w:r>
      <w:r w:rsidR="006B29A9">
        <w:rPr>
          <w:b/>
        </w:rPr>
        <w:t>äätelmä</w:t>
      </w:r>
      <w:r w:rsidR="00D158F5">
        <w:rPr>
          <w:b/>
        </w:rPr>
        <w:t>t</w:t>
      </w:r>
      <w:r w:rsidR="00C616E0">
        <w:rPr>
          <w:b/>
        </w:rPr>
        <w:t xml:space="preserve"> ja ehdotus</w:t>
      </w:r>
    </w:p>
    <w:p w14:paraId="67230F21" w14:textId="2F98ED6B" w:rsidR="0030364E" w:rsidRDefault="006B29A9" w:rsidP="0030364E">
      <w:r>
        <w:t xml:space="preserve">Edellä esitetyn perusteella, </w:t>
      </w:r>
      <w:r w:rsidR="00082B7A">
        <w:t xml:space="preserve">ohjausryhmän pyytämä hybridimalli, jossa soveltamisalasta poistettaisiin lobbauksen kannalta epäolennaisia </w:t>
      </w:r>
      <w:r w:rsidR="00CD1854">
        <w:t xml:space="preserve">valtion </w:t>
      </w:r>
      <w:r w:rsidR="003449B9">
        <w:t>virastoja</w:t>
      </w:r>
      <w:r w:rsidR="00082B7A">
        <w:t xml:space="preserve">, näyttää olevan hankala toteuttaa lukuun ottamatta </w:t>
      </w:r>
      <w:r w:rsidR="003449B9">
        <w:t>tuomioistuimia, jotka ovat selkeästi rajattavissa organisatorisesti ja päätöksenteoltaan omaksi kokonaisuudeksi</w:t>
      </w:r>
      <w:r w:rsidR="00082B7A">
        <w:t>.</w:t>
      </w:r>
      <w:r w:rsidR="00427180">
        <w:t xml:space="preserve"> </w:t>
      </w:r>
      <w:r w:rsidR="0030364E">
        <w:t>Myös valtioneuvoston oikeuskansleri voisi olla tarkoituksenmukaista rajata soveltamisalan ulkopuolelle.</w:t>
      </w:r>
    </w:p>
    <w:p w14:paraId="2F4F3C3F" w14:textId="29F3DAD3" w:rsidR="00B22ACA" w:rsidRDefault="00427180" w:rsidP="0030364E">
      <w:r>
        <w:t xml:space="preserve">Suurimmat syyt </w:t>
      </w:r>
      <w:r w:rsidR="0030364E">
        <w:t>rajaamisen vaikeudet</w:t>
      </w:r>
      <w:r>
        <w:t xml:space="preserve"> ovat: </w:t>
      </w:r>
    </w:p>
    <w:p w14:paraId="0013A805" w14:textId="6782A783" w:rsidR="00B22ACA" w:rsidRDefault="00427180" w:rsidP="00B22ACA">
      <w:pPr>
        <w:pStyle w:val="Luettelokappale"/>
        <w:numPr>
          <w:ilvl w:val="0"/>
          <w:numId w:val="9"/>
        </w:numPr>
      </w:pPr>
      <w:r>
        <w:t>hallinnonalojen epäyhdenmukaisuus</w:t>
      </w:r>
    </w:p>
    <w:p w14:paraId="1A614B4C" w14:textId="2D79F636" w:rsidR="00C775F5" w:rsidRDefault="00C775F5" w:rsidP="00B22ACA">
      <w:pPr>
        <w:pStyle w:val="Luettelokappale"/>
        <w:numPr>
          <w:ilvl w:val="0"/>
          <w:numId w:val="9"/>
        </w:numPr>
      </w:pPr>
      <w:r>
        <w:t xml:space="preserve">tehtäväkenttä ja päätöksenteko eivät välttämättä noudata organisaatiorakenteita </w:t>
      </w:r>
    </w:p>
    <w:p w14:paraId="148E527C" w14:textId="49E1E7CB" w:rsidR="00B22ACA" w:rsidRDefault="00427180" w:rsidP="00B22ACA">
      <w:pPr>
        <w:pStyle w:val="Luettelokappale"/>
        <w:numPr>
          <w:ilvl w:val="0"/>
          <w:numId w:val="9"/>
        </w:numPr>
      </w:pPr>
      <w:r>
        <w:t>vaikeus määritellä lob</w:t>
      </w:r>
      <w:r w:rsidR="00B22ACA">
        <w:t>bausta</w:t>
      </w:r>
      <w:r w:rsidR="00FB4067">
        <w:t xml:space="preserve"> eri</w:t>
      </w:r>
      <w:r w:rsidR="00B22ACA">
        <w:t xml:space="preserve"> intressie</w:t>
      </w:r>
      <w:r w:rsidR="00C775F5">
        <w:t>n näkökulmasta</w:t>
      </w:r>
    </w:p>
    <w:p w14:paraId="36F87449" w14:textId="407CE869" w:rsidR="008C368A" w:rsidRPr="007B0D3D" w:rsidRDefault="00B22ACA" w:rsidP="007B0D3D">
      <w:r>
        <w:t>Toisin sanoen,</w:t>
      </w:r>
      <w:r w:rsidR="00C775F5">
        <w:t xml:space="preserve"> vaikka on ilmeistä</w:t>
      </w:r>
      <w:r w:rsidR="00D7432B">
        <w:t>, ettei kaikkiin valtion virastoihin</w:t>
      </w:r>
      <w:r w:rsidR="00C775F5">
        <w:t xml:space="preserve"> kohdistu samankaltaista lobbausintressiä, näiden toimijoiden ulosrajaaminen riittävän tarkkarajaisesti ja yhdenvertaisuusperiaatteen mukaisesti on erittäin haastavaa, ellei jopa mahdotonta.</w:t>
      </w:r>
      <w:r w:rsidR="00225284">
        <w:t xml:space="preserve"> </w:t>
      </w:r>
      <w:r w:rsidR="00C775F5">
        <w:t xml:space="preserve">Siksi </w:t>
      </w:r>
      <w:r w:rsidR="00462448">
        <w:t xml:space="preserve">yleisenä </w:t>
      </w:r>
      <w:r w:rsidR="00C775F5">
        <w:t xml:space="preserve">rajausperiaatteena tulee ensisijaisesti </w:t>
      </w:r>
      <w:r w:rsidR="00225284">
        <w:t xml:space="preserve">käyttää </w:t>
      </w:r>
      <w:r w:rsidR="00C775F5">
        <w:t>hallinnontasoja</w:t>
      </w:r>
      <w:r w:rsidR="00225284">
        <w:t>, ei yksittäisiä tehtäviä tai päätösprosesseja.</w:t>
      </w:r>
      <w:r w:rsidR="00D7432B">
        <w:t xml:space="preserve"> Lisäksi on huomioitava, että virastoissa tehtävää päätöksenteko on joillain hallinnonaloilla siirretty ”</w:t>
      </w:r>
      <w:r w:rsidR="008C368A">
        <w:t>väljempiin</w:t>
      </w:r>
      <w:r w:rsidR="00D7432B">
        <w:t>” organisaatiomuotoihin. Tällaisia toimijoita voi olla tarkoituksenmukaista</w:t>
      </w:r>
      <w:r w:rsidR="00C616E0">
        <w:t xml:space="preserve"> lain tavoitteiden näkökulmasta</w:t>
      </w:r>
      <w:r w:rsidR="00D7432B">
        <w:t xml:space="preserve"> sisällyttää sääntelyn piiriin.</w:t>
      </w:r>
    </w:p>
    <w:sectPr w:rsidR="008C368A" w:rsidRPr="007B0D3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77C6"/>
    <w:multiLevelType w:val="hybridMultilevel"/>
    <w:tmpl w:val="5B624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C72A8B"/>
    <w:multiLevelType w:val="hybridMultilevel"/>
    <w:tmpl w:val="9E7204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E55D3B"/>
    <w:multiLevelType w:val="hybridMultilevel"/>
    <w:tmpl w:val="D200E4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AC92486"/>
    <w:multiLevelType w:val="hybridMultilevel"/>
    <w:tmpl w:val="D084D622"/>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B282BA4"/>
    <w:multiLevelType w:val="hybridMultilevel"/>
    <w:tmpl w:val="00DC690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1DF5927"/>
    <w:multiLevelType w:val="hybridMultilevel"/>
    <w:tmpl w:val="08B454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2BD1560"/>
    <w:multiLevelType w:val="hybridMultilevel"/>
    <w:tmpl w:val="770222D8"/>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460200"/>
    <w:multiLevelType w:val="hybridMultilevel"/>
    <w:tmpl w:val="C5E4540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F7C0A4B"/>
    <w:multiLevelType w:val="hybridMultilevel"/>
    <w:tmpl w:val="11A062C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5E21A18"/>
    <w:multiLevelType w:val="hybridMultilevel"/>
    <w:tmpl w:val="2D9C25E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9AC5313"/>
    <w:multiLevelType w:val="hybridMultilevel"/>
    <w:tmpl w:val="6AC6B4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AA707EC"/>
    <w:multiLevelType w:val="hybridMultilevel"/>
    <w:tmpl w:val="29CE2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B3F539D"/>
    <w:multiLevelType w:val="hybridMultilevel"/>
    <w:tmpl w:val="D584BF78"/>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68E27B1C"/>
    <w:multiLevelType w:val="hybridMultilevel"/>
    <w:tmpl w:val="477E389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7F88525A"/>
    <w:multiLevelType w:val="hybridMultilevel"/>
    <w:tmpl w:val="E7AC42F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4"/>
  </w:num>
  <w:num w:numId="5">
    <w:abstractNumId w:val="6"/>
  </w:num>
  <w:num w:numId="6">
    <w:abstractNumId w:val="5"/>
  </w:num>
  <w:num w:numId="7">
    <w:abstractNumId w:val="12"/>
  </w:num>
  <w:num w:numId="8">
    <w:abstractNumId w:val="14"/>
  </w:num>
  <w:num w:numId="9">
    <w:abstractNumId w:val="1"/>
  </w:num>
  <w:num w:numId="10">
    <w:abstractNumId w:val="2"/>
  </w:num>
  <w:num w:numId="11">
    <w:abstractNumId w:val="9"/>
  </w:num>
  <w:num w:numId="12">
    <w:abstractNumId w:val="13"/>
  </w:num>
  <w:num w:numId="13">
    <w:abstractNumId w:val="7"/>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E7"/>
    <w:rsid w:val="00011C5D"/>
    <w:rsid w:val="00054DE8"/>
    <w:rsid w:val="00060CAB"/>
    <w:rsid w:val="00082B7A"/>
    <w:rsid w:val="000F37F5"/>
    <w:rsid w:val="00165263"/>
    <w:rsid w:val="00176D2B"/>
    <w:rsid w:val="001B2E7B"/>
    <w:rsid w:val="001E2F43"/>
    <w:rsid w:val="002072AB"/>
    <w:rsid w:val="0021637D"/>
    <w:rsid w:val="002170B3"/>
    <w:rsid w:val="00225284"/>
    <w:rsid w:val="0026647E"/>
    <w:rsid w:val="002C73A9"/>
    <w:rsid w:val="002D381E"/>
    <w:rsid w:val="0030364E"/>
    <w:rsid w:val="003321C4"/>
    <w:rsid w:val="00333253"/>
    <w:rsid w:val="003449B9"/>
    <w:rsid w:val="00346D98"/>
    <w:rsid w:val="003B24FF"/>
    <w:rsid w:val="003C25B5"/>
    <w:rsid w:val="003E04E0"/>
    <w:rsid w:val="004020E0"/>
    <w:rsid w:val="004111B9"/>
    <w:rsid w:val="00414420"/>
    <w:rsid w:val="00427180"/>
    <w:rsid w:val="00462448"/>
    <w:rsid w:val="00486FC2"/>
    <w:rsid w:val="004E6B37"/>
    <w:rsid w:val="00517C15"/>
    <w:rsid w:val="00561C4D"/>
    <w:rsid w:val="005945C0"/>
    <w:rsid w:val="005F2104"/>
    <w:rsid w:val="0062083A"/>
    <w:rsid w:val="0063735C"/>
    <w:rsid w:val="00663CB6"/>
    <w:rsid w:val="006730CE"/>
    <w:rsid w:val="00676419"/>
    <w:rsid w:val="006817DE"/>
    <w:rsid w:val="006B101D"/>
    <w:rsid w:val="006B29A9"/>
    <w:rsid w:val="007B0D3D"/>
    <w:rsid w:val="007B4241"/>
    <w:rsid w:val="007D53D7"/>
    <w:rsid w:val="007F0325"/>
    <w:rsid w:val="0081098D"/>
    <w:rsid w:val="00817928"/>
    <w:rsid w:val="00865E96"/>
    <w:rsid w:val="008C368A"/>
    <w:rsid w:val="00914490"/>
    <w:rsid w:val="00921C83"/>
    <w:rsid w:val="00954032"/>
    <w:rsid w:val="009700A3"/>
    <w:rsid w:val="009F7B65"/>
    <w:rsid w:val="00A37253"/>
    <w:rsid w:val="00AA6A42"/>
    <w:rsid w:val="00AB7EFE"/>
    <w:rsid w:val="00AC708A"/>
    <w:rsid w:val="00AD03E7"/>
    <w:rsid w:val="00AE5F2A"/>
    <w:rsid w:val="00B22ACA"/>
    <w:rsid w:val="00B57FA2"/>
    <w:rsid w:val="00BA3542"/>
    <w:rsid w:val="00BB24E7"/>
    <w:rsid w:val="00BB4EE5"/>
    <w:rsid w:val="00C16CAC"/>
    <w:rsid w:val="00C36F0B"/>
    <w:rsid w:val="00C616E0"/>
    <w:rsid w:val="00C775F5"/>
    <w:rsid w:val="00CA5966"/>
    <w:rsid w:val="00CD1854"/>
    <w:rsid w:val="00D1447D"/>
    <w:rsid w:val="00D158F5"/>
    <w:rsid w:val="00D7432B"/>
    <w:rsid w:val="00DD27E6"/>
    <w:rsid w:val="00E017A3"/>
    <w:rsid w:val="00E60765"/>
    <w:rsid w:val="00EA5BEB"/>
    <w:rsid w:val="00F2787F"/>
    <w:rsid w:val="00FB4067"/>
    <w:rsid w:val="00FE1A5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86FF"/>
  <w15:chartTrackingRefBased/>
  <w15:docId w15:val="{3AA241DF-B96D-4DB6-AF9E-DDF3695D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D03E7"/>
  </w:style>
  <w:style w:type="paragraph" w:styleId="Otsikko1">
    <w:name w:val="heading 1"/>
    <w:basedOn w:val="Normaali"/>
    <w:next w:val="Normaali"/>
    <w:link w:val="Otsikko1Char"/>
    <w:uiPriority w:val="9"/>
    <w:qFormat/>
    <w:rsid w:val="009F7B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8C36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8C36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D03E7"/>
    <w:rPr>
      <w:color w:val="0563C1" w:themeColor="hyperlink"/>
      <w:u w:val="single"/>
    </w:rPr>
  </w:style>
  <w:style w:type="paragraph" w:styleId="Luettelokappale">
    <w:name w:val="List Paragraph"/>
    <w:basedOn w:val="Normaali"/>
    <w:uiPriority w:val="34"/>
    <w:qFormat/>
    <w:rsid w:val="00486FC2"/>
    <w:pPr>
      <w:ind w:left="720"/>
      <w:contextualSpacing/>
    </w:pPr>
  </w:style>
  <w:style w:type="character" w:styleId="Kommentinviite">
    <w:name w:val="annotation reference"/>
    <w:basedOn w:val="Kappaleenoletusfontti"/>
    <w:uiPriority w:val="99"/>
    <w:semiHidden/>
    <w:unhideWhenUsed/>
    <w:rsid w:val="000F37F5"/>
    <w:rPr>
      <w:sz w:val="16"/>
      <w:szCs w:val="16"/>
    </w:rPr>
  </w:style>
  <w:style w:type="paragraph" w:styleId="Kommentinteksti">
    <w:name w:val="annotation text"/>
    <w:basedOn w:val="Normaali"/>
    <w:link w:val="KommentintekstiChar"/>
    <w:uiPriority w:val="99"/>
    <w:semiHidden/>
    <w:unhideWhenUsed/>
    <w:rsid w:val="000F37F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F37F5"/>
    <w:rPr>
      <w:sz w:val="20"/>
      <w:szCs w:val="20"/>
    </w:rPr>
  </w:style>
  <w:style w:type="paragraph" w:styleId="Kommentinotsikko">
    <w:name w:val="annotation subject"/>
    <w:basedOn w:val="Kommentinteksti"/>
    <w:next w:val="Kommentinteksti"/>
    <w:link w:val="KommentinotsikkoChar"/>
    <w:uiPriority w:val="99"/>
    <w:semiHidden/>
    <w:unhideWhenUsed/>
    <w:rsid w:val="000F37F5"/>
    <w:rPr>
      <w:b/>
      <w:bCs/>
    </w:rPr>
  </w:style>
  <w:style w:type="character" w:customStyle="1" w:styleId="KommentinotsikkoChar">
    <w:name w:val="Kommentin otsikko Char"/>
    <w:basedOn w:val="KommentintekstiChar"/>
    <w:link w:val="Kommentinotsikko"/>
    <w:uiPriority w:val="99"/>
    <w:semiHidden/>
    <w:rsid w:val="000F37F5"/>
    <w:rPr>
      <w:b/>
      <w:bCs/>
      <w:sz w:val="20"/>
      <w:szCs w:val="20"/>
    </w:rPr>
  </w:style>
  <w:style w:type="paragraph" w:styleId="Seliteteksti">
    <w:name w:val="Balloon Text"/>
    <w:basedOn w:val="Normaali"/>
    <w:link w:val="SelitetekstiChar"/>
    <w:uiPriority w:val="99"/>
    <w:semiHidden/>
    <w:unhideWhenUsed/>
    <w:rsid w:val="000F37F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F37F5"/>
    <w:rPr>
      <w:rFonts w:ascii="Segoe UI" w:hAnsi="Segoe UI" w:cs="Segoe UI"/>
      <w:sz w:val="18"/>
      <w:szCs w:val="18"/>
    </w:rPr>
  </w:style>
  <w:style w:type="character" w:customStyle="1" w:styleId="Otsikko1Char">
    <w:name w:val="Otsikko 1 Char"/>
    <w:basedOn w:val="Kappaleenoletusfontti"/>
    <w:link w:val="Otsikko1"/>
    <w:uiPriority w:val="9"/>
    <w:rsid w:val="009F7B65"/>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8C368A"/>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8C36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6110</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Demirbas Sami</cp:lastModifiedBy>
  <cp:revision>2</cp:revision>
  <dcterms:created xsi:type="dcterms:W3CDTF">2021-02-08T12:05:00Z</dcterms:created>
  <dcterms:modified xsi:type="dcterms:W3CDTF">2021-02-08T12:05:00Z</dcterms:modified>
</cp:coreProperties>
</file>