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8A5" w14:textId="77777777" w:rsidR="00EC0345" w:rsidRPr="00E961B3" w:rsidRDefault="00EC0345" w:rsidP="00EC0345">
      <w:bookmarkStart w:id="0" w:name="_GoBack"/>
      <w:bookmarkEnd w:id="0"/>
      <w:r w:rsidRPr="00E961B3">
        <w:t>Oikeusministeriö/Avoimuusrekisterivalmistelun asiantuntijatyöryhmä</w:t>
      </w:r>
    </w:p>
    <w:p w14:paraId="73106509" w14:textId="114EAFBC" w:rsidR="00EC0345" w:rsidRPr="00E961B3" w:rsidRDefault="00EC0345" w:rsidP="00321310">
      <w:r w:rsidRPr="00E961B3">
        <w:t>MUISTIO</w:t>
      </w:r>
      <w:r w:rsidRPr="00E961B3">
        <w:tab/>
      </w:r>
      <w:r w:rsidR="00321310">
        <w:tab/>
      </w:r>
      <w:r w:rsidR="00321310">
        <w:tab/>
      </w:r>
      <w:r w:rsidR="00321310">
        <w:tab/>
      </w:r>
      <w:r w:rsidR="00321310">
        <w:tab/>
      </w:r>
      <w:r w:rsidR="00321310">
        <w:tab/>
      </w:r>
      <w:r w:rsidR="00E1763B">
        <w:t>2</w:t>
      </w:r>
      <w:r w:rsidR="008E6776">
        <w:t>5</w:t>
      </w:r>
      <w:r>
        <w:t>.5</w:t>
      </w:r>
      <w:r w:rsidRPr="00E961B3">
        <w:t>.2020</w:t>
      </w:r>
    </w:p>
    <w:p w14:paraId="5700F4F7" w14:textId="77777777" w:rsidR="00EC0345" w:rsidRPr="00E961B3" w:rsidRDefault="00EC0345" w:rsidP="00EC0345">
      <w:pPr>
        <w:spacing w:after="0" w:line="240" w:lineRule="auto"/>
        <w:contextualSpacing/>
        <w:rPr>
          <w:rFonts w:asciiTheme="majorHAnsi" w:eastAsiaTheme="majorEastAsia" w:hAnsiTheme="majorHAnsi" w:cstheme="majorBidi"/>
          <w:spacing w:val="-10"/>
          <w:kern w:val="28"/>
          <w:sz w:val="56"/>
          <w:szCs w:val="56"/>
        </w:rPr>
      </w:pPr>
    </w:p>
    <w:p w14:paraId="5AC29ABE" w14:textId="3038A152" w:rsidR="00EC0345" w:rsidRPr="009854FB" w:rsidRDefault="00217495" w:rsidP="006E76C0">
      <w:pPr>
        <w:spacing w:after="0" w:line="240" w:lineRule="auto"/>
        <w:contextualSpacing/>
        <w:rPr>
          <w:rFonts w:asciiTheme="majorHAnsi" w:eastAsiaTheme="majorEastAsia" w:hAnsiTheme="majorHAnsi" w:cstheme="majorBidi"/>
          <w:spacing w:val="-10"/>
          <w:kern w:val="28"/>
          <w:sz w:val="48"/>
          <w:szCs w:val="48"/>
        </w:rPr>
      </w:pPr>
      <w:r>
        <w:rPr>
          <w:rFonts w:asciiTheme="majorHAnsi" w:eastAsiaTheme="majorEastAsia" w:hAnsiTheme="majorHAnsi" w:cstheme="majorBidi"/>
          <w:spacing w:val="-10"/>
          <w:kern w:val="28"/>
          <w:sz w:val="48"/>
          <w:szCs w:val="48"/>
        </w:rPr>
        <w:t>L</w:t>
      </w:r>
      <w:r w:rsidR="009854FB" w:rsidRPr="009854FB">
        <w:rPr>
          <w:rFonts w:asciiTheme="majorHAnsi" w:eastAsiaTheme="majorEastAsia" w:hAnsiTheme="majorHAnsi" w:cstheme="majorBidi"/>
          <w:spacing w:val="-10"/>
          <w:kern w:val="28"/>
          <w:sz w:val="48"/>
          <w:szCs w:val="48"/>
        </w:rPr>
        <w:t>obbauksen m</w:t>
      </w:r>
      <w:r w:rsidR="00321310" w:rsidRPr="009854FB">
        <w:rPr>
          <w:rFonts w:asciiTheme="majorHAnsi" w:eastAsiaTheme="majorEastAsia" w:hAnsiTheme="majorHAnsi" w:cstheme="majorBidi"/>
          <w:spacing w:val="-10"/>
          <w:kern w:val="28"/>
          <w:sz w:val="48"/>
          <w:szCs w:val="48"/>
        </w:rPr>
        <w:t>äärittely</w:t>
      </w:r>
      <w:r w:rsidR="006E76C0">
        <w:rPr>
          <w:rFonts w:asciiTheme="majorHAnsi" w:eastAsiaTheme="majorEastAsia" w:hAnsiTheme="majorHAnsi" w:cstheme="majorBidi"/>
          <w:spacing w:val="-10"/>
          <w:kern w:val="28"/>
          <w:sz w:val="48"/>
          <w:szCs w:val="48"/>
        </w:rPr>
        <w:t>ä</w:t>
      </w:r>
      <w:r w:rsidR="003066B0">
        <w:rPr>
          <w:rFonts w:asciiTheme="majorHAnsi" w:eastAsiaTheme="majorEastAsia" w:hAnsiTheme="majorHAnsi" w:cstheme="majorBidi"/>
          <w:spacing w:val="-10"/>
          <w:kern w:val="28"/>
          <w:sz w:val="48"/>
          <w:szCs w:val="48"/>
        </w:rPr>
        <w:t xml:space="preserve"> </w:t>
      </w:r>
      <w:r w:rsidR="006E76C0">
        <w:rPr>
          <w:rFonts w:asciiTheme="majorHAnsi" w:eastAsiaTheme="majorEastAsia" w:hAnsiTheme="majorHAnsi" w:cstheme="majorBidi"/>
          <w:spacing w:val="-10"/>
          <w:kern w:val="28"/>
          <w:sz w:val="48"/>
          <w:szCs w:val="48"/>
        </w:rPr>
        <w:t>avoimuusrekisterivalmistelussa koskevat</w:t>
      </w:r>
      <w:r w:rsidR="006E76C0" w:rsidRPr="009854FB">
        <w:rPr>
          <w:rFonts w:asciiTheme="majorHAnsi" w:eastAsiaTheme="majorEastAsia" w:hAnsiTheme="majorHAnsi" w:cstheme="majorBidi"/>
          <w:spacing w:val="-10"/>
          <w:kern w:val="28"/>
          <w:sz w:val="48"/>
          <w:szCs w:val="48"/>
        </w:rPr>
        <w:t xml:space="preserve"> </w:t>
      </w:r>
      <w:r w:rsidR="003066B0">
        <w:rPr>
          <w:rFonts w:asciiTheme="majorHAnsi" w:eastAsiaTheme="majorEastAsia" w:hAnsiTheme="majorHAnsi" w:cstheme="majorBidi"/>
          <w:spacing w:val="-10"/>
          <w:kern w:val="28"/>
          <w:sz w:val="48"/>
          <w:szCs w:val="48"/>
        </w:rPr>
        <w:t>periaatteet</w:t>
      </w:r>
    </w:p>
    <w:p w14:paraId="76B76441" w14:textId="77777777" w:rsidR="00006FB8" w:rsidRDefault="00006FB8" w:rsidP="00EC0345">
      <w:pPr>
        <w:rPr>
          <w:b/>
        </w:rPr>
      </w:pPr>
    </w:p>
    <w:p w14:paraId="748E0DC4" w14:textId="77777777" w:rsidR="003066B0" w:rsidRPr="003066B0" w:rsidRDefault="00217495" w:rsidP="003066B0">
      <w:pPr>
        <w:rPr>
          <w:b/>
        </w:rPr>
      </w:pPr>
      <w:r>
        <w:rPr>
          <w:b/>
        </w:rPr>
        <w:t>Yleiset</w:t>
      </w:r>
      <w:r w:rsidR="003066B0" w:rsidRPr="003066B0">
        <w:rPr>
          <w:b/>
        </w:rPr>
        <w:t xml:space="preserve"> periaatteet</w:t>
      </w:r>
    </w:p>
    <w:p w14:paraId="08B317A9" w14:textId="77777777" w:rsidR="008C6097" w:rsidRDefault="008C6097" w:rsidP="003066B0">
      <w:pPr>
        <w:pStyle w:val="Luettelokappale"/>
        <w:numPr>
          <w:ilvl w:val="0"/>
          <w:numId w:val="1"/>
        </w:numPr>
        <w:ind w:left="1664"/>
        <w:rPr>
          <w:b/>
        </w:rPr>
      </w:pPr>
      <w:r>
        <w:rPr>
          <w:b/>
        </w:rPr>
        <w:t xml:space="preserve">Lobbausta voi tapahtua missä ja kenen toimesta tahansa, mutta kaikkea </w:t>
      </w:r>
      <w:r w:rsidR="004D1C56">
        <w:rPr>
          <w:b/>
        </w:rPr>
        <w:t xml:space="preserve">toimintaa </w:t>
      </w:r>
      <w:r>
        <w:rPr>
          <w:b/>
        </w:rPr>
        <w:t>ei voida kattaa rekisterillä.</w:t>
      </w:r>
    </w:p>
    <w:p w14:paraId="599F60D2" w14:textId="77777777" w:rsidR="008C6097" w:rsidRDefault="008C6097" w:rsidP="003066B0">
      <w:pPr>
        <w:ind w:left="1304"/>
        <w:rPr>
          <w:u w:val="single"/>
        </w:rPr>
      </w:pPr>
      <w:r w:rsidRPr="008C6097">
        <w:rPr>
          <w:u w:val="single"/>
        </w:rPr>
        <w:t>Perustelut</w:t>
      </w:r>
    </w:p>
    <w:p w14:paraId="52523B7E" w14:textId="77777777" w:rsidR="001B1716" w:rsidRPr="00C71D4B" w:rsidRDefault="004D1C56" w:rsidP="00C71D4B">
      <w:pPr>
        <w:pStyle w:val="Luettelokappale"/>
        <w:numPr>
          <w:ilvl w:val="0"/>
          <w:numId w:val="5"/>
        </w:numPr>
        <w:ind w:left="2384"/>
        <w:rPr>
          <w:u w:val="single"/>
        </w:rPr>
      </w:pPr>
      <w:r w:rsidRPr="004D1C56">
        <w:t xml:space="preserve">Lobbaus voidaan </w:t>
      </w:r>
      <w:r>
        <w:t xml:space="preserve">ymmärtää </w:t>
      </w:r>
      <w:r w:rsidRPr="004D1C56">
        <w:t xml:space="preserve">laajasti vaikuttamisena </w:t>
      </w:r>
      <w:r>
        <w:t xml:space="preserve">kaikenlaiseen </w:t>
      </w:r>
      <w:r w:rsidRPr="004D1C56">
        <w:t xml:space="preserve">päätöksentekoon. Avoimuusrekisterin kohdalla </w:t>
      </w:r>
      <w:r>
        <w:t>kysymys on kuitenkin rajatummasta vaikuttamisesta</w:t>
      </w:r>
      <w:r w:rsidRPr="004D1C56">
        <w:t>, joka kohdis</w:t>
      </w:r>
      <w:r>
        <w:t xml:space="preserve">tuu </w:t>
      </w:r>
      <w:r w:rsidR="007C795D">
        <w:t>julkiseen</w:t>
      </w:r>
      <w:r>
        <w:t xml:space="preserve"> päätöksentekoon.</w:t>
      </w:r>
      <w:r w:rsidR="00C71D4B">
        <w:t xml:space="preserve"> </w:t>
      </w:r>
      <w:r w:rsidR="001B1716">
        <w:t xml:space="preserve">Rajatummalla määrittelyllä vaikutetaan mm. siihen, ettei määrittely ole perustuslain vastainen ja kavenna kansalaisten perusoikeuksia (mm. osallistumisoikeuksia). </w:t>
      </w:r>
    </w:p>
    <w:p w14:paraId="37C13D7F" w14:textId="77777777" w:rsidR="00006FB8" w:rsidRDefault="00006FB8" w:rsidP="003066B0">
      <w:pPr>
        <w:ind w:left="1304"/>
        <w:rPr>
          <w:u w:val="single"/>
        </w:rPr>
      </w:pPr>
      <w:r w:rsidRPr="00006FB8">
        <w:rPr>
          <w:u w:val="single"/>
        </w:rPr>
        <w:t>Vaikutukset</w:t>
      </w:r>
    </w:p>
    <w:p w14:paraId="0B60FA1F" w14:textId="77777777" w:rsidR="001B3145" w:rsidRPr="001B3145" w:rsidRDefault="00006FB8" w:rsidP="003066B0">
      <w:pPr>
        <w:pStyle w:val="Luettelokappale"/>
        <w:numPr>
          <w:ilvl w:val="0"/>
          <w:numId w:val="5"/>
        </w:numPr>
        <w:ind w:left="2384"/>
        <w:rPr>
          <w:u w:val="single"/>
        </w:rPr>
      </w:pPr>
      <w:r>
        <w:t>Kaikkea kuviteltua lobbaustoimintaa ja lobbaajia ei löydy rekisteristä</w:t>
      </w:r>
      <w:r w:rsidR="007C795D">
        <w:t xml:space="preserve"> mm. yksittäisten kansalaisten tekemä vaikuttam</w:t>
      </w:r>
      <w:r w:rsidR="00FA6FF7">
        <w:t>inen (mm. yhteydenpito kansanedustajiin)</w:t>
      </w:r>
      <w:r w:rsidR="001B3145">
        <w:t>.</w:t>
      </w:r>
    </w:p>
    <w:p w14:paraId="10C3ABC4" w14:textId="77777777" w:rsidR="008C6097" w:rsidRPr="001B3145" w:rsidRDefault="008C6097" w:rsidP="00035A1B">
      <w:pPr>
        <w:pStyle w:val="Luettelokappale"/>
        <w:ind w:left="2384"/>
        <w:rPr>
          <w:u w:val="single"/>
        </w:rPr>
      </w:pPr>
    </w:p>
    <w:p w14:paraId="5A0A43BA" w14:textId="77777777" w:rsidR="008C6097" w:rsidRDefault="008C6097" w:rsidP="008C6097">
      <w:pPr>
        <w:pStyle w:val="Luettelokappale"/>
        <w:rPr>
          <w:b/>
        </w:rPr>
      </w:pPr>
    </w:p>
    <w:p w14:paraId="56D529BC" w14:textId="508BB3FF" w:rsidR="00FD4444" w:rsidRDefault="00CA2902" w:rsidP="003066B0">
      <w:pPr>
        <w:pStyle w:val="Luettelokappale"/>
        <w:numPr>
          <w:ilvl w:val="0"/>
          <w:numId w:val="1"/>
        </w:numPr>
        <w:ind w:left="1664"/>
        <w:rPr>
          <w:b/>
        </w:rPr>
      </w:pPr>
      <w:r w:rsidRPr="00CA2902">
        <w:rPr>
          <w:b/>
        </w:rPr>
        <w:t>Lobbaus voi kohdistua moniin eri toimijoihin päätöksenteon eri vaiheissa.</w:t>
      </w:r>
    </w:p>
    <w:p w14:paraId="4AAEF21B" w14:textId="77777777" w:rsidR="00FD4444" w:rsidRDefault="00FD4444" w:rsidP="00FD4444">
      <w:pPr>
        <w:ind w:left="1304"/>
        <w:rPr>
          <w:u w:val="single"/>
        </w:rPr>
      </w:pPr>
      <w:r w:rsidRPr="001B1716">
        <w:rPr>
          <w:u w:val="single"/>
        </w:rPr>
        <w:t>Perustelut</w:t>
      </w:r>
    </w:p>
    <w:p w14:paraId="348AC35C" w14:textId="77777777" w:rsidR="00FD4444" w:rsidRPr="001B3145" w:rsidRDefault="00821EC0" w:rsidP="00FD4444">
      <w:pPr>
        <w:pStyle w:val="Luettelokappale"/>
        <w:numPr>
          <w:ilvl w:val="0"/>
          <w:numId w:val="5"/>
        </w:numPr>
        <w:ind w:left="2384"/>
        <w:rPr>
          <w:u w:val="single"/>
        </w:rPr>
      </w:pPr>
      <w:r>
        <w:t xml:space="preserve">Lobbaus kohdistuu usein eri toimijoihin eri vaiheissa, jolloin rekisterin luotettavuuden näkökulmasta on tärkeää, että sääntely kattaa vaikuttamisen kaikkiin sääntelyn piirissä oleviin toimijoihin näiden asemasta riippumatta. </w:t>
      </w:r>
    </w:p>
    <w:p w14:paraId="4A757A30" w14:textId="77777777" w:rsidR="00FD4444" w:rsidRDefault="00FD4444" w:rsidP="00FD4444">
      <w:pPr>
        <w:ind w:left="1304"/>
        <w:rPr>
          <w:u w:val="single"/>
        </w:rPr>
      </w:pPr>
      <w:r w:rsidRPr="008C6097">
        <w:rPr>
          <w:u w:val="single"/>
        </w:rPr>
        <w:t>Vaikutukset</w:t>
      </w:r>
    </w:p>
    <w:p w14:paraId="17DD4E25" w14:textId="77777777" w:rsidR="00B12CBB" w:rsidRPr="00B12CBB" w:rsidRDefault="00821EC0" w:rsidP="00B12CBB">
      <w:pPr>
        <w:pStyle w:val="Luettelokappale"/>
        <w:numPr>
          <w:ilvl w:val="0"/>
          <w:numId w:val="5"/>
        </w:numPr>
        <w:ind w:left="2384"/>
        <w:rPr>
          <w:u w:val="single"/>
        </w:rPr>
      </w:pPr>
      <w:r>
        <w:t>Sääntelyyn ei synny ilmeisiä aukkoja, jotka mahdollistaisivat lobbauksen kohdistumisen tiettyihin rekisterin ulkopuolisiin toimijoihin, kuten alempiin virkamiehiin</w:t>
      </w:r>
      <w:r w:rsidR="00B12CBB">
        <w:t xml:space="preserve"> tai poliittisiin avustajiin</w:t>
      </w:r>
      <w:r>
        <w:t>.</w:t>
      </w:r>
    </w:p>
    <w:p w14:paraId="200B9897" w14:textId="77777777" w:rsidR="00FD4444" w:rsidRPr="008C6097" w:rsidRDefault="00FD4444" w:rsidP="00FD4444">
      <w:pPr>
        <w:ind w:left="1304"/>
        <w:rPr>
          <w:u w:val="single"/>
        </w:rPr>
      </w:pPr>
      <w:r w:rsidRPr="008C6097">
        <w:rPr>
          <w:u w:val="single"/>
        </w:rPr>
        <w:t>Kysymykset</w:t>
      </w:r>
    </w:p>
    <w:p w14:paraId="77E9A6B4" w14:textId="6538E04F" w:rsidR="00FD4444" w:rsidRPr="00FD4444" w:rsidRDefault="00CA2902" w:rsidP="000123A6">
      <w:pPr>
        <w:pStyle w:val="Luettelokappale"/>
        <w:numPr>
          <w:ilvl w:val="0"/>
          <w:numId w:val="5"/>
        </w:numPr>
        <w:ind w:left="2384"/>
        <w:rPr>
          <w:b/>
        </w:rPr>
      </w:pPr>
      <w:r>
        <w:t>K</w:t>
      </w:r>
      <w:r w:rsidRPr="00CA2902">
        <w:t>eihin kaikkiin vaikuttamisen pitäisi olla osa avoimuusrekisteriä? Poliitikot, ylemmät virkamiehet, vastuuvalmistelijat, avustava henkilöstö, poliittiset avustajat?</w:t>
      </w:r>
    </w:p>
    <w:p w14:paraId="59AD3D07" w14:textId="77777777" w:rsidR="00FD4444" w:rsidRPr="00FD4444" w:rsidRDefault="00FD4444" w:rsidP="00FD4444">
      <w:pPr>
        <w:ind w:left="1304"/>
        <w:rPr>
          <w:b/>
        </w:rPr>
      </w:pPr>
    </w:p>
    <w:p w14:paraId="660B1646" w14:textId="77777777" w:rsidR="008C6097" w:rsidRDefault="008C6097" w:rsidP="003066B0">
      <w:pPr>
        <w:pStyle w:val="Luettelokappale"/>
        <w:numPr>
          <w:ilvl w:val="0"/>
          <w:numId w:val="1"/>
        </w:numPr>
        <w:ind w:left="1664"/>
        <w:rPr>
          <w:b/>
        </w:rPr>
      </w:pPr>
      <w:r>
        <w:rPr>
          <w:b/>
        </w:rPr>
        <w:lastRenderedPageBreak/>
        <w:t xml:space="preserve">On tärkeää seurata </w:t>
      </w:r>
      <w:proofErr w:type="spellStart"/>
      <w:r>
        <w:rPr>
          <w:b/>
        </w:rPr>
        <w:t>kv</w:t>
      </w:r>
      <w:proofErr w:type="spellEnd"/>
      <w:r>
        <w:rPr>
          <w:b/>
        </w:rPr>
        <w:t>-esimerkkejä, mutta mikään malli ei ole otettavissa käyttöön sellaisenaan Suomessa.</w:t>
      </w:r>
    </w:p>
    <w:p w14:paraId="52626860" w14:textId="77777777" w:rsidR="001B1716" w:rsidRDefault="001B1716" w:rsidP="003066B0">
      <w:pPr>
        <w:ind w:left="1304"/>
        <w:rPr>
          <w:u w:val="single"/>
        </w:rPr>
      </w:pPr>
      <w:r w:rsidRPr="001B1716">
        <w:rPr>
          <w:u w:val="single"/>
        </w:rPr>
        <w:t>Perustelut</w:t>
      </w:r>
    </w:p>
    <w:p w14:paraId="244B08C3" w14:textId="77777777" w:rsidR="00321310" w:rsidRPr="00FA6FF7" w:rsidRDefault="00321310" w:rsidP="003066B0">
      <w:pPr>
        <w:pStyle w:val="Luettelokappale"/>
        <w:numPr>
          <w:ilvl w:val="0"/>
          <w:numId w:val="5"/>
        </w:numPr>
        <w:ind w:left="2384"/>
        <w:rPr>
          <w:u w:val="single"/>
        </w:rPr>
      </w:pPr>
      <w:r>
        <w:t xml:space="preserve">KV-suositukset suosittavat ottamaan mallia eri maiden rekistereistä, mutta muistuttavat </w:t>
      </w:r>
      <w:r w:rsidR="009854FB">
        <w:t xml:space="preserve">niiden olevan luotuja tiettyyn kontekstiin. </w:t>
      </w:r>
    </w:p>
    <w:p w14:paraId="6D9BEB2B" w14:textId="6B18EECB" w:rsidR="00FA6FF7" w:rsidRPr="00321310" w:rsidRDefault="004E0655" w:rsidP="003066B0">
      <w:pPr>
        <w:pStyle w:val="Luettelokappale"/>
        <w:numPr>
          <w:ilvl w:val="0"/>
          <w:numId w:val="5"/>
        </w:numPr>
        <w:ind w:left="2384"/>
        <w:rPr>
          <w:u w:val="single"/>
        </w:rPr>
      </w:pPr>
      <w:r>
        <w:t xml:space="preserve">Suomi on ottamassa ensimmäisenä Pohjoismaana käyttöön lobbausrekisteriä. </w:t>
      </w:r>
      <w:r w:rsidR="00B05BC0">
        <w:t>Pohjoismaille ominainen</w:t>
      </w:r>
      <w:r w:rsidR="00FA6FF7">
        <w:t xml:space="preserve"> korporatiivinen järjestelmä</w:t>
      </w:r>
      <w:r w:rsidR="00CA2902">
        <w:t xml:space="preserve"> sisältää</w:t>
      </w:r>
      <w:r w:rsidR="00FD3F64">
        <w:t xml:space="preserve"> muista lobbausrekisterimaista poikkeavia</w:t>
      </w:r>
      <w:r w:rsidR="00CA2902">
        <w:t xml:space="preserve"> erityispiirteitä, jo</w:t>
      </w:r>
      <w:r w:rsidR="00FD3F64">
        <w:t>ihin tulee kiinnittää huomiota sääntelyä valmisteltaessa.</w:t>
      </w:r>
      <w:r w:rsidR="00FA6FF7">
        <w:t xml:space="preserve"> </w:t>
      </w:r>
    </w:p>
    <w:p w14:paraId="1199B1A8" w14:textId="77777777" w:rsidR="001B1716" w:rsidRDefault="001B1716" w:rsidP="003066B0">
      <w:pPr>
        <w:ind w:left="1304"/>
        <w:rPr>
          <w:u w:val="single"/>
        </w:rPr>
      </w:pPr>
      <w:r w:rsidRPr="001B1716">
        <w:rPr>
          <w:u w:val="single"/>
        </w:rPr>
        <w:t>Vaikutukset</w:t>
      </w:r>
    </w:p>
    <w:p w14:paraId="50413633" w14:textId="77777777" w:rsidR="009854FB" w:rsidRPr="009854FB" w:rsidRDefault="009854FB" w:rsidP="003066B0">
      <w:pPr>
        <w:pStyle w:val="Luettelokappale"/>
        <w:numPr>
          <w:ilvl w:val="0"/>
          <w:numId w:val="5"/>
        </w:numPr>
        <w:ind w:left="2384"/>
        <w:rPr>
          <w:u w:val="single"/>
        </w:rPr>
      </w:pPr>
      <w:r>
        <w:t>Mitään rekisterimallia ei voida ottaa suoraan käyttöön, vaan rekisteri tulee rakentaa Suomen tarpeista käsin. Eri maiden ratkaisuja ja kokemuksia tulee kuitenkin hyödyntää mahdollisimman laajasti sääntelyn valmistelussa.</w:t>
      </w:r>
    </w:p>
    <w:p w14:paraId="70C916E5" w14:textId="77777777" w:rsidR="001B1716" w:rsidRPr="001B1716" w:rsidRDefault="001B1716" w:rsidP="003066B0">
      <w:pPr>
        <w:ind w:left="1304"/>
        <w:rPr>
          <w:u w:val="single"/>
        </w:rPr>
      </w:pPr>
      <w:r w:rsidRPr="001B1716">
        <w:rPr>
          <w:u w:val="single"/>
        </w:rPr>
        <w:t>Kysymykset</w:t>
      </w:r>
    </w:p>
    <w:p w14:paraId="6D803D42" w14:textId="0D9E973A" w:rsidR="001B1716" w:rsidRPr="009854FB" w:rsidRDefault="00FA6FF7" w:rsidP="003066B0">
      <w:pPr>
        <w:pStyle w:val="Luettelokappale"/>
        <w:numPr>
          <w:ilvl w:val="0"/>
          <w:numId w:val="5"/>
        </w:numPr>
        <w:ind w:left="2384"/>
      </w:pPr>
      <w:r>
        <w:t>Mihin maihin tulisi erityisesti keskittyä?</w:t>
      </w:r>
      <w:r w:rsidR="0095184E">
        <w:t xml:space="preserve"> Mitkä ovat hyvät tai varoittavat esimerkit käsitellyistä kansainvälisistä esimerkeistä?</w:t>
      </w:r>
    </w:p>
    <w:p w14:paraId="6BBB06BC" w14:textId="77777777" w:rsidR="008C6097" w:rsidRDefault="008C6097" w:rsidP="008C6097">
      <w:pPr>
        <w:pStyle w:val="Luettelokappale"/>
        <w:rPr>
          <w:b/>
        </w:rPr>
      </w:pPr>
    </w:p>
    <w:p w14:paraId="00FE3A95" w14:textId="0B16615B" w:rsidR="00B57E0E" w:rsidRDefault="00B57E0E" w:rsidP="003066B0">
      <w:pPr>
        <w:numPr>
          <w:ilvl w:val="0"/>
          <w:numId w:val="1"/>
        </w:numPr>
        <w:ind w:left="1664"/>
        <w:contextualSpacing/>
        <w:rPr>
          <w:b/>
        </w:rPr>
      </w:pPr>
      <w:r>
        <w:rPr>
          <w:b/>
        </w:rPr>
        <w:t xml:space="preserve">Lobbaus on </w:t>
      </w:r>
      <w:r w:rsidR="000123A6">
        <w:rPr>
          <w:b/>
        </w:rPr>
        <w:t xml:space="preserve">luonteeltaan </w:t>
      </w:r>
      <w:r>
        <w:rPr>
          <w:b/>
        </w:rPr>
        <w:t>tavoitteellista</w:t>
      </w:r>
      <w:r w:rsidR="00722C18">
        <w:rPr>
          <w:b/>
        </w:rPr>
        <w:t>, organisoitua ja suunnitelmallista</w:t>
      </w:r>
      <w:r>
        <w:rPr>
          <w:b/>
        </w:rPr>
        <w:t xml:space="preserve"> toimintaa</w:t>
      </w:r>
    </w:p>
    <w:p w14:paraId="341A2957" w14:textId="77777777" w:rsidR="00B57E0E" w:rsidRDefault="00B57E0E" w:rsidP="00B57E0E">
      <w:pPr>
        <w:ind w:left="1664"/>
        <w:contextualSpacing/>
        <w:rPr>
          <w:b/>
        </w:rPr>
      </w:pPr>
    </w:p>
    <w:p w14:paraId="6AB0C5D2" w14:textId="77777777" w:rsidR="00722C18" w:rsidRDefault="00722C18" w:rsidP="00722C18">
      <w:pPr>
        <w:ind w:left="1304"/>
        <w:rPr>
          <w:u w:val="single"/>
        </w:rPr>
      </w:pPr>
      <w:r w:rsidRPr="001B1716">
        <w:rPr>
          <w:u w:val="single"/>
        </w:rPr>
        <w:t>Perustelut</w:t>
      </w:r>
    </w:p>
    <w:p w14:paraId="1AA1FF1E" w14:textId="181C50C8" w:rsidR="00722C18" w:rsidRPr="00722C18" w:rsidRDefault="00722C18" w:rsidP="00722C18">
      <w:pPr>
        <w:pStyle w:val="Luettelokappale"/>
        <w:numPr>
          <w:ilvl w:val="0"/>
          <w:numId w:val="5"/>
        </w:numPr>
        <w:ind w:left="2384"/>
        <w:rPr>
          <w:u w:val="single"/>
        </w:rPr>
      </w:pPr>
      <w:proofErr w:type="spellStart"/>
      <w:r>
        <w:t>Kv</w:t>
      </w:r>
      <w:proofErr w:type="spellEnd"/>
      <w:r>
        <w:t>-esimerkkien perusteella lobbau</w:t>
      </w:r>
      <w:r w:rsidR="0095184E">
        <w:t>s</w:t>
      </w:r>
      <w:r>
        <w:t xml:space="preserve">sääntelyn lähtökohtana tulee olla toiminta, ei toimijan status. Tällöin määritelmä tavoittaa paremmin lobbaukseen liittyvän toiminnan sen sijaan, että lobbaus määriteltäisiin lähtökohtaisesti jonkun toimijan ominaisuudeksi. </w:t>
      </w:r>
    </w:p>
    <w:p w14:paraId="53C4DA65" w14:textId="2297A072" w:rsidR="00722C18" w:rsidRPr="00722C18" w:rsidRDefault="00EC3859" w:rsidP="00722C18">
      <w:pPr>
        <w:pStyle w:val="Luettelokappale"/>
        <w:numPr>
          <w:ilvl w:val="0"/>
          <w:numId w:val="5"/>
        </w:numPr>
        <w:ind w:left="2384"/>
        <w:rPr>
          <w:u w:val="single"/>
        </w:rPr>
      </w:pPr>
      <w:r>
        <w:t xml:space="preserve">KV-suositukset muistuttavat, että </w:t>
      </w:r>
      <w:r w:rsidR="0095184E">
        <w:t>”</w:t>
      </w:r>
      <w:r w:rsidR="00722C18">
        <w:t xml:space="preserve">Lobbaukseen liittyvä toiminta on </w:t>
      </w:r>
      <w:r>
        <w:t xml:space="preserve">aina </w:t>
      </w:r>
      <w:r w:rsidR="00722C18">
        <w:t>tavoitteellista</w:t>
      </w:r>
      <w:r>
        <w:t>, suunnitelmallista ja organisoitua</w:t>
      </w:r>
      <w:r w:rsidR="00722C18">
        <w:t xml:space="preserve"> toimintaan, jolla pyritään selkeästi vaikuttamaan lobbauksen kohteeseen</w:t>
      </w:r>
      <w:r w:rsidR="0095184E">
        <w:t>”</w:t>
      </w:r>
      <w:r w:rsidR="00722C18">
        <w:t xml:space="preserve">.  </w:t>
      </w:r>
    </w:p>
    <w:p w14:paraId="41FB2CE2" w14:textId="77777777" w:rsidR="00722C18" w:rsidRPr="00722C18" w:rsidRDefault="00722C18" w:rsidP="00722C18">
      <w:pPr>
        <w:ind w:firstLine="1304"/>
        <w:rPr>
          <w:u w:val="single"/>
        </w:rPr>
      </w:pPr>
      <w:r w:rsidRPr="00722C18">
        <w:rPr>
          <w:u w:val="single"/>
        </w:rPr>
        <w:t>Vaikutukset</w:t>
      </w:r>
    </w:p>
    <w:p w14:paraId="5BF5ABEC" w14:textId="77777777" w:rsidR="00722C18" w:rsidRPr="00EC3859" w:rsidRDefault="00722C18" w:rsidP="00722C18">
      <w:pPr>
        <w:pStyle w:val="Luettelokappale"/>
        <w:numPr>
          <w:ilvl w:val="0"/>
          <w:numId w:val="5"/>
        </w:numPr>
        <w:ind w:left="2384"/>
        <w:rPr>
          <w:u w:val="single"/>
        </w:rPr>
      </w:pPr>
      <w:r>
        <w:t xml:space="preserve">Lähtökohtaisesti kaikki toimijat, jotka harjoittavat lobbaukseksi luokiteltua toimintaa voidaan määritellä lobbaajiksi. </w:t>
      </w:r>
    </w:p>
    <w:p w14:paraId="7AD1640F" w14:textId="40714313" w:rsidR="00EC3859" w:rsidRPr="00FB588F" w:rsidRDefault="00EC3859" w:rsidP="00EC3859">
      <w:pPr>
        <w:pStyle w:val="Luettelokappale"/>
        <w:numPr>
          <w:ilvl w:val="0"/>
          <w:numId w:val="5"/>
        </w:numPr>
        <w:ind w:left="2384"/>
        <w:rPr>
          <w:u w:val="single"/>
        </w:rPr>
      </w:pPr>
      <w:r>
        <w:t>Tavoitteellinen, suunnitelmallinen ja organisoitunut toiminta auttaa myös erottamaan lobbauksen sellaisesta toiminnasta, joka on luonteeltaan kertaluonteista ja suunnittelematonta yhteydenpitoa, jota ei ole mielekästä määritellä lobbaukseksi. Esim.</w:t>
      </w:r>
      <w:r w:rsidR="00494C6B">
        <w:t xml:space="preserve"> yksittäinen </w:t>
      </w:r>
      <w:r>
        <w:t>osallistuminen tilaisuuteen, jossa on kansanedustajia.</w:t>
      </w:r>
    </w:p>
    <w:p w14:paraId="5426FB21" w14:textId="18625E79" w:rsidR="0095184E" w:rsidRPr="00EC3859" w:rsidRDefault="0095184E" w:rsidP="00EC3859">
      <w:pPr>
        <w:pStyle w:val="Luettelokappale"/>
        <w:numPr>
          <w:ilvl w:val="0"/>
          <w:numId w:val="5"/>
        </w:numPr>
        <w:ind w:left="2384"/>
        <w:rPr>
          <w:u w:val="single"/>
        </w:rPr>
      </w:pPr>
      <w:r>
        <w:t xml:space="preserve">Haasteena voivat olla rajatapaukset ja määrittelyn vaikeus. </w:t>
      </w:r>
    </w:p>
    <w:p w14:paraId="4DF87FCC" w14:textId="77777777" w:rsidR="00722C18" w:rsidRPr="00EC3859" w:rsidRDefault="00722C18" w:rsidP="00EC3859">
      <w:pPr>
        <w:ind w:firstLine="1304"/>
        <w:rPr>
          <w:u w:val="single"/>
        </w:rPr>
      </w:pPr>
      <w:r w:rsidRPr="00EC3859">
        <w:rPr>
          <w:u w:val="single"/>
        </w:rPr>
        <w:t>Kysymykset</w:t>
      </w:r>
    </w:p>
    <w:p w14:paraId="514B81C3" w14:textId="10CEF60B" w:rsidR="00B57E0E" w:rsidRDefault="0095184E" w:rsidP="00120336">
      <w:pPr>
        <w:pStyle w:val="Luettelokappale"/>
        <w:numPr>
          <w:ilvl w:val="0"/>
          <w:numId w:val="5"/>
        </w:numPr>
        <w:ind w:left="2384"/>
      </w:pPr>
      <w:r>
        <w:t>Miten voidaan lainsäädännössä rajata rekisteröitymisvelvollisuuden piiriin kuuluva toiminta ilman, että mahdollistetaan ns. porsaanreikien hyödyntäminen?</w:t>
      </w:r>
    </w:p>
    <w:p w14:paraId="6EC1AC4E" w14:textId="5213B279" w:rsidR="0095184E" w:rsidRPr="00120336" w:rsidRDefault="0095184E" w:rsidP="00120336">
      <w:pPr>
        <w:pStyle w:val="Luettelokappale"/>
        <w:numPr>
          <w:ilvl w:val="0"/>
          <w:numId w:val="5"/>
        </w:numPr>
        <w:ind w:left="2384"/>
      </w:pPr>
      <w:r>
        <w:t>Millä taholla tulisi olla tulkintavalta toiminnan luonteesta?</w:t>
      </w:r>
    </w:p>
    <w:p w14:paraId="58BDE8B6" w14:textId="77777777" w:rsidR="00B57E0E" w:rsidRDefault="00B57E0E" w:rsidP="00B57E0E">
      <w:pPr>
        <w:ind w:left="1664"/>
        <w:contextualSpacing/>
        <w:rPr>
          <w:b/>
        </w:rPr>
      </w:pPr>
    </w:p>
    <w:p w14:paraId="089563EA" w14:textId="77777777" w:rsidR="003066B0" w:rsidRDefault="003066B0" w:rsidP="003066B0">
      <w:pPr>
        <w:numPr>
          <w:ilvl w:val="0"/>
          <w:numId w:val="1"/>
        </w:numPr>
        <w:ind w:left="1664"/>
        <w:contextualSpacing/>
        <w:rPr>
          <w:b/>
        </w:rPr>
      </w:pPr>
      <w:r w:rsidRPr="003066B0">
        <w:rPr>
          <w:b/>
        </w:rPr>
        <w:t>Lobbausrekisterin tulee sisältää</w:t>
      </w:r>
      <w:r w:rsidR="00FA6FF7">
        <w:rPr>
          <w:b/>
        </w:rPr>
        <w:t xml:space="preserve"> ajantasaista</w:t>
      </w:r>
      <w:r w:rsidRPr="003066B0">
        <w:rPr>
          <w:b/>
        </w:rPr>
        <w:t xml:space="preserve"> tieto</w:t>
      </w:r>
      <w:r w:rsidR="00FA6FF7">
        <w:rPr>
          <w:b/>
        </w:rPr>
        <w:t>a</w:t>
      </w:r>
      <w:r w:rsidRPr="003066B0">
        <w:rPr>
          <w:b/>
        </w:rPr>
        <w:t xml:space="preserve"> lobbaajasta, lobbauskohteesta, käytettävistä keinoista ja resursseista.</w:t>
      </w:r>
    </w:p>
    <w:p w14:paraId="6626BAA8" w14:textId="77777777" w:rsidR="00E640FA" w:rsidRPr="003066B0" w:rsidRDefault="00E640FA" w:rsidP="00E640FA">
      <w:pPr>
        <w:ind w:left="1664"/>
        <w:contextualSpacing/>
        <w:rPr>
          <w:b/>
        </w:rPr>
      </w:pPr>
    </w:p>
    <w:p w14:paraId="76D3B723" w14:textId="77777777" w:rsidR="003066B0" w:rsidRPr="003066B0" w:rsidRDefault="003066B0" w:rsidP="003066B0">
      <w:pPr>
        <w:ind w:left="1304"/>
        <w:rPr>
          <w:u w:val="single"/>
        </w:rPr>
      </w:pPr>
      <w:r w:rsidRPr="003066B0">
        <w:rPr>
          <w:u w:val="single"/>
        </w:rPr>
        <w:t>Perustelut</w:t>
      </w:r>
    </w:p>
    <w:p w14:paraId="3325C070" w14:textId="77777777" w:rsidR="003066B0" w:rsidRPr="003066B0" w:rsidRDefault="003066B0" w:rsidP="00F77655">
      <w:pPr>
        <w:numPr>
          <w:ilvl w:val="0"/>
          <w:numId w:val="5"/>
        </w:numPr>
        <w:ind w:left="2384"/>
        <w:contextualSpacing/>
        <w:rPr>
          <w:u w:val="single"/>
        </w:rPr>
      </w:pPr>
      <w:r w:rsidRPr="003066B0">
        <w:t>Jotta rekisteristä saadaan aitoa hyötyä</w:t>
      </w:r>
      <w:r w:rsidR="00FA6FF7">
        <w:t>, eli lisättyä päätöksenteon ja sen valmistelun läpinäkyvyyttä</w:t>
      </w:r>
      <w:r w:rsidRPr="003066B0">
        <w:t>, tulee sen sisältää riittävästi</w:t>
      </w:r>
      <w:r w:rsidR="00FA6FF7">
        <w:t xml:space="preserve"> ja ajantasaista</w:t>
      </w:r>
      <w:r w:rsidRPr="003066B0">
        <w:t xml:space="preserve"> tietoa lobbauskohteesta, lobbaajasta ja lobbaustoiminnasta. </w:t>
      </w:r>
    </w:p>
    <w:p w14:paraId="4A5452F1" w14:textId="77777777" w:rsidR="003066B0" w:rsidRPr="003066B0" w:rsidRDefault="003066B0" w:rsidP="003066B0">
      <w:pPr>
        <w:ind w:left="1304"/>
        <w:rPr>
          <w:u w:val="single"/>
        </w:rPr>
      </w:pPr>
      <w:r w:rsidRPr="003066B0">
        <w:rPr>
          <w:u w:val="single"/>
        </w:rPr>
        <w:t>Vaikutukset</w:t>
      </w:r>
    </w:p>
    <w:p w14:paraId="1FFEC19E" w14:textId="77777777" w:rsidR="003066B0" w:rsidRPr="003066B0" w:rsidRDefault="003066B0" w:rsidP="003066B0">
      <w:pPr>
        <w:numPr>
          <w:ilvl w:val="0"/>
          <w:numId w:val="5"/>
        </w:numPr>
        <w:ind w:left="2384"/>
        <w:contextualSpacing/>
        <w:rPr>
          <w:u w:val="single"/>
        </w:rPr>
      </w:pPr>
      <w:r w:rsidRPr="003066B0">
        <w:t>Rekisteri tarjoaa uutta tietoa, jota ei vielä ole olemassa muissa rekistereissä.</w:t>
      </w:r>
    </w:p>
    <w:p w14:paraId="0B568A9E" w14:textId="77777777" w:rsidR="003066B0" w:rsidRPr="003066B0" w:rsidRDefault="003066B0" w:rsidP="003066B0">
      <w:pPr>
        <w:numPr>
          <w:ilvl w:val="0"/>
          <w:numId w:val="5"/>
        </w:numPr>
        <w:ind w:left="2384"/>
        <w:contextualSpacing/>
        <w:rPr>
          <w:u w:val="single"/>
        </w:rPr>
      </w:pPr>
      <w:r w:rsidRPr="003066B0">
        <w:t>Hallinnollinen taakka voi kasvaa jonkin verran, jotta rekisteriin sisällytettävä tieto on tarkoituksenmukaista</w:t>
      </w:r>
      <w:r w:rsidR="00FA6FF7">
        <w:t xml:space="preserve"> ja ajantasaista</w:t>
      </w:r>
      <w:r w:rsidRPr="003066B0">
        <w:t>.</w:t>
      </w:r>
    </w:p>
    <w:p w14:paraId="12107611" w14:textId="77777777" w:rsidR="00FA6FF7" w:rsidRPr="00FA6FF7" w:rsidRDefault="003066B0" w:rsidP="00FA6FF7">
      <w:pPr>
        <w:ind w:left="1304"/>
        <w:rPr>
          <w:u w:val="single"/>
        </w:rPr>
      </w:pPr>
      <w:r w:rsidRPr="003066B0">
        <w:rPr>
          <w:u w:val="single"/>
        </w:rPr>
        <w:t>Kysymykset</w:t>
      </w:r>
    </w:p>
    <w:p w14:paraId="1C8E132A" w14:textId="77777777" w:rsidR="00FA6FF7" w:rsidRPr="003066B0" w:rsidRDefault="00310EC5" w:rsidP="00FA6FF7">
      <w:pPr>
        <w:numPr>
          <w:ilvl w:val="0"/>
          <w:numId w:val="5"/>
        </w:numPr>
        <w:ind w:left="2384"/>
        <w:contextualSpacing/>
        <w:rPr>
          <w:u w:val="single"/>
        </w:rPr>
      </w:pPr>
      <w:r>
        <w:t>Mitä tieto rekisterin tulisi sisältää, jotta se olisi riittävää?</w:t>
      </w:r>
    </w:p>
    <w:p w14:paraId="1181F373" w14:textId="77777777" w:rsidR="003066B0" w:rsidRPr="003066B0" w:rsidRDefault="00310EC5" w:rsidP="00FA6FF7">
      <w:pPr>
        <w:numPr>
          <w:ilvl w:val="0"/>
          <w:numId w:val="5"/>
        </w:numPr>
        <w:ind w:left="2384"/>
        <w:contextualSpacing/>
        <w:rPr>
          <w:u w:val="single"/>
        </w:rPr>
      </w:pPr>
      <w:r>
        <w:t>Kuinka ajantasaista tiedon tulee olla?</w:t>
      </w:r>
    </w:p>
    <w:p w14:paraId="4165374D" w14:textId="77777777" w:rsidR="00E640FA" w:rsidRPr="00FA6FF7" w:rsidRDefault="00E640FA" w:rsidP="00FA6FF7">
      <w:pPr>
        <w:rPr>
          <w:u w:val="single"/>
        </w:rPr>
      </w:pPr>
    </w:p>
    <w:p w14:paraId="63076B79" w14:textId="77777777" w:rsidR="003066B0" w:rsidRPr="003066B0" w:rsidRDefault="003066B0" w:rsidP="00217495">
      <w:pPr>
        <w:pStyle w:val="Luettelokappale"/>
        <w:numPr>
          <w:ilvl w:val="0"/>
          <w:numId w:val="1"/>
        </w:numPr>
        <w:ind w:left="1664"/>
        <w:rPr>
          <w:b/>
        </w:rPr>
      </w:pPr>
      <w:r>
        <w:rPr>
          <w:b/>
        </w:rPr>
        <w:t>Lobbausrekisteriin rekisteröitymine</w:t>
      </w:r>
      <w:r w:rsidR="00217495">
        <w:rPr>
          <w:b/>
        </w:rPr>
        <w:t>n tulee olemaan pakollista</w:t>
      </w:r>
      <w:r w:rsidR="00E640FA">
        <w:rPr>
          <w:b/>
        </w:rPr>
        <w:t xml:space="preserve"> ja sanktioitua</w:t>
      </w:r>
    </w:p>
    <w:p w14:paraId="2EB2ED61" w14:textId="77777777" w:rsidR="00217495" w:rsidRDefault="003066B0" w:rsidP="00217495">
      <w:pPr>
        <w:ind w:left="1304"/>
        <w:rPr>
          <w:u w:val="single"/>
        </w:rPr>
      </w:pPr>
      <w:r w:rsidRPr="003066B0">
        <w:rPr>
          <w:u w:val="single"/>
        </w:rPr>
        <w:t>Perustelut</w:t>
      </w:r>
    </w:p>
    <w:p w14:paraId="214975B6" w14:textId="77777777" w:rsidR="00E640FA" w:rsidRPr="00E640FA" w:rsidRDefault="00E640FA" w:rsidP="00E640FA">
      <w:pPr>
        <w:pStyle w:val="Luettelokappale"/>
        <w:numPr>
          <w:ilvl w:val="0"/>
          <w:numId w:val="11"/>
        </w:numPr>
        <w:rPr>
          <w:u w:val="single"/>
        </w:rPr>
      </w:pPr>
      <w:r>
        <w:t>Jotta rekisteri tosiasiallisesti toimisi ja siihen rekisteröidyttäisiin, tulee rekisteröitymisen olla pakollista ja sanktioitua.</w:t>
      </w:r>
    </w:p>
    <w:p w14:paraId="1A3587EF" w14:textId="5115E627" w:rsidR="00E640FA" w:rsidRPr="00E640FA" w:rsidRDefault="00E640FA" w:rsidP="00E640FA">
      <w:pPr>
        <w:pStyle w:val="Luettelokappale"/>
        <w:numPr>
          <w:ilvl w:val="0"/>
          <w:numId w:val="11"/>
        </w:numPr>
        <w:rPr>
          <w:u w:val="single"/>
        </w:rPr>
      </w:pPr>
      <w:r>
        <w:t xml:space="preserve">KV-esimerkeissä suurin osa rekistereistä </w:t>
      </w:r>
      <w:r w:rsidR="003859E8">
        <w:t xml:space="preserve">on </w:t>
      </w:r>
      <w:r>
        <w:t>velvoittavia. EU</w:t>
      </w:r>
      <w:r w:rsidR="003859E8">
        <w:t>:n avoimuus</w:t>
      </w:r>
      <w:r>
        <w:t>rekisteri</w:t>
      </w:r>
      <w:r w:rsidR="003859E8">
        <w:t>in rekisteröitymine</w:t>
      </w:r>
      <w:r>
        <w:t xml:space="preserve">n </w:t>
      </w:r>
      <w:r w:rsidR="003859E8">
        <w:t xml:space="preserve">on periaatteessa </w:t>
      </w:r>
      <w:r>
        <w:t>vapaaehtoi</w:t>
      </w:r>
      <w:r w:rsidR="003859E8">
        <w:t xml:space="preserve">sta, mutta </w:t>
      </w:r>
      <w:proofErr w:type="gramStart"/>
      <w:r w:rsidR="003859E8">
        <w:t xml:space="preserve">käytössä </w:t>
      </w:r>
      <w:r>
        <w:t xml:space="preserve"> </w:t>
      </w:r>
      <w:r w:rsidR="003859E8">
        <w:t>oleva</w:t>
      </w:r>
      <w:proofErr w:type="gramEnd"/>
      <w:r w:rsidR="003859E8">
        <w:t xml:space="preserve"> </w:t>
      </w:r>
      <w:r>
        <w:t>akreditointijärjestelmä (</w:t>
      </w:r>
      <w:r w:rsidR="003859E8">
        <w:t xml:space="preserve">mm. </w:t>
      </w:r>
      <w:r>
        <w:t xml:space="preserve">pääsy hallintorakennuksiin) toimii voimakkaana </w:t>
      </w:r>
      <w:r w:rsidR="003859E8">
        <w:t xml:space="preserve">kannustimena </w:t>
      </w:r>
      <w:r>
        <w:t>rekisteröitymise</w:t>
      </w:r>
      <w:r w:rsidR="003859E8">
        <w:t>lle</w:t>
      </w:r>
      <w:r>
        <w:t>. Tällaista järjestelmää ei olla luomassa Suomeen, joten rekisteröitymisen tulee perustua pakkoon. Myös EU on tekemässä rekisteristään pakollis</w:t>
      </w:r>
      <w:r w:rsidR="003859E8">
        <w:t>en</w:t>
      </w:r>
      <w:r>
        <w:t>.</w:t>
      </w:r>
    </w:p>
    <w:p w14:paraId="12AC93E0" w14:textId="77777777" w:rsidR="00217495" w:rsidRDefault="003066B0" w:rsidP="00217495">
      <w:pPr>
        <w:ind w:left="1304"/>
        <w:rPr>
          <w:u w:val="single"/>
        </w:rPr>
      </w:pPr>
      <w:r w:rsidRPr="003066B0">
        <w:rPr>
          <w:u w:val="single"/>
        </w:rPr>
        <w:t>Vaikutukset</w:t>
      </w:r>
    </w:p>
    <w:p w14:paraId="01B1A6C2" w14:textId="77777777" w:rsidR="00E640FA" w:rsidRPr="00F556CD" w:rsidRDefault="00F556CD" w:rsidP="00F556CD">
      <w:pPr>
        <w:pStyle w:val="Luettelokappale"/>
        <w:numPr>
          <w:ilvl w:val="0"/>
          <w:numId w:val="11"/>
        </w:numPr>
      </w:pPr>
      <w:r w:rsidRPr="00F556CD">
        <w:t>Useille toimijoille tulee lisää velvollisuuksia</w:t>
      </w:r>
      <w:r>
        <w:t xml:space="preserve">, joista heidän tulee olla tietoisia. </w:t>
      </w:r>
      <w:r w:rsidR="00E640FA">
        <w:t>Toimeenpanovaiheessa tarvitaan riittävä siirtymävaihe</w:t>
      </w:r>
      <w:r>
        <w:t xml:space="preserve"> esimerkiksi sanktioiden osalta, jotta vältetään väärinkäsityksistä johtuvia rangaistuksia. Ohjeistukseen ja neuvontaan tulee kiinnittää erityistä huomiota. </w:t>
      </w:r>
    </w:p>
    <w:p w14:paraId="175724AA" w14:textId="77777777" w:rsidR="003066B0" w:rsidRDefault="003066B0" w:rsidP="00217495">
      <w:pPr>
        <w:ind w:left="1304"/>
        <w:rPr>
          <w:u w:val="single"/>
        </w:rPr>
      </w:pPr>
      <w:r w:rsidRPr="003066B0">
        <w:rPr>
          <w:u w:val="single"/>
        </w:rPr>
        <w:t>Kysymykset</w:t>
      </w:r>
    </w:p>
    <w:p w14:paraId="05264C7B" w14:textId="77777777" w:rsidR="003066B0" w:rsidRPr="00F556CD" w:rsidRDefault="00F556CD" w:rsidP="00F556CD">
      <w:pPr>
        <w:pStyle w:val="Luettelokappale"/>
        <w:numPr>
          <w:ilvl w:val="0"/>
          <w:numId w:val="11"/>
        </w:numPr>
        <w:rPr>
          <w:u w:val="single"/>
        </w:rPr>
      </w:pPr>
      <w:r>
        <w:t>Miten pitkä siirtymävaihe sanktioiden osalta tarvitaan?</w:t>
      </w:r>
    </w:p>
    <w:p w14:paraId="578A308A" w14:textId="1C5D401A" w:rsidR="00D07412" w:rsidRPr="0002478F" w:rsidRDefault="00F556CD" w:rsidP="00D07412">
      <w:pPr>
        <w:pStyle w:val="Luettelokappale"/>
        <w:numPr>
          <w:ilvl w:val="0"/>
          <w:numId w:val="11"/>
        </w:numPr>
        <w:rPr>
          <w:u w:val="single"/>
        </w:rPr>
      </w:pPr>
      <w:r>
        <w:t>Tuleeko lobbaajan olla rekisteröitynyt ennen kuin harjoittaa lobbausta vai voiko sen tehdä jälki</w:t>
      </w:r>
      <w:r w:rsidR="00D07412">
        <w:t>käteen</w:t>
      </w:r>
      <w:r>
        <w:t>?</w:t>
      </w:r>
    </w:p>
    <w:p w14:paraId="60901C74" w14:textId="44E65403" w:rsidR="0095184E" w:rsidRDefault="0095184E" w:rsidP="0095184E">
      <w:pPr>
        <w:pStyle w:val="Luettelokappale"/>
        <w:numPr>
          <w:ilvl w:val="0"/>
          <w:numId w:val="11"/>
        </w:numPr>
      </w:pPr>
      <w:r>
        <w:t>Miten hyvä edunvalvontatapa liittyy rekisteröintiin?</w:t>
      </w:r>
    </w:p>
    <w:p w14:paraId="5331BE92" w14:textId="77777777" w:rsidR="0095184E" w:rsidRDefault="0095184E">
      <w:r>
        <w:br w:type="page"/>
      </w:r>
    </w:p>
    <w:p w14:paraId="41FDE927" w14:textId="77777777" w:rsidR="0095184E" w:rsidRPr="0002478F" w:rsidRDefault="0095184E" w:rsidP="0014388A">
      <w:pPr>
        <w:rPr>
          <w:u w:val="single"/>
        </w:rPr>
      </w:pPr>
    </w:p>
    <w:p w14:paraId="177F94E2" w14:textId="5DF610DB" w:rsidR="00217495" w:rsidRDefault="00217495" w:rsidP="00217495">
      <w:pPr>
        <w:pStyle w:val="Luettelokappale"/>
        <w:numPr>
          <w:ilvl w:val="0"/>
          <w:numId w:val="1"/>
        </w:numPr>
        <w:ind w:left="1664"/>
        <w:rPr>
          <w:b/>
        </w:rPr>
      </w:pPr>
      <w:r>
        <w:rPr>
          <w:b/>
        </w:rPr>
        <w:t xml:space="preserve">Lobbausrekisterisääntely ei itsessään rajoita </w:t>
      </w:r>
      <w:proofErr w:type="spellStart"/>
      <w:r>
        <w:rPr>
          <w:b/>
        </w:rPr>
        <w:t>lobbaamista</w:t>
      </w:r>
      <w:proofErr w:type="spellEnd"/>
      <w:r>
        <w:rPr>
          <w:b/>
        </w:rPr>
        <w:t>,</w:t>
      </w:r>
      <w:r w:rsidR="00A6031C">
        <w:rPr>
          <w:b/>
        </w:rPr>
        <w:t xml:space="preserve"> se</w:t>
      </w:r>
      <w:r>
        <w:rPr>
          <w:b/>
        </w:rPr>
        <w:t xml:space="preserve"> va</w:t>
      </w:r>
      <w:r w:rsidR="00A6031C">
        <w:rPr>
          <w:b/>
        </w:rPr>
        <w:t>i</w:t>
      </w:r>
      <w:r>
        <w:rPr>
          <w:b/>
        </w:rPr>
        <w:t>n tekee</w:t>
      </w:r>
      <w:r w:rsidR="00F77655">
        <w:rPr>
          <w:b/>
        </w:rPr>
        <w:t xml:space="preserve"> </w:t>
      </w:r>
      <w:r>
        <w:rPr>
          <w:b/>
        </w:rPr>
        <w:t>toiminnasta läpinäkyvämpää</w:t>
      </w:r>
    </w:p>
    <w:p w14:paraId="147F5CA0" w14:textId="77777777" w:rsidR="00217495" w:rsidRDefault="00217495" w:rsidP="00217495">
      <w:pPr>
        <w:ind w:left="1304"/>
        <w:rPr>
          <w:u w:val="single"/>
        </w:rPr>
      </w:pPr>
      <w:r w:rsidRPr="001B1716">
        <w:rPr>
          <w:u w:val="single"/>
        </w:rPr>
        <w:t>Perustelut</w:t>
      </w:r>
    </w:p>
    <w:p w14:paraId="75111447" w14:textId="77777777" w:rsidR="00F556CD" w:rsidRPr="00F556CD" w:rsidRDefault="00F556CD" w:rsidP="00F556CD">
      <w:pPr>
        <w:pStyle w:val="Luettelokappale"/>
        <w:numPr>
          <w:ilvl w:val="0"/>
          <w:numId w:val="12"/>
        </w:numPr>
        <w:rPr>
          <w:u w:val="single"/>
        </w:rPr>
      </w:pPr>
      <w:r>
        <w:t>Lobbausrekisterillä ei estetä lobbaustoimintaa, vaan ainoastaan säännellään sen läpinäkyvyyteen liittyvistä vaatimuksista</w:t>
      </w:r>
      <w:r w:rsidR="00F77655">
        <w:t>.</w:t>
      </w:r>
      <w:r>
        <w:t xml:space="preserve"> </w:t>
      </w:r>
    </w:p>
    <w:p w14:paraId="2B43E3CD" w14:textId="77777777" w:rsidR="00217495" w:rsidRDefault="00217495" w:rsidP="00217495">
      <w:pPr>
        <w:ind w:left="1304"/>
        <w:rPr>
          <w:u w:val="single"/>
        </w:rPr>
      </w:pPr>
      <w:r w:rsidRPr="001B1716">
        <w:rPr>
          <w:u w:val="single"/>
        </w:rPr>
        <w:t>Vaikutukset</w:t>
      </w:r>
    </w:p>
    <w:p w14:paraId="6686FAA0" w14:textId="11CC3E33" w:rsidR="00F556CD" w:rsidRDefault="00F556CD" w:rsidP="00F556CD">
      <w:pPr>
        <w:pStyle w:val="Luettelokappale"/>
        <w:numPr>
          <w:ilvl w:val="0"/>
          <w:numId w:val="12"/>
        </w:numPr>
      </w:pPr>
      <w:proofErr w:type="spellStart"/>
      <w:r>
        <w:t>Lobba</w:t>
      </w:r>
      <w:r w:rsidR="00F77655">
        <w:t>aminen</w:t>
      </w:r>
      <w:proofErr w:type="spellEnd"/>
      <w:r w:rsidR="00F77655">
        <w:t xml:space="preserve"> ei esty, mutta si</w:t>
      </w:r>
      <w:r w:rsidR="00A6031C">
        <w:t>i</w:t>
      </w:r>
      <w:r w:rsidR="00F77655">
        <w:t xml:space="preserve">tä tehdään nykyistä läpinäkyvämpää ja helpommin seurattavaa. </w:t>
      </w:r>
    </w:p>
    <w:p w14:paraId="6349AD15" w14:textId="6375F59D" w:rsidR="00F77655" w:rsidRDefault="00F77655" w:rsidP="00F556CD">
      <w:pPr>
        <w:pStyle w:val="Luettelokappale"/>
        <w:numPr>
          <w:ilvl w:val="0"/>
          <w:numId w:val="12"/>
        </w:numPr>
      </w:pPr>
      <w:r>
        <w:t>Mahdollistaa myös lobbaajille läpinäkyväm</w:t>
      </w:r>
      <w:r w:rsidR="00A6031C">
        <w:t>m</w:t>
      </w:r>
      <w:r>
        <w:t>ä</w:t>
      </w:r>
      <w:r w:rsidR="00A6031C">
        <w:t>n</w:t>
      </w:r>
      <w:r>
        <w:t xml:space="preserve"> ja avoimem</w:t>
      </w:r>
      <w:r w:rsidR="00A6031C">
        <w:t>m</w:t>
      </w:r>
      <w:r>
        <w:t>a</w:t>
      </w:r>
      <w:r w:rsidR="00A6031C">
        <w:t>n</w:t>
      </w:r>
      <w:r>
        <w:t xml:space="preserve"> toimin</w:t>
      </w:r>
      <w:r w:rsidR="00A6031C">
        <w:t>n</w:t>
      </w:r>
      <w:r>
        <w:t>a</w:t>
      </w:r>
      <w:r w:rsidR="00A6031C">
        <w:t>n harjoittamisen</w:t>
      </w:r>
      <w:r w:rsidR="0002478F">
        <w:t>.</w:t>
      </w:r>
    </w:p>
    <w:p w14:paraId="1C81DA1E" w14:textId="3F5C73B5" w:rsidR="00F77655" w:rsidRPr="00F556CD" w:rsidRDefault="00F77655" w:rsidP="00F556CD">
      <w:pPr>
        <w:pStyle w:val="Luettelokappale"/>
        <w:numPr>
          <w:ilvl w:val="0"/>
          <w:numId w:val="12"/>
        </w:numPr>
      </w:pPr>
      <w:r>
        <w:t>Korostaa avoimen ja läpinäkyvän lobbauksen roolia demokratiassa</w:t>
      </w:r>
      <w:r w:rsidR="0002478F">
        <w:t>.</w:t>
      </w:r>
      <w:r>
        <w:t xml:space="preserve"> </w:t>
      </w:r>
    </w:p>
    <w:p w14:paraId="3C99826C" w14:textId="77777777" w:rsidR="00F77655" w:rsidRDefault="00217495" w:rsidP="00F77655">
      <w:pPr>
        <w:ind w:left="1304"/>
        <w:rPr>
          <w:u w:val="single"/>
        </w:rPr>
      </w:pPr>
      <w:r w:rsidRPr="001B1716">
        <w:rPr>
          <w:u w:val="single"/>
        </w:rPr>
        <w:t>Kysymykset</w:t>
      </w:r>
    </w:p>
    <w:p w14:paraId="682D34AF" w14:textId="58CFC144" w:rsidR="00F77655" w:rsidRDefault="00F77655" w:rsidP="00F77655">
      <w:pPr>
        <w:pStyle w:val="Luettelokappale"/>
        <w:numPr>
          <w:ilvl w:val="0"/>
          <w:numId w:val="12"/>
        </w:numPr>
      </w:pPr>
      <w:r>
        <w:t>Toimeksiannossa puhutaan myös muista sääntelymekanismeista (</w:t>
      </w:r>
      <w:r w:rsidR="00B95B30">
        <w:t xml:space="preserve">esim. </w:t>
      </w:r>
      <w:r>
        <w:t xml:space="preserve">lainsäädännöllinen jalanjälki, karenssit ja </w:t>
      </w:r>
      <w:r w:rsidR="00B95B30">
        <w:t xml:space="preserve">siihen liittyvä </w:t>
      </w:r>
      <w:r>
        <w:t>pyöröovi-ilmiö), miten näitä tulisi valmistelussa käsitellä?</w:t>
      </w:r>
    </w:p>
    <w:p w14:paraId="294B1A68" w14:textId="77777777" w:rsidR="00F77655" w:rsidRDefault="00F77655" w:rsidP="00F77655">
      <w:pPr>
        <w:pStyle w:val="Luettelokappale"/>
        <w:ind w:left="2024"/>
      </w:pPr>
    </w:p>
    <w:p w14:paraId="4140D2C9" w14:textId="77777777" w:rsidR="00F77655" w:rsidRPr="00966615" w:rsidRDefault="00376214" w:rsidP="00F77655">
      <w:pPr>
        <w:pStyle w:val="Luettelokappale"/>
        <w:numPr>
          <w:ilvl w:val="0"/>
          <w:numId w:val="1"/>
        </w:numPr>
        <w:ind w:left="1664"/>
        <w:rPr>
          <w:b/>
        </w:rPr>
      </w:pPr>
      <w:r w:rsidRPr="00966615">
        <w:rPr>
          <w:b/>
        </w:rPr>
        <w:t>Lobbausrekisteri ei velvoita pitämään tapaamispäiväkirjaa</w:t>
      </w:r>
    </w:p>
    <w:p w14:paraId="6EE33C0A" w14:textId="77777777" w:rsidR="00F77655" w:rsidRDefault="00F77655" w:rsidP="00F77655">
      <w:pPr>
        <w:ind w:left="1304"/>
        <w:rPr>
          <w:u w:val="single"/>
        </w:rPr>
      </w:pPr>
      <w:r w:rsidRPr="001B1716">
        <w:rPr>
          <w:u w:val="single"/>
        </w:rPr>
        <w:t>Perustelut</w:t>
      </w:r>
    </w:p>
    <w:p w14:paraId="1E832F5D" w14:textId="353637BA" w:rsidR="00376214" w:rsidRPr="00824AF9" w:rsidRDefault="00376214" w:rsidP="00824AF9">
      <w:pPr>
        <w:pStyle w:val="Luettelokappale"/>
        <w:numPr>
          <w:ilvl w:val="0"/>
          <w:numId w:val="12"/>
        </w:numPr>
        <w:rPr>
          <w:u w:val="single"/>
        </w:rPr>
      </w:pPr>
      <w:r>
        <w:t>Lobbausrekisteri ja tapaamispäiväkirja ovat erilaisia lobbaussääntelymekanismeja. Avoimuusrekisteri on lähtökohdiltaan lobbausrekisteri, johon lobbaajat rekisteröivät tietoja itsestään ja toiminnastaan.</w:t>
      </w:r>
    </w:p>
    <w:p w14:paraId="29BCD3A2" w14:textId="77777777" w:rsidR="00F77655" w:rsidRDefault="00F77655" w:rsidP="00F77655">
      <w:pPr>
        <w:ind w:left="1304"/>
        <w:rPr>
          <w:u w:val="single"/>
        </w:rPr>
      </w:pPr>
      <w:r w:rsidRPr="001B1716">
        <w:rPr>
          <w:u w:val="single"/>
        </w:rPr>
        <w:t>Vaikutukset</w:t>
      </w:r>
    </w:p>
    <w:p w14:paraId="4C0FC751" w14:textId="1591825F" w:rsidR="00376214" w:rsidRPr="00376214" w:rsidRDefault="00376214" w:rsidP="00376214">
      <w:pPr>
        <w:pStyle w:val="Luettelokappale"/>
        <w:numPr>
          <w:ilvl w:val="0"/>
          <w:numId w:val="12"/>
        </w:numPr>
      </w:pPr>
      <w:r w:rsidRPr="00376214">
        <w:t>Avoimuusrekist</w:t>
      </w:r>
      <w:r>
        <w:t>eri ei sisällä tietoa jokaisesta lobbaaja</w:t>
      </w:r>
      <w:r w:rsidR="009E5850">
        <w:t>n</w:t>
      </w:r>
      <w:r>
        <w:t xml:space="preserve"> ja lob</w:t>
      </w:r>
      <w:r w:rsidR="009E5850">
        <w:t>b</w:t>
      </w:r>
      <w:r>
        <w:t>a</w:t>
      </w:r>
      <w:r w:rsidR="009E5850">
        <w:t>uksen</w:t>
      </w:r>
      <w:r>
        <w:t xml:space="preserve"> kohtee</w:t>
      </w:r>
      <w:r w:rsidR="009E5850">
        <w:t>n tapaamisesta</w:t>
      </w:r>
      <w:r w:rsidR="00966615">
        <w:t>, vaan tietoa annetaan lähtökohtaisesti yleisemmällä tasolla.</w:t>
      </w:r>
    </w:p>
    <w:p w14:paraId="145E439F" w14:textId="77777777" w:rsidR="00F77655" w:rsidRPr="00376214" w:rsidRDefault="00F77655" w:rsidP="00376214">
      <w:pPr>
        <w:ind w:firstLine="1304"/>
        <w:rPr>
          <w:u w:val="single"/>
        </w:rPr>
      </w:pPr>
      <w:r w:rsidRPr="00376214">
        <w:rPr>
          <w:u w:val="single"/>
        </w:rPr>
        <w:t>Kysymykset</w:t>
      </w:r>
    </w:p>
    <w:p w14:paraId="7F54F264" w14:textId="51F00F91" w:rsidR="00F77655" w:rsidRDefault="00966615" w:rsidP="00F77655">
      <w:pPr>
        <w:pStyle w:val="Luettelokappale"/>
        <w:numPr>
          <w:ilvl w:val="0"/>
          <w:numId w:val="12"/>
        </w:numPr>
      </w:pPr>
      <w:r>
        <w:t xml:space="preserve">Voidaanko mahdollistaa tapaamistietojen </w:t>
      </w:r>
      <w:r w:rsidR="009E5850">
        <w:t xml:space="preserve">vapaaehtoinen </w:t>
      </w:r>
      <w:r>
        <w:t>antami</w:t>
      </w:r>
      <w:r w:rsidR="009E5850">
        <w:t>n</w:t>
      </w:r>
      <w:r>
        <w:t xml:space="preserve">en, </w:t>
      </w:r>
      <w:r w:rsidR="009E5850">
        <w:t xml:space="preserve">ja </w:t>
      </w:r>
      <w:r>
        <w:t xml:space="preserve">mitä se vaatisi esim. tietosuojan näkökulmasta? </w:t>
      </w:r>
    </w:p>
    <w:p w14:paraId="78E3D90A" w14:textId="77777777" w:rsidR="00F77655" w:rsidRDefault="00F77655" w:rsidP="003066B0">
      <w:pPr>
        <w:rPr>
          <w:b/>
        </w:rPr>
      </w:pPr>
    </w:p>
    <w:p w14:paraId="580A586E" w14:textId="38242F0D" w:rsidR="00B57E0E" w:rsidRDefault="003066B0" w:rsidP="00824AF9">
      <w:pPr>
        <w:rPr>
          <w:b/>
        </w:rPr>
      </w:pPr>
      <w:r>
        <w:rPr>
          <w:b/>
        </w:rPr>
        <w:t>L</w:t>
      </w:r>
      <w:r w:rsidR="00FB7D34">
        <w:rPr>
          <w:b/>
        </w:rPr>
        <w:t>obbauksen määrittelyn</w:t>
      </w:r>
      <w:r w:rsidR="00217495">
        <w:rPr>
          <w:b/>
        </w:rPr>
        <w:t xml:space="preserve"> </w:t>
      </w:r>
      <w:r>
        <w:rPr>
          <w:b/>
        </w:rPr>
        <w:t>periaatteet</w:t>
      </w:r>
    </w:p>
    <w:p w14:paraId="5F2DD166" w14:textId="77777777" w:rsidR="0053653E" w:rsidRPr="00B52869" w:rsidRDefault="0053653E" w:rsidP="00824AF9">
      <w:pPr>
        <w:rPr>
          <w:b/>
        </w:rPr>
      </w:pPr>
    </w:p>
    <w:p w14:paraId="1FEF6149" w14:textId="77777777" w:rsidR="008C6097" w:rsidRDefault="008C6097" w:rsidP="00DC02FC">
      <w:pPr>
        <w:pStyle w:val="Luettelokappale"/>
        <w:numPr>
          <w:ilvl w:val="0"/>
          <w:numId w:val="1"/>
        </w:numPr>
        <w:ind w:left="1664"/>
        <w:rPr>
          <w:b/>
        </w:rPr>
      </w:pPr>
      <w:r>
        <w:rPr>
          <w:b/>
        </w:rPr>
        <w:t>Lobbaus voi tapahtua sekä epävirallisia että virallisia kanavia pitkin.</w:t>
      </w:r>
    </w:p>
    <w:p w14:paraId="3D73E185" w14:textId="77777777" w:rsidR="001B1716" w:rsidRDefault="001B1716" w:rsidP="00DC02FC">
      <w:pPr>
        <w:ind w:left="1304"/>
        <w:rPr>
          <w:u w:val="single"/>
        </w:rPr>
      </w:pPr>
      <w:r w:rsidRPr="001B1716">
        <w:rPr>
          <w:u w:val="single"/>
        </w:rPr>
        <w:t>Perustelut</w:t>
      </w:r>
    </w:p>
    <w:p w14:paraId="219F8768" w14:textId="77777777" w:rsidR="00063E8D" w:rsidRPr="009854FB" w:rsidRDefault="009854FB" w:rsidP="00DC02FC">
      <w:pPr>
        <w:pStyle w:val="Luettelokappale"/>
        <w:numPr>
          <w:ilvl w:val="0"/>
          <w:numId w:val="5"/>
        </w:numPr>
        <w:ind w:left="2384"/>
      </w:pPr>
      <w:r w:rsidRPr="009854FB">
        <w:t xml:space="preserve">Lobbausta voidaan harjoittaa sekä virallisten kuulemisten että epävirallisen yhteydenpidon kautta. </w:t>
      </w:r>
      <w:r>
        <w:t>Joissain maissa virallinen yhteydenpito</w:t>
      </w:r>
      <w:r w:rsidR="006F183A">
        <w:t>, myös kuulemisten osalta,</w:t>
      </w:r>
      <w:r>
        <w:t xml:space="preserve"> on </w:t>
      </w:r>
      <w:r w:rsidR="00C748E3">
        <w:t>rajattu rekisterin ulkopuolelle</w:t>
      </w:r>
      <w:r w:rsidR="006F183A">
        <w:t xml:space="preserve"> (esim. Irlanti)</w:t>
      </w:r>
      <w:r w:rsidR="00C748E3">
        <w:t xml:space="preserve">. Suomessa viralliset kuulemiset ja työryhmätyöskentely muodostavat keskeisen osan valmisteluun liittyvästä vaikuttamisesta, jolloin sitä ei ole mielekästä jättää sääntelyn ulkopuolelle. </w:t>
      </w:r>
    </w:p>
    <w:p w14:paraId="001A5D54" w14:textId="77777777" w:rsidR="00063E8D" w:rsidRPr="00063E8D" w:rsidRDefault="001B1716" w:rsidP="00DC02FC">
      <w:pPr>
        <w:ind w:left="1304"/>
        <w:rPr>
          <w:u w:val="single"/>
        </w:rPr>
      </w:pPr>
      <w:r w:rsidRPr="001B1716">
        <w:rPr>
          <w:u w:val="single"/>
        </w:rPr>
        <w:t>Vaikutukset</w:t>
      </w:r>
    </w:p>
    <w:p w14:paraId="0E7B0A01" w14:textId="77777777" w:rsidR="00063E8D" w:rsidRDefault="00063E8D" w:rsidP="00DC02FC">
      <w:pPr>
        <w:pStyle w:val="Luettelokappale"/>
        <w:numPr>
          <w:ilvl w:val="0"/>
          <w:numId w:val="5"/>
        </w:numPr>
        <w:ind w:left="2384"/>
      </w:pPr>
      <w:r>
        <w:t>Viralliset kuulemiset dokumentoidaan usein (esim. lainvalmistelu), joten näitä tietoja tulisi pyrkiä hyödyntämään rekisterissä.</w:t>
      </w:r>
    </w:p>
    <w:p w14:paraId="213B7B78" w14:textId="01921215" w:rsidR="00C748E3" w:rsidRPr="00C748E3" w:rsidRDefault="00C748E3" w:rsidP="00DC02FC">
      <w:pPr>
        <w:pStyle w:val="Luettelokappale"/>
        <w:numPr>
          <w:ilvl w:val="0"/>
          <w:numId w:val="5"/>
        </w:numPr>
        <w:ind w:left="2384"/>
      </w:pPr>
      <w:r w:rsidRPr="00C748E3">
        <w:t>Virallisen</w:t>
      </w:r>
      <w:r>
        <w:t xml:space="preserve"> vaikuttamisen sisäl</w:t>
      </w:r>
      <w:r w:rsidR="00D63DFD">
        <w:t>l</w:t>
      </w:r>
      <w:r>
        <w:t>y</w:t>
      </w:r>
      <w:r w:rsidR="00D63DFD">
        <w:t>ttä</w:t>
      </w:r>
      <w:r>
        <w:t xml:space="preserve">minen osaksi määrittelyä tarkoittaa myös sitä, että </w:t>
      </w:r>
      <w:proofErr w:type="spellStart"/>
      <w:r>
        <w:t>lobbaaminen</w:t>
      </w:r>
      <w:proofErr w:type="spellEnd"/>
      <w:r>
        <w:t xml:space="preserve"> voi tapahtua </w:t>
      </w:r>
      <w:proofErr w:type="spellStart"/>
      <w:r>
        <w:t>lobattavan</w:t>
      </w:r>
      <w:proofErr w:type="spellEnd"/>
      <w:r>
        <w:t xml:space="preserve"> kutsusta (kuultavaksi kutsuminen tai työryhmään kutsuminen).</w:t>
      </w:r>
      <w:r w:rsidR="00B346F1">
        <w:t xml:space="preserve"> </w:t>
      </w:r>
    </w:p>
    <w:p w14:paraId="01FC67CC" w14:textId="77777777" w:rsidR="001B1716" w:rsidRPr="001B1716" w:rsidRDefault="001B1716" w:rsidP="00DC02FC">
      <w:pPr>
        <w:ind w:left="1304"/>
        <w:rPr>
          <w:u w:val="single"/>
        </w:rPr>
      </w:pPr>
      <w:r w:rsidRPr="001B1716">
        <w:rPr>
          <w:u w:val="single"/>
        </w:rPr>
        <w:t>Kysymykset</w:t>
      </w:r>
    </w:p>
    <w:p w14:paraId="4B26A173" w14:textId="1C82538A" w:rsidR="00063E8D" w:rsidRDefault="00063E8D" w:rsidP="00DC02FC">
      <w:pPr>
        <w:pStyle w:val="Luettelokappale"/>
        <w:numPr>
          <w:ilvl w:val="0"/>
          <w:numId w:val="5"/>
        </w:numPr>
        <w:ind w:left="2384"/>
      </w:pPr>
      <w:r>
        <w:t>Asetetaanko kaikissa tapauk</w:t>
      </w:r>
      <w:r w:rsidR="0095184E">
        <w:t>s</w:t>
      </w:r>
      <w:r>
        <w:t>issa viranomaisille velvoitetta dokumentoida virallisen kuulemisen osallistujat?</w:t>
      </w:r>
    </w:p>
    <w:p w14:paraId="240C964B" w14:textId="77777777" w:rsidR="00217495" w:rsidRPr="00217495" w:rsidRDefault="00217495" w:rsidP="00217495">
      <w:pPr>
        <w:pStyle w:val="Luettelokappale"/>
        <w:ind w:left="2384"/>
      </w:pPr>
    </w:p>
    <w:p w14:paraId="11EE79BD" w14:textId="77777777" w:rsidR="00D20CA4" w:rsidRDefault="001F28EE" w:rsidP="00DC02FC">
      <w:pPr>
        <w:pStyle w:val="Luettelokappale"/>
        <w:numPr>
          <w:ilvl w:val="0"/>
          <w:numId w:val="1"/>
        </w:numPr>
        <w:ind w:left="1664"/>
        <w:rPr>
          <w:b/>
        </w:rPr>
      </w:pPr>
      <w:r>
        <w:rPr>
          <w:b/>
        </w:rPr>
        <w:t>Määrittely</w:t>
      </w:r>
      <w:r w:rsidR="009942D4">
        <w:rPr>
          <w:b/>
        </w:rPr>
        <w:t xml:space="preserve"> ei saa ohjata </w:t>
      </w:r>
      <w:proofErr w:type="spellStart"/>
      <w:r w:rsidR="009942D4">
        <w:rPr>
          <w:b/>
        </w:rPr>
        <w:t>lobbaamisen</w:t>
      </w:r>
      <w:proofErr w:type="spellEnd"/>
      <w:r w:rsidR="009942D4">
        <w:rPr>
          <w:b/>
        </w:rPr>
        <w:t xml:space="preserve"> tavan valintaan</w:t>
      </w:r>
      <w:r w:rsidR="001B1716">
        <w:rPr>
          <w:b/>
        </w:rPr>
        <w:t xml:space="preserve"> (</w:t>
      </w:r>
      <w:r w:rsidR="00217495">
        <w:rPr>
          <w:b/>
        </w:rPr>
        <w:t xml:space="preserve">ns. </w:t>
      </w:r>
      <w:r w:rsidR="001B1716">
        <w:rPr>
          <w:b/>
        </w:rPr>
        <w:t>medianeutraali)</w:t>
      </w:r>
      <w:r w:rsidR="009942D4">
        <w:rPr>
          <w:b/>
        </w:rPr>
        <w:t>.</w:t>
      </w:r>
    </w:p>
    <w:p w14:paraId="04C10DDF" w14:textId="77777777" w:rsidR="001B1716" w:rsidRDefault="001B1716" w:rsidP="00DC02FC">
      <w:pPr>
        <w:ind w:left="1304"/>
        <w:rPr>
          <w:u w:val="single"/>
        </w:rPr>
      </w:pPr>
      <w:r w:rsidRPr="001B1716">
        <w:rPr>
          <w:u w:val="single"/>
        </w:rPr>
        <w:t>Perustelut</w:t>
      </w:r>
    </w:p>
    <w:p w14:paraId="7D3DDF0D" w14:textId="77777777" w:rsidR="001F28EE" w:rsidRPr="001F28EE" w:rsidRDefault="001F28EE" w:rsidP="00DC02FC">
      <w:pPr>
        <w:pStyle w:val="Luettelokappale"/>
        <w:numPr>
          <w:ilvl w:val="0"/>
          <w:numId w:val="5"/>
        </w:numPr>
        <w:ind w:left="2384"/>
        <w:rPr>
          <w:u w:val="single"/>
        </w:rPr>
      </w:pPr>
      <w:r>
        <w:t xml:space="preserve">Lobbaus voi tapahtua hyvin erilaisia toimintamuotoja hyödyntäen. Jotta sääntely kattaa nämä kaikki erilaiset tavat harjoittaa lobbausta, tulee määrittelyn olla ns. medianeutraali. Näin sääntely ei myöskään itsessään ohjaa </w:t>
      </w:r>
      <w:proofErr w:type="spellStart"/>
      <w:r>
        <w:t>lobbaamisen</w:t>
      </w:r>
      <w:proofErr w:type="spellEnd"/>
      <w:r>
        <w:t xml:space="preserve"> tavan valintaa sillä, että se kohtelee erilaisia tapoja eri tavalla. </w:t>
      </w:r>
    </w:p>
    <w:p w14:paraId="49A2FB05" w14:textId="77777777" w:rsidR="001F28EE" w:rsidRPr="001F28EE" w:rsidRDefault="001F28EE" w:rsidP="00DC02FC">
      <w:pPr>
        <w:pStyle w:val="Luettelokappale"/>
        <w:numPr>
          <w:ilvl w:val="0"/>
          <w:numId w:val="5"/>
        </w:numPr>
        <w:ind w:left="2384"/>
        <w:rPr>
          <w:u w:val="single"/>
        </w:rPr>
      </w:pPr>
      <w:proofErr w:type="spellStart"/>
      <w:r>
        <w:t>Kv</w:t>
      </w:r>
      <w:proofErr w:type="spellEnd"/>
      <w:r>
        <w:t>-suositukset ja -esimerkit painottavat medianeutraalia määrittelyä.</w:t>
      </w:r>
    </w:p>
    <w:p w14:paraId="0C84CE0E" w14:textId="77777777" w:rsidR="001F28EE" w:rsidRPr="001F28EE" w:rsidRDefault="001B1716" w:rsidP="00DC02FC">
      <w:pPr>
        <w:ind w:left="1304"/>
        <w:rPr>
          <w:u w:val="single"/>
        </w:rPr>
      </w:pPr>
      <w:r w:rsidRPr="001B1716">
        <w:rPr>
          <w:u w:val="single"/>
        </w:rPr>
        <w:t>Vaikutukset</w:t>
      </w:r>
    </w:p>
    <w:p w14:paraId="5DE19D64" w14:textId="77777777" w:rsidR="001F28EE" w:rsidRPr="001F28EE" w:rsidRDefault="001F28EE" w:rsidP="00DC02FC">
      <w:pPr>
        <w:pStyle w:val="Luettelokappale"/>
        <w:numPr>
          <w:ilvl w:val="0"/>
          <w:numId w:val="5"/>
        </w:numPr>
        <w:ind w:left="2384"/>
        <w:rPr>
          <w:u w:val="single"/>
        </w:rPr>
      </w:pPr>
      <w:r>
        <w:t>Medianeutraalilla määrittelyllä tavoitetaan kaikki toimintamuodot ilman, että niitä tulee erikseen määritellä. Tällöin sääntely pysyy myös paremmin ajantasaisena, vaikka lobbausmuodot kehittyisivät (esim. sosiaalisen median korostuminen).</w:t>
      </w:r>
    </w:p>
    <w:p w14:paraId="4BB44A6C" w14:textId="77777777" w:rsidR="002722C2" w:rsidRPr="0002478F" w:rsidRDefault="002722C2" w:rsidP="0002478F">
      <w:pPr>
        <w:rPr>
          <w:b/>
        </w:rPr>
      </w:pPr>
    </w:p>
    <w:p w14:paraId="5E97E9CD" w14:textId="77777777" w:rsidR="00147C7D" w:rsidRDefault="00147C7D" w:rsidP="00DC02FC">
      <w:pPr>
        <w:pStyle w:val="Luettelokappale"/>
        <w:numPr>
          <w:ilvl w:val="0"/>
          <w:numId w:val="1"/>
        </w:numPr>
        <w:ind w:left="1664"/>
        <w:rPr>
          <w:b/>
        </w:rPr>
      </w:pPr>
      <w:r>
        <w:rPr>
          <w:b/>
        </w:rPr>
        <w:t>L</w:t>
      </w:r>
      <w:r w:rsidR="00870C12">
        <w:rPr>
          <w:b/>
        </w:rPr>
        <w:t>obbaukseksi lasketaan ainoastaan suora vaikuttaminen</w:t>
      </w:r>
    </w:p>
    <w:p w14:paraId="04F1373E" w14:textId="77777777" w:rsidR="001B1716" w:rsidRDefault="001B1716" w:rsidP="00DC02FC">
      <w:pPr>
        <w:ind w:left="1304"/>
        <w:rPr>
          <w:u w:val="single"/>
        </w:rPr>
      </w:pPr>
      <w:r w:rsidRPr="001B1716">
        <w:rPr>
          <w:u w:val="single"/>
        </w:rPr>
        <w:t>Perustelut</w:t>
      </w:r>
    </w:p>
    <w:p w14:paraId="34E0E9DD" w14:textId="77777777" w:rsidR="00D4699E" w:rsidRPr="00D4699E" w:rsidRDefault="00D4699E" w:rsidP="00D4699E">
      <w:pPr>
        <w:pStyle w:val="Luettelokappale"/>
        <w:numPr>
          <w:ilvl w:val="0"/>
          <w:numId w:val="5"/>
        </w:numPr>
        <w:ind w:left="2384"/>
        <w:rPr>
          <w:u w:val="single"/>
        </w:rPr>
      </w:pPr>
      <w:r>
        <w:t>Suoralla vaikuttamisella</w:t>
      </w:r>
      <w:r w:rsidR="00440EA9">
        <w:t xml:space="preserve"> tarkoitetaan</w:t>
      </w:r>
      <w:r>
        <w:t xml:space="preserve"> sitä, että </w:t>
      </w:r>
      <w:r w:rsidR="00440EA9">
        <w:t xml:space="preserve">lobbaajan ja </w:t>
      </w:r>
      <w:proofErr w:type="spellStart"/>
      <w:r w:rsidR="00440EA9">
        <w:t>l</w:t>
      </w:r>
      <w:r>
        <w:t>obattavan</w:t>
      </w:r>
      <w:proofErr w:type="spellEnd"/>
      <w:r>
        <w:t xml:space="preserve"> kohteen välillä syntyy</w:t>
      </w:r>
      <w:r w:rsidR="00440EA9">
        <w:t xml:space="preserve"> suora </w:t>
      </w:r>
      <w:r>
        <w:t>yhteys, joka on selvästi määriteltävissä ja todennettavissa.</w:t>
      </w:r>
      <w:r w:rsidR="000D1DF3">
        <w:t xml:space="preserve"> </w:t>
      </w:r>
    </w:p>
    <w:p w14:paraId="3378A0CC" w14:textId="77A08A5F" w:rsidR="00440EA9" w:rsidRPr="00D86D69" w:rsidRDefault="00D4699E" w:rsidP="00D86D69">
      <w:pPr>
        <w:pStyle w:val="Luettelokappale"/>
        <w:numPr>
          <w:ilvl w:val="0"/>
          <w:numId w:val="5"/>
        </w:numPr>
        <w:ind w:left="2384"/>
        <w:rPr>
          <w:u w:val="single"/>
        </w:rPr>
      </w:pPr>
      <w:r>
        <w:t xml:space="preserve">Suoraksi </w:t>
      </w:r>
      <w:proofErr w:type="spellStart"/>
      <w:r>
        <w:t>lobbaamiseksi</w:t>
      </w:r>
      <w:proofErr w:type="spellEnd"/>
      <w:r>
        <w:t xml:space="preserve"> lasketaan myös kolmannen osapuolen </w:t>
      </w:r>
      <w:proofErr w:type="spellStart"/>
      <w:r w:rsidR="00D63DFD">
        <w:t>lobbaavan</w:t>
      </w:r>
      <w:proofErr w:type="spellEnd"/>
      <w:r w:rsidR="00D63DFD">
        <w:t xml:space="preserve"> tahon puolesta </w:t>
      </w:r>
      <w:r>
        <w:t xml:space="preserve">harjoittama lobbaus, jolloin rekisteröintivelvoite koskee välissä toimivaa ”konsulttilobbaajaa”. </w:t>
      </w:r>
      <w:proofErr w:type="spellStart"/>
      <w:r w:rsidR="0002478F">
        <w:t>Kv</w:t>
      </w:r>
      <w:proofErr w:type="spellEnd"/>
      <w:r w:rsidR="0002478F">
        <w:t>-suositusten mukaan</w:t>
      </w:r>
      <w:r>
        <w:t xml:space="preserve"> konsulttilobbaajaa </w:t>
      </w:r>
      <w:r w:rsidR="0002478F">
        <w:t xml:space="preserve">tulee tällöin </w:t>
      </w:r>
      <w:r>
        <w:t>velvoit</w:t>
      </w:r>
      <w:r w:rsidR="0002478F">
        <w:t>taa</w:t>
      </w:r>
      <w:r w:rsidR="00D86D69">
        <w:t xml:space="preserve"> raportoimaan myös tiedot asiakkaastaan.</w:t>
      </w:r>
      <w:r>
        <w:t xml:space="preserve"> </w:t>
      </w:r>
    </w:p>
    <w:p w14:paraId="35BD7FF6" w14:textId="2FD5C7CC" w:rsidR="00D86D69" w:rsidRPr="00D86D69" w:rsidRDefault="00D86D69" w:rsidP="00D86D69">
      <w:pPr>
        <w:pStyle w:val="Luettelokappale"/>
        <w:numPr>
          <w:ilvl w:val="0"/>
          <w:numId w:val="5"/>
        </w:numPr>
        <w:ind w:left="2384"/>
        <w:rPr>
          <w:u w:val="single"/>
        </w:rPr>
      </w:pPr>
      <w:r w:rsidRPr="00870C12">
        <w:t xml:space="preserve">Määrittelyn rajoittamista ainoastaan suoraan vaikuttamiseen puoltavat </w:t>
      </w:r>
      <w:r w:rsidR="00D63DFD">
        <w:t>sekä</w:t>
      </w:r>
      <w:r w:rsidR="00D63DFD" w:rsidRPr="00870C12">
        <w:t xml:space="preserve"> </w:t>
      </w:r>
      <w:proofErr w:type="spellStart"/>
      <w:r w:rsidRPr="00870C12">
        <w:t>kv</w:t>
      </w:r>
      <w:proofErr w:type="spellEnd"/>
      <w:r w:rsidRPr="00870C12">
        <w:t xml:space="preserve">-suositukset </w:t>
      </w:r>
      <w:r w:rsidR="00D63DFD">
        <w:t>että</w:t>
      </w:r>
      <w:r w:rsidR="00D63DFD" w:rsidRPr="00870C12">
        <w:t xml:space="preserve"> </w:t>
      </w:r>
      <w:hyperlink r:id="rId6" w:history="1">
        <w:proofErr w:type="spellStart"/>
        <w:r w:rsidR="00307226" w:rsidRPr="00307226">
          <w:rPr>
            <w:rStyle w:val="Hyperlinkki"/>
          </w:rPr>
          <w:t>kv</w:t>
        </w:r>
        <w:proofErr w:type="spellEnd"/>
        <w:r w:rsidR="00307226" w:rsidRPr="00307226">
          <w:rPr>
            <w:rStyle w:val="Hyperlinkki"/>
          </w:rPr>
          <w:t>-selvityksessä</w:t>
        </w:r>
      </w:hyperlink>
      <w:r w:rsidR="00307226">
        <w:t xml:space="preserve"> käytetyt</w:t>
      </w:r>
      <w:r w:rsidR="00307226" w:rsidRPr="00870C12">
        <w:t xml:space="preserve"> esimerkit</w:t>
      </w:r>
      <w:r w:rsidRPr="00870C12">
        <w:t>.</w:t>
      </w:r>
    </w:p>
    <w:p w14:paraId="41E2CFA4" w14:textId="77777777" w:rsidR="001B1716" w:rsidRDefault="001B1716" w:rsidP="00DC02FC">
      <w:pPr>
        <w:ind w:left="1304"/>
        <w:rPr>
          <w:u w:val="single"/>
        </w:rPr>
      </w:pPr>
      <w:r w:rsidRPr="001B1716">
        <w:rPr>
          <w:u w:val="single"/>
        </w:rPr>
        <w:t>Vaikutukset</w:t>
      </w:r>
    </w:p>
    <w:p w14:paraId="3544A729" w14:textId="1198245A" w:rsidR="00C03DD9" w:rsidRPr="00C03DD9" w:rsidRDefault="00C03DD9" w:rsidP="00C03DD9">
      <w:pPr>
        <w:pStyle w:val="Luettelokappale"/>
        <w:numPr>
          <w:ilvl w:val="0"/>
          <w:numId w:val="5"/>
        </w:numPr>
        <w:ind w:left="2384"/>
      </w:pPr>
      <w:r>
        <w:t xml:space="preserve">Rekisterivelvollisuus koskee ainoastaan </w:t>
      </w:r>
      <w:r w:rsidR="00324992">
        <w:t xml:space="preserve">lobbauksen kohteeseen </w:t>
      </w:r>
      <w:r>
        <w:t>suorassa yhteydessä olevia lobbaustoimijoita</w:t>
      </w:r>
    </w:p>
    <w:p w14:paraId="25CDAEE8" w14:textId="255B915F" w:rsidR="00440EA9" w:rsidRPr="00C03DD9" w:rsidRDefault="00D86D69" w:rsidP="000123A6">
      <w:pPr>
        <w:pStyle w:val="Luettelokappale"/>
        <w:numPr>
          <w:ilvl w:val="0"/>
          <w:numId w:val="5"/>
        </w:numPr>
        <w:ind w:left="2384"/>
        <w:rPr>
          <w:u w:val="single"/>
        </w:rPr>
      </w:pPr>
      <w:r>
        <w:t xml:space="preserve">Välillinen vaikuttaminen, jossa lobbaajan ja </w:t>
      </w:r>
      <w:proofErr w:type="spellStart"/>
      <w:r>
        <w:t>lobattavan</w:t>
      </w:r>
      <w:proofErr w:type="spellEnd"/>
      <w:r>
        <w:t xml:space="preserve"> kohteen </w:t>
      </w:r>
      <w:r w:rsidR="00324992">
        <w:t xml:space="preserve">välille </w:t>
      </w:r>
      <w:r>
        <w:t>ei synny suoraa yhteyttä, jää rekisterin ulkopuolelle</w:t>
      </w:r>
      <w:r w:rsidR="00440EA9">
        <w:t>.</w:t>
      </w:r>
      <w:r w:rsidR="00C03DD9">
        <w:t xml:space="preserve"> Välillinen vaikuttamisen määritteleminen on kuitenkin hankalaa, jolloin sääntelyn rajaaminen on perusteltua.</w:t>
      </w:r>
    </w:p>
    <w:p w14:paraId="5EBBBA0B" w14:textId="77777777" w:rsidR="00440EA9" w:rsidRPr="002722C2" w:rsidRDefault="00D86D69" w:rsidP="002722C2">
      <w:pPr>
        <w:pStyle w:val="Luettelokappale"/>
        <w:numPr>
          <w:ilvl w:val="0"/>
          <w:numId w:val="5"/>
        </w:numPr>
        <w:ind w:left="2384"/>
        <w:rPr>
          <w:u w:val="single"/>
        </w:rPr>
      </w:pPr>
      <w:r>
        <w:t>Konsulttilobbaajien käyttö voi lisääntyä, jos sillä mahdollistetaan rekisteröintivelvoitteen kiertäminen. Nykyisellään konsulttilobbaajien käyttö suoraan lobbaukseen on vähäistä.</w:t>
      </w:r>
    </w:p>
    <w:p w14:paraId="62DD27F0" w14:textId="77777777" w:rsidR="001B1716" w:rsidRDefault="001B1716" w:rsidP="00DC02FC">
      <w:pPr>
        <w:ind w:left="1304"/>
        <w:rPr>
          <w:u w:val="single"/>
        </w:rPr>
      </w:pPr>
      <w:r w:rsidRPr="001B1716">
        <w:rPr>
          <w:u w:val="single"/>
        </w:rPr>
        <w:t>Kysymykset</w:t>
      </w:r>
    </w:p>
    <w:p w14:paraId="59520A43" w14:textId="77777777" w:rsidR="00DC02FC" w:rsidRPr="00B57E0E" w:rsidRDefault="00D86D69" w:rsidP="00B57E0E">
      <w:pPr>
        <w:pStyle w:val="Luettelokappale"/>
        <w:numPr>
          <w:ilvl w:val="0"/>
          <w:numId w:val="5"/>
        </w:numPr>
        <w:ind w:left="2384"/>
        <w:rPr>
          <w:i/>
          <w:u w:val="single"/>
        </w:rPr>
      </w:pPr>
      <w:r>
        <w:t xml:space="preserve">Velvoitetaanko </w:t>
      </w:r>
      <w:r w:rsidRPr="00D86D69">
        <w:t xml:space="preserve">myös taustalle </w:t>
      </w:r>
      <w:r>
        <w:t>jäävä toimija</w:t>
      </w:r>
      <w:r w:rsidR="00196BC8">
        <w:t xml:space="preserve"> (useimmiten asiakas)</w:t>
      </w:r>
      <w:r>
        <w:t xml:space="preserve"> rekisteröitymään?</w:t>
      </w:r>
    </w:p>
    <w:p w14:paraId="3B6091A5" w14:textId="77777777" w:rsidR="00B57E0E" w:rsidRPr="00B57E0E" w:rsidRDefault="00B57E0E" w:rsidP="00B57E0E">
      <w:pPr>
        <w:pStyle w:val="Luettelokappale"/>
        <w:ind w:left="2384"/>
        <w:rPr>
          <w:i/>
          <w:u w:val="single"/>
        </w:rPr>
      </w:pPr>
    </w:p>
    <w:p w14:paraId="02C0309A" w14:textId="35C3FB03" w:rsidR="00147C7D" w:rsidRDefault="00217495" w:rsidP="00DC02FC">
      <w:pPr>
        <w:pStyle w:val="Luettelokappale"/>
        <w:numPr>
          <w:ilvl w:val="0"/>
          <w:numId w:val="1"/>
        </w:numPr>
        <w:ind w:left="1664"/>
        <w:rPr>
          <w:b/>
        </w:rPr>
      </w:pPr>
      <w:r>
        <w:rPr>
          <w:b/>
        </w:rPr>
        <w:t>Rekisteriin</w:t>
      </w:r>
      <w:r w:rsidR="005748FF">
        <w:rPr>
          <w:b/>
        </w:rPr>
        <w:t xml:space="preserve"> tulisi</w:t>
      </w:r>
      <w:r>
        <w:rPr>
          <w:b/>
        </w:rPr>
        <w:t xml:space="preserve"> sisällyt</w:t>
      </w:r>
      <w:r w:rsidR="005748FF">
        <w:rPr>
          <w:b/>
        </w:rPr>
        <w:t>tää</w:t>
      </w:r>
      <w:r w:rsidR="005875E3" w:rsidRPr="00147C7D">
        <w:rPr>
          <w:b/>
        </w:rPr>
        <w:t xml:space="preserve"> myös lobbauksen taustalla olevat konsulttitoimijat</w:t>
      </w:r>
    </w:p>
    <w:p w14:paraId="22152644" w14:textId="77777777" w:rsidR="001B1716" w:rsidRDefault="001B1716" w:rsidP="00DC02FC">
      <w:pPr>
        <w:ind w:left="1304"/>
        <w:rPr>
          <w:u w:val="single"/>
        </w:rPr>
      </w:pPr>
      <w:r w:rsidRPr="001B1716">
        <w:rPr>
          <w:u w:val="single"/>
        </w:rPr>
        <w:t>Perustelut</w:t>
      </w:r>
    </w:p>
    <w:p w14:paraId="2069B987" w14:textId="77777777" w:rsidR="00824804" w:rsidRPr="00285E1B" w:rsidRDefault="00285E1B" w:rsidP="00824804">
      <w:pPr>
        <w:pStyle w:val="Luettelokappale"/>
        <w:numPr>
          <w:ilvl w:val="0"/>
          <w:numId w:val="5"/>
        </w:numPr>
        <w:ind w:left="2384"/>
      </w:pPr>
      <w:r w:rsidRPr="00285E1B">
        <w:t>Tutkimukset osoittavat, että vaikuttajaviestintätoimistoja käytetään etenkin silloin kun intressiryhmille syntyy tarve vaikuttaa yhteiskunnalliseen keskusteluun ja päätöksentekoon.</w:t>
      </w:r>
      <w:r w:rsidR="00824804" w:rsidRPr="00824804">
        <w:rPr>
          <w:rFonts w:ascii="Times New Roman" w:eastAsia="Times New Roman" w:hAnsi="Times New Roman" w:cs="Times New Roman"/>
          <w:sz w:val="24"/>
          <w:szCs w:val="24"/>
          <w:lang w:eastAsia="fi-FI"/>
        </w:rPr>
        <w:t xml:space="preserve"> </w:t>
      </w:r>
      <w:r w:rsidR="00824804" w:rsidRPr="00824804">
        <w:t> Näin ollen vaikuttajaviestintätoimistoja näytettäisiin käytettävän suoran lobbauksen, jossa konsultti hoitaa yhteydenpidon, sijaan enemmän taustalobbauksessa.</w:t>
      </w:r>
    </w:p>
    <w:p w14:paraId="12FF2AB7" w14:textId="77777777" w:rsidR="00824804" w:rsidRPr="00285E1B" w:rsidRDefault="00285E1B" w:rsidP="00824804">
      <w:pPr>
        <w:pStyle w:val="Luettelokappale"/>
        <w:numPr>
          <w:ilvl w:val="0"/>
          <w:numId w:val="5"/>
        </w:numPr>
        <w:ind w:left="2384"/>
      </w:pPr>
      <w:r w:rsidRPr="00285E1B">
        <w:t>Mikäli tuleva lobbausmääritelmä ei kattaisi taustalobbausta, jäisi todennäköisesti osa vaikuttajaviestintätoimistoista määritelmän, ja siten myös rekisterin ulkopuolelle</w:t>
      </w:r>
      <w:r w:rsidR="00824804">
        <w:t>.</w:t>
      </w:r>
    </w:p>
    <w:p w14:paraId="62166A92" w14:textId="77777777" w:rsidR="001B1716" w:rsidRDefault="001B1716" w:rsidP="00DC02FC">
      <w:pPr>
        <w:ind w:left="1304"/>
        <w:rPr>
          <w:u w:val="single"/>
        </w:rPr>
      </w:pPr>
      <w:r w:rsidRPr="001B1716">
        <w:rPr>
          <w:u w:val="single"/>
        </w:rPr>
        <w:t>Vaikutukset</w:t>
      </w:r>
    </w:p>
    <w:p w14:paraId="110356CE" w14:textId="77777777" w:rsidR="00824804" w:rsidRDefault="00824804" w:rsidP="00824804">
      <w:pPr>
        <w:pStyle w:val="Luettelokappale"/>
        <w:numPr>
          <w:ilvl w:val="0"/>
          <w:numId w:val="5"/>
        </w:numPr>
        <w:ind w:left="2384"/>
      </w:pPr>
      <w:r>
        <w:t>Rekisteröitymisvelvoite koskisi toimintaa</w:t>
      </w:r>
      <w:r w:rsidRPr="00824804">
        <w:t xml:space="preserve">, jonka tarkoituksena on valmistella, avustaa tai neuvoa </w:t>
      </w:r>
      <w:r>
        <w:t xml:space="preserve">vaikuttamisessa ja </w:t>
      </w:r>
      <w:r w:rsidRPr="00824804">
        <w:t>yhteydenpidoss</w:t>
      </w:r>
      <w:r>
        <w:t>a.</w:t>
      </w:r>
    </w:p>
    <w:p w14:paraId="4825E8AA" w14:textId="77777777" w:rsidR="00285E1B" w:rsidRDefault="00824804" w:rsidP="00824804">
      <w:pPr>
        <w:pStyle w:val="Luettelokappale"/>
        <w:numPr>
          <w:ilvl w:val="0"/>
          <w:numId w:val="5"/>
        </w:numPr>
        <w:ind w:left="2384"/>
      </w:pPr>
      <w:r>
        <w:t>V</w:t>
      </w:r>
      <w:r w:rsidR="00285E1B" w:rsidRPr="00824804">
        <w:t>oi vaikeuttaa varsinaisten lobbaajien (oma agenda) erottamista taustalobbaajist</w:t>
      </w:r>
      <w:r>
        <w:t>a (jonkun muun agenda). S</w:t>
      </w:r>
      <w:r w:rsidR="00285E1B" w:rsidRPr="00824804">
        <w:t xml:space="preserve">ääntelyssä tulisi huomioida, että rekisteröitävät tiedot kertoisivat riittävällä tarkkuudella, millaisesta toimijasta on kysymys.  </w:t>
      </w:r>
    </w:p>
    <w:p w14:paraId="715B94B3" w14:textId="77777777" w:rsidR="00824804" w:rsidRPr="00824804" w:rsidRDefault="00824804" w:rsidP="00824804">
      <w:pPr>
        <w:pStyle w:val="Luettelokappale"/>
        <w:numPr>
          <w:ilvl w:val="0"/>
          <w:numId w:val="5"/>
        </w:numPr>
        <w:ind w:left="2384"/>
      </w:pPr>
      <w:r>
        <w:t>Vaikuttamiseen liittyvä oikeudellinen neuvonanto tulkittaisiin myös lobbaukseksi, mikä edellyttäisi asianajotoimistoja rekisteröitymään.</w:t>
      </w:r>
    </w:p>
    <w:p w14:paraId="61649A26" w14:textId="77777777" w:rsidR="00147C7D" w:rsidRDefault="001B1716" w:rsidP="00DC02FC">
      <w:pPr>
        <w:ind w:left="1304"/>
        <w:rPr>
          <w:u w:val="single"/>
        </w:rPr>
      </w:pPr>
      <w:r w:rsidRPr="001B1716">
        <w:rPr>
          <w:u w:val="single"/>
        </w:rPr>
        <w:t>Kysymykset</w:t>
      </w:r>
    </w:p>
    <w:p w14:paraId="6B7A9F36" w14:textId="77777777" w:rsidR="00824804" w:rsidRPr="00824804" w:rsidRDefault="00824804" w:rsidP="00824804">
      <w:pPr>
        <w:pStyle w:val="Luettelokappale"/>
        <w:numPr>
          <w:ilvl w:val="0"/>
          <w:numId w:val="5"/>
        </w:numPr>
        <w:ind w:left="2384"/>
        <w:rPr>
          <w:i/>
          <w:u w:val="single"/>
        </w:rPr>
      </w:pPr>
      <w:r>
        <w:t>Minkälainen konsulttitoiminta jäisi ulkopuolelle?</w:t>
      </w:r>
    </w:p>
    <w:p w14:paraId="5A3ABAAD" w14:textId="77777777" w:rsidR="00147C7D" w:rsidRPr="00824804" w:rsidRDefault="00147C7D" w:rsidP="00824804">
      <w:pPr>
        <w:rPr>
          <w:b/>
        </w:rPr>
      </w:pPr>
    </w:p>
    <w:p w14:paraId="1A185398" w14:textId="77777777" w:rsidR="00147C7D" w:rsidRDefault="00147C7D" w:rsidP="00DC02FC">
      <w:pPr>
        <w:pStyle w:val="Luettelokappale"/>
        <w:numPr>
          <w:ilvl w:val="0"/>
          <w:numId w:val="1"/>
        </w:numPr>
        <w:ind w:left="1664"/>
        <w:rPr>
          <w:b/>
        </w:rPr>
      </w:pPr>
      <w:r>
        <w:rPr>
          <w:b/>
        </w:rPr>
        <w:t>Rekisteröintivelvoit</w:t>
      </w:r>
      <w:r w:rsidR="008F13B3">
        <w:rPr>
          <w:b/>
        </w:rPr>
        <w:t>e koskee ainoastaan</w:t>
      </w:r>
      <w:r>
        <w:rPr>
          <w:b/>
        </w:rPr>
        <w:t xml:space="preserve"> vaikuttamista, ei pyrkimystä siihen</w:t>
      </w:r>
    </w:p>
    <w:p w14:paraId="324BB268" w14:textId="77777777" w:rsidR="00824804" w:rsidRDefault="001B1716" w:rsidP="00824804">
      <w:pPr>
        <w:ind w:left="1304"/>
        <w:rPr>
          <w:u w:val="single"/>
        </w:rPr>
      </w:pPr>
      <w:r w:rsidRPr="001B1716">
        <w:rPr>
          <w:u w:val="single"/>
        </w:rPr>
        <w:t>Perustelut</w:t>
      </w:r>
    </w:p>
    <w:p w14:paraId="1D07FE80" w14:textId="1CDCD741" w:rsidR="008F13B3" w:rsidRPr="008F13B3" w:rsidRDefault="008F13B3" w:rsidP="008F13B3">
      <w:pPr>
        <w:pStyle w:val="Luettelokappale"/>
        <w:numPr>
          <w:ilvl w:val="0"/>
          <w:numId w:val="5"/>
        </w:numPr>
        <w:ind w:left="2384"/>
      </w:pPr>
      <w:r w:rsidRPr="008F13B3">
        <w:t xml:space="preserve">Pyrkimyksen osoittaminen </w:t>
      </w:r>
      <w:r>
        <w:t>juridisesti on haastavaa, joten sääntelyn tarkkarajaisuuden näkökulmasta vain varsinainen vaikuttaminen on mielekästä sisäl</w:t>
      </w:r>
      <w:r w:rsidR="00324992">
        <w:t>lyt</w:t>
      </w:r>
      <w:r>
        <w:t>tää sääntelyn piiriin.</w:t>
      </w:r>
    </w:p>
    <w:p w14:paraId="652A514B" w14:textId="77777777" w:rsidR="001B1716" w:rsidRDefault="001B1716" w:rsidP="00DC02FC">
      <w:pPr>
        <w:ind w:left="1304"/>
        <w:rPr>
          <w:u w:val="single"/>
        </w:rPr>
      </w:pPr>
      <w:r w:rsidRPr="001B1716">
        <w:rPr>
          <w:u w:val="single"/>
        </w:rPr>
        <w:t>Vaikutukset</w:t>
      </w:r>
    </w:p>
    <w:p w14:paraId="237D8A4E" w14:textId="77777777" w:rsidR="00824804" w:rsidRPr="00903083" w:rsidRDefault="00BC7B01" w:rsidP="00903083">
      <w:pPr>
        <w:pStyle w:val="Luettelokappale"/>
        <w:numPr>
          <w:ilvl w:val="0"/>
          <w:numId w:val="5"/>
        </w:numPr>
        <w:ind w:left="2384"/>
      </w:pPr>
      <w:r>
        <w:t>J</w:t>
      </w:r>
      <w:r w:rsidRPr="00BC7B01">
        <w:t>ossain tapauksessa suor</w:t>
      </w:r>
      <w:r w:rsidR="00903083">
        <w:t xml:space="preserve">aksi vaikuttamiseksi laskettava toiminta </w:t>
      </w:r>
      <w:r w:rsidRPr="00BC7B01">
        <w:t>jää ohueksi tai epäselväksi</w:t>
      </w:r>
      <w:r w:rsidR="00903083">
        <w:t>, jolloin toiminnan tulkitseminen vaikuttamiseksi voi olla haastavaa</w:t>
      </w:r>
      <w:r w:rsidRPr="00BC7B01">
        <w:t xml:space="preserve">. Tällainen tilanne saattaisi esimerkiksi muodostua yleisötilaisuudessa, johon osallistuvat sekä lobbari että </w:t>
      </w:r>
      <w:proofErr w:type="spellStart"/>
      <w:r w:rsidRPr="00BC7B01">
        <w:t>lob</w:t>
      </w:r>
      <w:r w:rsidR="00903083">
        <w:t>attava</w:t>
      </w:r>
      <w:proofErr w:type="spellEnd"/>
      <w:r w:rsidR="00903083">
        <w:t xml:space="preserve"> kohde. Tällöin pyrkimyksen sisällyttäminen määritelmään voisi ratkaista paremmin sen</w:t>
      </w:r>
      <w:r w:rsidRPr="00BC7B01">
        <w:t xml:space="preserve">, kuuluuko lobbarin rekisteröityä vai ei. </w:t>
      </w:r>
    </w:p>
    <w:p w14:paraId="0EB200DD" w14:textId="77777777" w:rsidR="005875E3" w:rsidRDefault="005875E3" w:rsidP="001B1716"/>
    <w:p w14:paraId="5DD7D249" w14:textId="77777777" w:rsidR="00491592" w:rsidRDefault="00491592" w:rsidP="00DC02FC">
      <w:pPr>
        <w:pStyle w:val="Luettelokappale"/>
        <w:numPr>
          <w:ilvl w:val="0"/>
          <w:numId w:val="1"/>
        </w:numPr>
        <w:ind w:left="1664"/>
        <w:rPr>
          <w:b/>
        </w:rPr>
      </w:pPr>
      <w:r w:rsidRPr="008C6097">
        <w:rPr>
          <w:b/>
        </w:rPr>
        <w:t>Joitakin ei-ammattimaisia lobbaajia jätetään rekisterin ulkopuolelle</w:t>
      </w:r>
    </w:p>
    <w:p w14:paraId="3BAB169B" w14:textId="77777777" w:rsidR="001B1716" w:rsidRDefault="001B1716" w:rsidP="00DC02FC">
      <w:pPr>
        <w:ind w:left="1304"/>
        <w:rPr>
          <w:u w:val="single"/>
        </w:rPr>
      </w:pPr>
      <w:r w:rsidRPr="001B1716">
        <w:rPr>
          <w:u w:val="single"/>
        </w:rPr>
        <w:t>Perustelut</w:t>
      </w:r>
    </w:p>
    <w:p w14:paraId="2D8F1B37" w14:textId="77777777" w:rsidR="0058787E" w:rsidRPr="004B6076" w:rsidRDefault="004B6076" w:rsidP="004B6076">
      <w:pPr>
        <w:pStyle w:val="Luettelokappale"/>
        <w:numPr>
          <w:ilvl w:val="0"/>
          <w:numId w:val="5"/>
        </w:numPr>
        <w:ind w:left="2384"/>
        <w:rPr>
          <w:i/>
          <w:u w:val="single"/>
        </w:rPr>
      </w:pPr>
      <w:r>
        <w:t xml:space="preserve">Avoimuusrekisterin tarkoituksena ei ole hankaloittaa ruohonjuuritason kansalaistoimintaa. Myös yrityskentässä on paljon pieniä toimijoita, jotka eivät harjoita ammattimaista edunvalvontaa. Täten voi olla perusteltua pyrkiä rajaamaan tällaiset toimijat sääntelyn ulkopuolelle, kuten Irlannissa on tehty. </w:t>
      </w:r>
    </w:p>
    <w:p w14:paraId="6613DDD3" w14:textId="77777777" w:rsidR="004B6076" w:rsidRDefault="001B1716" w:rsidP="004B6076">
      <w:pPr>
        <w:ind w:left="1304"/>
        <w:rPr>
          <w:u w:val="single"/>
        </w:rPr>
      </w:pPr>
      <w:r w:rsidRPr="001B1716">
        <w:rPr>
          <w:u w:val="single"/>
        </w:rPr>
        <w:t>Vaikutukset</w:t>
      </w:r>
    </w:p>
    <w:p w14:paraId="2331E77B" w14:textId="3169E9CF" w:rsidR="004B6076" w:rsidRPr="004B6076" w:rsidRDefault="004B6076" w:rsidP="004B6076">
      <w:pPr>
        <w:pStyle w:val="Luettelokappale"/>
        <w:numPr>
          <w:ilvl w:val="0"/>
          <w:numId w:val="5"/>
        </w:numPr>
        <w:ind w:left="2384"/>
        <w:rPr>
          <w:i/>
          <w:u w:val="single"/>
        </w:rPr>
      </w:pPr>
      <w:r>
        <w:t>Pienille toimijoille</w:t>
      </w:r>
      <w:r w:rsidR="00CB5A6D">
        <w:t>, jota eivät harjoita ammattimaista lobbausta,</w:t>
      </w:r>
      <w:r>
        <w:t xml:space="preserve"> ei synny hallinnollista taakkaa vähäisestä vaikuttamistoiminnasta.</w:t>
      </w:r>
    </w:p>
    <w:p w14:paraId="4C8A2EE0" w14:textId="77777777" w:rsidR="00D246AE" w:rsidRPr="00D246AE" w:rsidRDefault="004B6076" w:rsidP="00D246AE">
      <w:pPr>
        <w:pStyle w:val="Luettelokappale"/>
        <w:numPr>
          <w:ilvl w:val="0"/>
          <w:numId w:val="5"/>
        </w:numPr>
        <w:ind w:left="2384"/>
        <w:rPr>
          <w:i/>
          <w:u w:val="single"/>
        </w:rPr>
      </w:pPr>
      <w:r>
        <w:t xml:space="preserve"> L</w:t>
      </w:r>
      <w:r w:rsidRPr="004B6076">
        <w:t>iian laajat rajaukset, vaikka ne lähtökohtaisesti olisi tarkoitettu kohdistamaan sääntely ”oik</w:t>
      </w:r>
      <w:r>
        <w:t>eassa” suhteessa toimijoihin</w:t>
      </w:r>
      <w:r w:rsidRPr="004B6076">
        <w:t>, voivat aiheuttaa merkittävän aukon sääntelyssä.</w:t>
      </w:r>
      <w:r>
        <w:t xml:space="preserve"> </w:t>
      </w:r>
      <w:r w:rsidR="00C4414C" w:rsidRPr="00C4414C">
        <w:t>KV-esimerkit myös osoittavat, että rajaukset ovat han</w:t>
      </w:r>
      <w:r w:rsidR="00C4414C">
        <w:t>kalia luoda ja usein teennäisiä. M</w:t>
      </w:r>
      <w:r>
        <w:t>yös pienet toimijat voivat harjoittaa merkittävää lobbaustoimintaa.</w:t>
      </w:r>
      <w:r w:rsidRPr="00E03C4E">
        <w:rPr>
          <w:i/>
          <w:u w:val="single"/>
        </w:rPr>
        <w:t xml:space="preserve"> </w:t>
      </w:r>
    </w:p>
    <w:p w14:paraId="6C35355E" w14:textId="77777777" w:rsidR="00A53C49" w:rsidRDefault="001B1716" w:rsidP="00C4414C">
      <w:pPr>
        <w:ind w:left="1304"/>
        <w:rPr>
          <w:u w:val="single"/>
        </w:rPr>
      </w:pPr>
      <w:r w:rsidRPr="001B1716">
        <w:rPr>
          <w:u w:val="single"/>
        </w:rPr>
        <w:t>Kysymykset</w:t>
      </w:r>
    </w:p>
    <w:p w14:paraId="504D49DD" w14:textId="77777777" w:rsidR="00C4414C" w:rsidRPr="002722C2" w:rsidRDefault="00C4414C" w:rsidP="002722C2">
      <w:pPr>
        <w:pStyle w:val="Luettelokappale"/>
        <w:numPr>
          <w:ilvl w:val="0"/>
          <w:numId w:val="5"/>
        </w:numPr>
        <w:ind w:left="2384"/>
        <w:rPr>
          <w:i/>
          <w:u w:val="single"/>
        </w:rPr>
      </w:pPr>
      <w:r>
        <w:t>Voidaanko rajaukset kohdentaa mielekkäällä tavalla ei-ammattimaiseen lobbaukseen siten, ettei merkittävää lobbaustoimintaa harjoittavat pienet toimijat jää rekisterin ulkopuolelle? Miten tällainen määrittely tulisi tehdä?</w:t>
      </w:r>
    </w:p>
    <w:p w14:paraId="401780B9" w14:textId="77777777" w:rsidR="002722C2" w:rsidRPr="002722C2" w:rsidRDefault="002722C2" w:rsidP="002722C2">
      <w:pPr>
        <w:pStyle w:val="Luettelokappale"/>
        <w:ind w:left="2384"/>
        <w:rPr>
          <w:i/>
          <w:u w:val="single"/>
        </w:rPr>
      </w:pPr>
    </w:p>
    <w:p w14:paraId="60B20016" w14:textId="77777777" w:rsidR="00626C23" w:rsidRPr="00626C23" w:rsidRDefault="00626C23" w:rsidP="00626C23">
      <w:pPr>
        <w:pStyle w:val="Luettelokappale"/>
        <w:numPr>
          <w:ilvl w:val="0"/>
          <w:numId w:val="1"/>
        </w:numPr>
        <w:ind w:left="1664"/>
        <w:rPr>
          <w:b/>
        </w:rPr>
      </w:pPr>
      <w:r>
        <w:rPr>
          <w:b/>
        </w:rPr>
        <w:t>Puolueen jäsenjärjestöjen yhteydenpito</w:t>
      </w:r>
      <w:r w:rsidR="00B56831">
        <w:rPr>
          <w:b/>
        </w:rPr>
        <w:t xml:space="preserve"> puolueen kansanedustajiin, ministereihin ja näiden avustajiin</w:t>
      </w:r>
      <w:r>
        <w:rPr>
          <w:b/>
        </w:rPr>
        <w:t xml:space="preserve"> rajataan sääntelyn ulkopuolelle</w:t>
      </w:r>
    </w:p>
    <w:p w14:paraId="27BA45C1" w14:textId="77777777" w:rsidR="00626C23" w:rsidRPr="00D246AE" w:rsidRDefault="00626C23" w:rsidP="00626C23">
      <w:pPr>
        <w:ind w:left="1304"/>
        <w:rPr>
          <w:u w:val="single"/>
        </w:rPr>
      </w:pPr>
      <w:r w:rsidRPr="001B1716">
        <w:rPr>
          <w:u w:val="single"/>
        </w:rPr>
        <w:t>Perustelut</w:t>
      </w:r>
    </w:p>
    <w:p w14:paraId="3012B6F6" w14:textId="77777777" w:rsidR="00B56831" w:rsidRPr="00BF3AA6" w:rsidRDefault="00B56831" w:rsidP="00B56831">
      <w:pPr>
        <w:numPr>
          <w:ilvl w:val="0"/>
          <w:numId w:val="5"/>
        </w:numPr>
        <w:ind w:left="2384"/>
        <w:contextualSpacing/>
      </w:pPr>
      <w:r>
        <w:t>Sääntelyllä ei haluta vaikeuttaa kansanedustajien ja ministerien toimintaa, jolloin puolueen jäsenjärjestöjen, kuten kannatusyhdistysten, yhteydenpito kansanedustajiin ja ministereihin sekä näiden avustajiin tulee mahdollistaa.</w:t>
      </w:r>
    </w:p>
    <w:p w14:paraId="5901B789" w14:textId="77777777" w:rsidR="00626C23" w:rsidRDefault="00626C23" w:rsidP="00626C23">
      <w:pPr>
        <w:ind w:left="1304"/>
        <w:rPr>
          <w:u w:val="single"/>
        </w:rPr>
      </w:pPr>
      <w:r w:rsidRPr="001B1716">
        <w:rPr>
          <w:u w:val="single"/>
        </w:rPr>
        <w:t>Vaikutukset</w:t>
      </w:r>
    </w:p>
    <w:p w14:paraId="31EAD724" w14:textId="77777777" w:rsidR="00626C23" w:rsidRDefault="00B56831" w:rsidP="00626C23">
      <w:pPr>
        <w:numPr>
          <w:ilvl w:val="0"/>
          <w:numId w:val="5"/>
        </w:numPr>
        <w:ind w:left="2384"/>
        <w:contextualSpacing/>
      </w:pPr>
      <w:r>
        <w:t>Puolueiden ruohonjuuritason toimijoiden yhteydenpito kansanedustajiin ja ministereihin jää sääntelyn ulkopuolelle</w:t>
      </w:r>
    </w:p>
    <w:p w14:paraId="194C47CA" w14:textId="77777777" w:rsidR="00626C23" w:rsidRPr="00BF3AA6" w:rsidRDefault="00626C23" w:rsidP="00626C23">
      <w:pPr>
        <w:ind w:left="2384"/>
        <w:contextualSpacing/>
      </w:pPr>
    </w:p>
    <w:p w14:paraId="1E6ABD58" w14:textId="77777777" w:rsidR="00626C23" w:rsidRPr="001B1716" w:rsidRDefault="00626C23" w:rsidP="00626C23">
      <w:pPr>
        <w:ind w:left="1304"/>
        <w:rPr>
          <w:u w:val="single"/>
        </w:rPr>
      </w:pPr>
      <w:r w:rsidRPr="001B1716">
        <w:rPr>
          <w:u w:val="single"/>
        </w:rPr>
        <w:t>Kysymykset</w:t>
      </w:r>
    </w:p>
    <w:p w14:paraId="7FEE8BD7" w14:textId="02F4017D" w:rsidR="00626C23" w:rsidRPr="00C372AA" w:rsidRDefault="00B56831" w:rsidP="00626C23">
      <w:pPr>
        <w:numPr>
          <w:ilvl w:val="0"/>
          <w:numId w:val="5"/>
        </w:numPr>
        <w:ind w:left="2384"/>
        <w:contextualSpacing/>
        <w:rPr>
          <w:b/>
        </w:rPr>
      </w:pPr>
      <w:r>
        <w:t>Onko riskinä, että sääntelyn ulkopuolelle jäisi myös muunlaisia, lähellä puolueita olevia toimijoita? Miten tämä voidaan estää?</w:t>
      </w:r>
    </w:p>
    <w:p w14:paraId="7D77C41E" w14:textId="7BC7216C" w:rsidR="00626C23" w:rsidRDefault="00626C23" w:rsidP="00626C23">
      <w:pPr>
        <w:ind w:left="1304"/>
        <w:rPr>
          <w:b/>
        </w:rPr>
      </w:pPr>
    </w:p>
    <w:p w14:paraId="215A379A" w14:textId="1D13E318" w:rsidR="0053653E" w:rsidRDefault="0053653E" w:rsidP="00626C23">
      <w:pPr>
        <w:ind w:left="1304"/>
        <w:rPr>
          <w:b/>
        </w:rPr>
      </w:pPr>
    </w:p>
    <w:p w14:paraId="1EFBC286" w14:textId="77777777" w:rsidR="0053653E" w:rsidRPr="00626C23" w:rsidRDefault="0053653E" w:rsidP="00626C23">
      <w:pPr>
        <w:ind w:left="1304"/>
        <w:rPr>
          <w:b/>
        </w:rPr>
      </w:pPr>
    </w:p>
    <w:p w14:paraId="76ABAD67" w14:textId="77777777" w:rsidR="00A53C49" w:rsidRDefault="00A53C49" w:rsidP="00DC02FC">
      <w:pPr>
        <w:pStyle w:val="Luettelokappale"/>
        <w:numPr>
          <w:ilvl w:val="0"/>
          <w:numId w:val="1"/>
        </w:numPr>
        <w:ind w:left="1664"/>
        <w:rPr>
          <w:b/>
        </w:rPr>
      </w:pPr>
      <w:r>
        <w:rPr>
          <w:b/>
        </w:rPr>
        <w:t>Tavanomainen yhteydenpito viranomaisiin rajataan sääntelyn ulkopuolelle</w:t>
      </w:r>
    </w:p>
    <w:p w14:paraId="33284806" w14:textId="77777777" w:rsidR="00D246AE" w:rsidRPr="00D246AE" w:rsidRDefault="001B1716" w:rsidP="00D246AE">
      <w:pPr>
        <w:ind w:left="1304"/>
        <w:rPr>
          <w:u w:val="single"/>
        </w:rPr>
      </w:pPr>
      <w:r w:rsidRPr="001B1716">
        <w:rPr>
          <w:u w:val="single"/>
        </w:rPr>
        <w:t>Perustelut</w:t>
      </w:r>
    </w:p>
    <w:p w14:paraId="2B5FCE8B" w14:textId="65E9C211" w:rsidR="00D246AE" w:rsidRPr="00BF3AA6" w:rsidRDefault="00D246AE" w:rsidP="00BF3AA6">
      <w:pPr>
        <w:numPr>
          <w:ilvl w:val="0"/>
          <w:numId w:val="5"/>
        </w:numPr>
        <w:ind w:left="2384"/>
        <w:contextualSpacing/>
      </w:pPr>
      <w:r>
        <w:t xml:space="preserve">Sääntelyllä ei saa rajoittaa tavanomaista </w:t>
      </w:r>
      <w:r w:rsidR="00BF3AA6">
        <w:t>ja välttämätöntä yhteydenpitoa viranomaisiin, esim. asioiden hoitami</w:t>
      </w:r>
      <w:r w:rsidR="00B16E51">
        <w:t>sta</w:t>
      </w:r>
      <w:r w:rsidR="00BF3AA6">
        <w:t xml:space="preserve"> viranomaisissa. </w:t>
      </w:r>
    </w:p>
    <w:p w14:paraId="15838576" w14:textId="77777777" w:rsidR="001B1716" w:rsidRDefault="001B1716" w:rsidP="00DC02FC">
      <w:pPr>
        <w:ind w:left="1304"/>
        <w:rPr>
          <w:u w:val="single"/>
        </w:rPr>
      </w:pPr>
      <w:r w:rsidRPr="001B1716">
        <w:rPr>
          <w:u w:val="single"/>
        </w:rPr>
        <w:t>Vaikutukset</w:t>
      </w:r>
    </w:p>
    <w:p w14:paraId="71A3C6F9" w14:textId="6E675CBD" w:rsidR="002722C2" w:rsidRDefault="00BF3AA6" w:rsidP="002722C2">
      <w:pPr>
        <w:numPr>
          <w:ilvl w:val="0"/>
          <w:numId w:val="5"/>
        </w:numPr>
        <w:ind w:left="2384"/>
        <w:contextualSpacing/>
      </w:pPr>
      <w:r>
        <w:t>Tällä rajataan ja tarkennetaan lobbaukse</w:t>
      </w:r>
      <w:r w:rsidR="00B16E51">
        <w:t>e</w:t>
      </w:r>
      <w:r>
        <w:t>n liit</w:t>
      </w:r>
      <w:r w:rsidR="00C372AA">
        <w:t>tyvän yhteydenpidon määritelmää ja mahdollistetaan asiointi viranomaisten kanssa.</w:t>
      </w:r>
    </w:p>
    <w:p w14:paraId="331526C2" w14:textId="77777777" w:rsidR="002722C2" w:rsidRPr="00BF3AA6" w:rsidRDefault="002722C2" w:rsidP="002722C2">
      <w:pPr>
        <w:ind w:left="2384"/>
        <w:contextualSpacing/>
      </w:pPr>
    </w:p>
    <w:p w14:paraId="4D7CB452" w14:textId="77777777" w:rsidR="001B1716" w:rsidRPr="001B1716" w:rsidRDefault="001B1716" w:rsidP="00DC02FC">
      <w:pPr>
        <w:ind w:left="1304"/>
        <w:rPr>
          <w:u w:val="single"/>
        </w:rPr>
      </w:pPr>
      <w:r w:rsidRPr="001B1716">
        <w:rPr>
          <w:u w:val="single"/>
        </w:rPr>
        <w:t>Kysymykset</w:t>
      </w:r>
    </w:p>
    <w:p w14:paraId="441E9172" w14:textId="77777777" w:rsidR="00C372AA" w:rsidRPr="00C372AA" w:rsidRDefault="00C372AA" w:rsidP="00C372AA">
      <w:pPr>
        <w:numPr>
          <w:ilvl w:val="0"/>
          <w:numId w:val="5"/>
        </w:numPr>
        <w:ind w:left="2384"/>
        <w:contextualSpacing/>
        <w:rPr>
          <w:b/>
        </w:rPr>
      </w:pPr>
      <w:r>
        <w:t>Mitkä kaikki asiat rajataan ulkopuolelle?</w:t>
      </w:r>
    </w:p>
    <w:p w14:paraId="63BE8C37" w14:textId="77777777" w:rsidR="00C372AA" w:rsidRPr="00C372AA" w:rsidRDefault="00A40AD5" w:rsidP="00C372AA">
      <w:pPr>
        <w:numPr>
          <w:ilvl w:val="0"/>
          <w:numId w:val="5"/>
        </w:numPr>
        <w:ind w:left="2384"/>
        <w:contextualSpacing/>
        <w:rPr>
          <w:b/>
        </w:rPr>
      </w:pPr>
      <w:r>
        <w:t>Rajataanko julkisoikeudellisten yhdistysten ja muiden julkisyhteisöjen yhteydenpito viranomaisiin kokonaan sääntelyn ulkopuolelle vai vain osittain (esim. kyseisen tehtävän osalta)? Millaisia vaikutuksia tällä on?</w:t>
      </w:r>
    </w:p>
    <w:p w14:paraId="778027BC" w14:textId="77777777" w:rsidR="00035A1B" w:rsidRPr="0053653E" w:rsidRDefault="00035A1B" w:rsidP="0053653E">
      <w:pPr>
        <w:rPr>
          <w:u w:val="single"/>
        </w:rPr>
      </w:pPr>
    </w:p>
    <w:p w14:paraId="0A8151E2" w14:textId="77777777" w:rsidR="00035A1B" w:rsidRDefault="00035A1B" w:rsidP="00035A1B">
      <w:pPr>
        <w:pStyle w:val="Luettelokappale"/>
        <w:numPr>
          <w:ilvl w:val="0"/>
          <w:numId w:val="1"/>
        </w:numPr>
        <w:ind w:left="1664"/>
        <w:rPr>
          <w:b/>
        </w:rPr>
      </w:pPr>
      <w:r>
        <w:rPr>
          <w:b/>
        </w:rPr>
        <w:t>Sääntely koskisi alkuvaiheessa lobbausta, joka kohdistuu eduskuntaan, ministeriöihin ja valtionhallinnon virastoihin.</w:t>
      </w:r>
    </w:p>
    <w:p w14:paraId="1E2F04E0" w14:textId="77777777" w:rsidR="00035A1B" w:rsidRPr="00837893" w:rsidRDefault="00035A1B" w:rsidP="00035A1B">
      <w:pPr>
        <w:ind w:left="1304"/>
        <w:rPr>
          <w:u w:val="single"/>
        </w:rPr>
      </w:pPr>
      <w:r w:rsidRPr="00837893">
        <w:rPr>
          <w:u w:val="single"/>
        </w:rPr>
        <w:t>Perustelut</w:t>
      </w:r>
    </w:p>
    <w:p w14:paraId="0CDABA94" w14:textId="77777777" w:rsidR="00035A1B" w:rsidRPr="00903B5D" w:rsidRDefault="00035A1B" w:rsidP="00035A1B">
      <w:pPr>
        <w:numPr>
          <w:ilvl w:val="0"/>
          <w:numId w:val="5"/>
        </w:numPr>
        <w:ind w:left="2384"/>
        <w:contextualSpacing/>
        <w:rPr>
          <w:u w:val="single"/>
        </w:rPr>
      </w:pPr>
      <w:r w:rsidRPr="00837893">
        <w:t xml:space="preserve">Sääntelyn asteittaisella ulottamisella eri hallinnon tasoille helpotetaan toimeenpanoa ja kokemusten keräämistä </w:t>
      </w:r>
      <w:r>
        <w:t>lobbaussääntelyn vaikutukse</w:t>
      </w:r>
      <w:r w:rsidRPr="00837893">
        <w:t xml:space="preserve">sta Suomessa.  </w:t>
      </w:r>
    </w:p>
    <w:p w14:paraId="3E3471E5" w14:textId="77777777" w:rsidR="00035A1B" w:rsidRPr="00837893" w:rsidRDefault="00035A1B" w:rsidP="00035A1B">
      <w:pPr>
        <w:ind w:left="2384"/>
        <w:contextualSpacing/>
        <w:rPr>
          <w:u w:val="single"/>
        </w:rPr>
      </w:pPr>
    </w:p>
    <w:p w14:paraId="7D022585" w14:textId="77777777" w:rsidR="00035A1B" w:rsidRPr="00837893" w:rsidRDefault="00035A1B" w:rsidP="00035A1B">
      <w:pPr>
        <w:ind w:left="1304"/>
        <w:rPr>
          <w:u w:val="single"/>
        </w:rPr>
      </w:pPr>
      <w:r w:rsidRPr="00837893">
        <w:rPr>
          <w:u w:val="single"/>
        </w:rPr>
        <w:t>Vaikutukset</w:t>
      </w:r>
    </w:p>
    <w:p w14:paraId="56665C85" w14:textId="77777777" w:rsidR="00035A1B" w:rsidRPr="00837893" w:rsidRDefault="00035A1B" w:rsidP="00035A1B">
      <w:pPr>
        <w:numPr>
          <w:ilvl w:val="0"/>
          <w:numId w:val="5"/>
        </w:numPr>
        <w:ind w:left="2384"/>
        <w:contextualSpacing/>
      </w:pPr>
      <w:r>
        <w:t>Vähentää merkittävällä tavalla toimeenpanon kokoluokkaa.</w:t>
      </w:r>
    </w:p>
    <w:p w14:paraId="2FF8483D" w14:textId="77777777" w:rsidR="00035A1B" w:rsidRPr="00903B5D" w:rsidRDefault="00035A1B" w:rsidP="00035A1B">
      <w:pPr>
        <w:numPr>
          <w:ilvl w:val="0"/>
          <w:numId w:val="5"/>
        </w:numPr>
        <w:ind w:left="2384"/>
        <w:contextualSpacing/>
        <w:rPr>
          <w:u w:val="single"/>
        </w:rPr>
      </w:pPr>
      <w:r>
        <w:t>A</w:t>
      </w:r>
      <w:r w:rsidRPr="00837893">
        <w:t>lueellinen ja kunnallin</w:t>
      </w:r>
      <w:r>
        <w:t xml:space="preserve">en vaikuttamistoiminta jää </w:t>
      </w:r>
      <w:r w:rsidRPr="00837893">
        <w:t>pois rekisteristä</w:t>
      </w:r>
      <w:r>
        <w:t>, mikä tarkoittaa merkittävän julkisen vallan käytön rajautumista pois sääntelyn piiristä</w:t>
      </w:r>
      <w:r w:rsidRPr="00837893">
        <w:t>.</w:t>
      </w:r>
    </w:p>
    <w:p w14:paraId="62F8118B" w14:textId="77777777" w:rsidR="00035A1B" w:rsidRPr="00837893" w:rsidRDefault="00035A1B" w:rsidP="00035A1B">
      <w:pPr>
        <w:ind w:left="2384"/>
        <w:contextualSpacing/>
        <w:rPr>
          <w:u w:val="single"/>
        </w:rPr>
      </w:pPr>
    </w:p>
    <w:p w14:paraId="61C5E2FA" w14:textId="77777777" w:rsidR="00035A1B" w:rsidRPr="00837893" w:rsidRDefault="00035A1B" w:rsidP="00035A1B">
      <w:pPr>
        <w:ind w:left="1304"/>
        <w:rPr>
          <w:u w:val="single"/>
        </w:rPr>
      </w:pPr>
      <w:r w:rsidRPr="00837893">
        <w:rPr>
          <w:u w:val="single"/>
        </w:rPr>
        <w:t>Kysymykset</w:t>
      </w:r>
    </w:p>
    <w:p w14:paraId="7FA176B8" w14:textId="77777777" w:rsidR="00035A1B" w:rsidRPr="0014388A" w:rsidRDefault="00035A1B" w:rsidP="00035A1B">
      <w:pPr>
        <w:numPr>
          <w:ilvl w:val="0"/>
          <w:numId w:val="5"/>
        </w:numPr>
        <w:ind w:left="2384"/>
        <w:contextualSpacing/>
      </w:pPr>
      <w:r w:rsidRPr="0014388A">
        <w:t xml:space="preserve">Millä aikataululla voisi olla realistista laajentaa sääntelyä myös alue- ja paikallistasolle? </w:t>
      </w:r>
    </w:p>
    <w:p w14:paraId="7054723E" w14:textId="77777777" w:rsidR="00035A1B" w:rsidRDefault="00035A1B" w:rsidP="00035A1B">
      <w:pPr>
        <w:pStyle w:val="Luettelokappale"/>
        <w:ind w:left="1664"/>
        <w:rPr>
          <w:b/>
        </w:rPr>
      </w:pPr>
    </w:p>
    <w:p w14:paraId="72AFA909" w14:textId="77777777" w:rsidR="00035A1B" w:rsidRDefault="00035A1B" w:rsidP="00035A1B">
      <w:pPr>
        <w:pStyle w:val="Luettelokappale"/>
        <w:numPr>
          <w:ilvl w:val="0"/>
          <w:numId w:val="1"/>
        </w:numPr>
        <w:ind w:left="1664"/>
        <w:rPr>
          <w:b/>
        </w:rPr>
      </w:pPr>
      <w:r>
        <w:rPr>
          <w:b/>
        </w:rPr>
        <w:t>Valmistelussa tulee pitää mielessä myös alueelliset toimijat, jotta rekisteri voitaisiin jatkossa ulottaa alueelliselle tasolle.</w:t>
      </w:r>
    </w:p>
    <w:p w14:paraId="57F4A97E" w14:textId="77777777" w:rsidR="00035A1B" w:rsidRDefault="00035A1B" w:rsidP="00035A1B">
      <w:pPr>
        <w:ind w:left="1304"/>
        <w:rPr>
          <w:u w:val="single"/>
        </w:rPr>
      </w:pPr>
      <w:r w:rsidRPr="001B1716">
        <w:rPr>
          <w:u w:val="single"/>
        </w:rPr>
        <w:t>Perustelut</w:t>
      </w:r>
    </w:p>
    <w:p w14:paraId="60171DEA" w14:textId="3E968A37" w:rsidR="00035A1B" w:rsidRPr="001B3145" w:rsidRDefault="00035A1B" w:rsidP="00035A1B">
      <w:pPr>
        <w:pStyle w:val="Luettelokappale"/>
        <w:numPr>
          <w:ilvl w:val="0"/>
          <w:numId w:val="5"/>
        </w:numPr>
        <w:ind w:left="2384"/>
        <w:rPr>
          <w:u w:val="single"/>
        </w:rPr>
      </w:pPr>
      <w:r>
        <w:t xml:space="preserve">Alue- ja kuntatason päätöksentekoon kaivataan lisää avoimuutta. Verrattuna valtionhallinnon tasoon, kuntatasolla </w:t>
      </w:r>
      <w:r w:rsidR="0014388A">
        <w:t>voidaan useammin törmätä haasteisiin</w:t>
      </w:r>
      <w:r>
        <w:t xml:space="preserve"> päätöksenteon riippumattomuuden ja läpinäkyvyyden kanssa.</w:t>
      </w:r>
    </w:p>
    <w:p w14:paraId="71E37D5C" w14:textId="77777777" w:rsidR="00035A1B" w:rsidRDefault="00035A1B" w:rsidP="00035A1B">
      <w:pPr>
        <w:ind w:left="1304"/>
        <w:rPr>
          <w:u w:val="single"/>
        </w:rPr>
      </w:pPr>
      <w:r w:rsidRPr="008C6097">
        <w:rPr>
          <w:u w:val="single"/>
        </w:rPr>
        <w:t>Vaikutukset</w:t>
      </w:r>
    </w:p>
    <w:p w14:paraId="3F4D2D14" w14:textId="77777777" w:rsidR="00035A1B" w:rsidRPr="00B738CF" w:rsidRDefault="00035A1B" w:rsidP="00035A1B">
      <w:pPr>
        <w:pStyle w:val="Luettelokappale"/>
        <w:numPr>
          <w:ilvl w:val="0"/>
          <w:numId w:val="5"/>
        </w:numPr>
        <w:ind w:left="2384"/>
        <w:rPr>
          <w:u w:val="single"/>
        </w:rPr>
      </w:pPr>
      <w:r>
        <w:t xml:space="preserve">Nyt tehtävien määritelmien on mahdollistettava myös jatkossa alue- ja kuntatason toimijoiden rekisteröinti. Ts. sääntelyn alaa on voitava kohtuullisen helposti laajentaa ja tarkentaa koskemaan myös kunnallista ja alueellista päätöksentekoa. Näin voidaan hyödyntää aikaisemmasta sääntelystä saatuja kokemuksia. Myös sääntelyn tuttuus helpottaa varsinaista toimeenpanoa, kun monilla toimijoilla on jo kokemusta valtion tason rekisteristä. </w:t>
      </w:r>
    </w:p>
    <w:p w14:paraId="0EC73F72" w14:textId="77777777" w:rsidR="00035A1B" w:rsidRPr="008C6097" w:rsidRDefault="00035A1B" w:rsidP="00035A1B">
      <w:pPr>
        <w:ind w:left="1304"/>
        <w:rPr>
          <w:u w:val="single"/>
        </w:rPr>
      </w:pPr>
      <w:r w:rsidRPr="008C6097">
        <w:rPr>
          <w:u w:val="single"/>
        </w:rPr>
        <w:t>Kysymykset</w:t>
      </w:r>
    </w:p>
    <w:p w14:paraId="0CD9B077" w14:textId="77777777" w:rsidR="00035A1B" w:rsidRPr="00FA6FF7" w:rsidRDefault="00035A1B" w:rsidP="00035A1B">
      <w:pPr>
        <w:pStyle w:val="Luettelokappale"/>
        <w:numPr>
          <w:ilvl w:val="0"/>
          <w:numId w:val="5"/>
        </w:numPr>
        <w:ind w:left="2384"/>
      </w:pPr>
      <w:r w:rsidRPr="00FA6FF7">
        <w:t xml:space="preserve">Millä tavalla määrittelyssä tulisi jo nyt ottaa huomioon sääntelyn laajentuminen alueelliselle ja kunnalliselle tasolle? </w:t>
      </w:r>
    </w:p>
    <w:p w14:paraId="46C1057A" w14:textId="77777777" w:rsidR="00491592" w:rsidRPr="00217495" w:rsidRDefault="00491592" w:rsidP="00217495">
      <w:pPr>
        <w:rPr>
          <w:b/>
        </w:rPr>
      </w:pPr>
    </w:p>
    <w:sectPr w:rsidR="00491592" w:rsidRPr="002174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66F"/>
    <w:multiLevelType w:val="hybridMultilevel"/>
    <w:tmpl w:val="438CCA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C10829"/>
    <w:multiLevelType w:val="hybridMultilevel"/>
    <w:tmpl w:val="59B297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56671A"/>
    <w:multiLevelType w:val="hybridMultilevel"/>
    <w:tmpl w:val="4B6A8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FE2CA6"/>
    <w:multiLevelType w:val="hybridMultilevel"/>
    <w:tmpl w:val="3D987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5C3994"/>
    <w:multiLevelType w:val="hybridMultilevel"/>
    <w:tmpl w:val="315C1BCC"/>
    <w:lvl w:ilvl="0" w:tplc="040B000F">
      <w:start w:val="1"/>
      <w:numFmt w:val="decimal"/>
      <w:lvlText w:val="%1."/>
      <w:lvlJc w:val="left"/>
      <w:pPr>
        <w:ind w:left="3260" w:hanging="360"/>
      </w:pPr>
    </w:lvl>
    <w:lvl w:ilvl="1" w:tplc="040B0019" w:tentative="1">
      <w:start w:val="1"/>
      <w:numFmt w:val="lowerLetter"/>
      <w:lvlText w:val="%2."/>
      <w:lvlJc w:val="left"/>
      <w:pPr>
        <w:ind w:left="3980" w:hanging="360"/>
      </w:pPr>
    </w:lvl>
    <w:lvl w:ilvl="2" w:tplc="040B001B" w:tentative="1">
      <w:start w:val="1"/>
      <w:numFmt w:val="lowerRoman"/>
      <w:lvlText w:val="%3."/>
      <w:lvlJc w:val="right"/>
      <w:pPr>
        <w:ind w:left="4700" w:hanging="180"/>
      </w:pPr>
    </w:lvl>
    <w:lvl w:ilvl="3" w:tplc="040B000F" w:tentative="1">
      <w:start w:val="1"/>
      <w:numFmt w:val="decimal"/>
      <w:lvlText w:val="%4."/>
      <w:lvlJc w:val="left"/>
      <w:pPr>
        <w:ind w:left="5420" w:hanging="360"/>
      </w:pPr>
    </w:lvl>
    <w:lvl w:ilvl="4" w:tplc="040B0019" w:tentative="1">
      <w:start w:val="1"/>
      <w:numFmt w:val="lowerLetter"/>
      <w:lvlText w:val="%5."/>
      <w:lvlJc w:val="left"/>
      <w:pPr>
        <w:ind w:left="6140" w:hanging="360"/>
      </w:pPr>
    </w:lvl>
    <w:lvl w:ilvl="5" w:tplc="040B001B" w:tentative="1">
      <w:start w:val="1"/>
      <w:numFmt w:val="lowerRoman"/>
      <w:lvlText w:val="%6."/>
      <w:lvlJc w:val="right"/>
      <w:pPr>
        <w:ind w:left="6860" w:hanging="180"/>
      </w:pPr>
    </w:lvl>
    <w:lvl w:ilvl="6" w:tplc="040B000F" w:tentative="1">
      <w:start w:val="1"/>
      <w:numFmt w:val="decimal"/>
      <w:lvlText w:val="%7."/>
      <w:lvlJc w:val="left"/>
      <w:pPr>
        <w:ind w:left="7580" w:hanging="360"/>
      </w:pPr>
    </w:lvl>
    <w:lvl w:ilvl="7" w:tplc="040B0019" w:tentative="1">
      <w:start w:val="1"/>
      <w:numFmt w:val="lowerLetter"/>
      <w:lvlText w:val="%8."/>
      <w:lvlJc w:val="left"/>
      <w:pPr>
        <w:ind w:left="8300" w:hanging="360"/>
      </w:pPr>
    </w:lvl>
    <w:lvl w:ilvl="8" w:tplc="040B001B" w:tentative="1">
      <w:start w:val="1"/>
      <w:numFmt w:val="lowerRoman"/>
      <w:lvlText w:val="%9."/>
      <w:lvlJc w:val="right"/>
      <w:pPr>
        <w:ind w:left="9020" w:hanging="180"/>
      </w:pPr>
    </w:lvl>
  </w:abstractNum>
  <w:abstractNum w:abstractNumId="5" w15:restartNumberingAfterBreak="0">
    <w:nsid w:val="31346248"/>
    <w:multiLevelType w:val="hybridMultilevel"/>
    <w:tmpl w:val="AA948B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39633FEC"/>
    <w:multiLevelType w:val="hybridMultilevel"/>
    <w:tmpl w:val="327404A4"/>
    <w:lvl w:ilvl="0" w:tplc="4B94FE3A">
      <w:start w:val="1"/>
      <w:numFmt w:val="decimal"/>
      <w:lvlText w:val="%1."/>
      <w:lvlJc w:val="left"/>
      <w:pPr>
        <w:ind w:left="1664" w:hanging="360"/>
      </w:pPr>
      <w:rPr>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0F3668B"/>
    <w:multiLevelType w:val="hybridMultilevel"/>
    <w:tmpl w:val="4BCC39C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48424EAA"/>
    <w:multiLevelType w:val="hybridMultilevel"/>
    <w:tmpl w:val="4106E1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DC96836"/>
    <w:multiLevelType w:val="hybridMultilevel"/>
    <w:tmpl w:val="A8FA19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5FBE4CB9"/>
    <w:multiLevelType w:val="hybridMultilevel"/>
    <w:tmpl w:val="19680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1C32329"/>
    <w:multiLevelType w:val="hybridMultilevel"/>
    <w:tmpl w:val="E8E65FB8"/>
    <w:lvl w:ilvl="0" w:tplc="E83849AC">
      <w:start w:val="1"/>
      <w:numFmt w:val="decimal"/>
      <w:lvlText w:val="%1."/>
      <w:lvlJc w:val="left"/>
      <w:pPr>
        <w:ind w:left="1664" w:hanging="360"/>
      </w:pPr>
      <w:rPr>
        <w:b/>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76381A86"/>
    <w:multiLevelType w:val="hybridMultilevel"/>
    <w:tmpl w:val="209A18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7D4A4FA0"/>
    <w:multiLevelType w:val="hybridMultilevel"/>
    <w:tmpl w:val="37227CF2"/>
    <w:lvl w:ilvl="0" w:tplc="E83849AC">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3"/>
  </w:num>
  <w:num w:numId="2">
    <w:abstractNumId w:val="1"/>
  </w:num>
  <w:num w:numId="3">
    <w:abstractNumId w:val="10"/>
  </w:num>
  <w:num w:numId="4">
    <w:abstractNumId w:val="4"/>
  </w:num>
  <w:num w:numId="5">
    <w:abstractNumId w:val="9"/>
  </w:num>
  <w:num w:numId="6">
    <w:abstractNumId w:val="3"/>
  </w:num>
  <w:num w:numId="7">
    <w:abstractNumId w:val="11"/>
  </w:num>
  <w:num w:numId="8">
    <w:abstractNumId w:val="8"/>
  </w:num>
  <w:num w:numId="9">
    <w:abstractNumId w:val="0"/>
  </w:num>
  <w:num w:numId="10">
    <w:abstractNumId w:val="7"/>
  </w:num>
  <w:num w:numId="11">
    <w:abstractNumId w:val="12"/>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5"/>
    <w:rsid w:val="00006FB8"/>
    <w:rsid w:val="000123A6"/>
    <w:rsid w:val="0002478F"/>
    <w:rsid w:val="00035A1B"/>
    <w:rsid w:val="00063E8D"/>
    <w:rsid w:val="000B4C64"/>
    <w:rsid w:val="000C2773"/>
    <w:rsid w:val="000D1DF3"/>
    <w:rsid w:val="000F1448"/>
    <w:rsid w:val="00120336"/>
    <w:rsid w:val="0013565E"/>
    <w:rsid w:val="0014388A"/>
    <w:rsid w:val="00147C7D"/>
    <w:rsid w:val="00182896"/>
    <w:rsid w:val="00196BC8"/>
    <w:rsid w:val="001B1716"/>
    <w:rsid w:val="001B3145"/>
    <w:rsid w:val="001C1E36"/>
    <w:rsid w:val="001F28EE"/>
    <w:rsid w:val="00217495"/>
    <w:rsid w:val="002722C2"/>
    <w:rsid w:val="00285E1B"/>
    <w:rsid w:val="00291B70"/>
    <w:rsid w:val="002C35C9"/>
    <w:rsid w:val="003066B0"/>
    <w:rsid w:val="00307226"/>
    <w:rsid w:val="00310EC5"/>
    <w:rsid w:val="00311E72"/>
    <w:rsid w:val="00321310"/>
    <w:rsid w:val="00324992"/>
    <w:rsid w:val="003556FF"/>
    <w:rsid w:val="00376214"/>
    <w:rsid w:val="003859E8"/>
    <w:rsid w:val="00397563"/>
    <w:rsid w:val="003F1E96"/>
    <w:rsid w:val="00440EA9"/>
    <w:rsid w:val="004519DA"/>
    <w:rsid w:val="00460DC4"/>
    <w:rsid w:val="00461536"/>
    <w:rsid w:val="004617C2"/>
    <w:rsid w:val="00472EC2"/>
    <w:rsid w:val="00481F39"/>
    <w:rsid w:val="00491592"/>
    <w:rsid w:val="00494C6B"/>
    <w:rsid w:val="004B6076"/>
    <w:rsid w:val="004D1C56"/>
    <w:rsid w:val="004E0655"/>
    <w:rsid w:val="0053653E"/>
    <w:rsid w:val="005748FF"/>
    <w:rsid w:val="005875E3"/>
    <w:rsid w:val="0058787E"/>
    <w:rsid w:val="005E0209"/>
    <w:rsid w:val="00626C23"/>
    <w:rsid w:val="006E76C0"/>
    <w:rsid w:val="006F183A"/>
    <w:rsid w:val="00722C18"/>
    <w:rsid w:val="007C795D"/>
    <w:rsid w:val="008015F5"/>
    <w:rsid w:val="00805336"/>
    <w:rsid w:val="00810AD8"/>
    <w:rsid w:val="00817EDB"/>
    <w:rsid w:val="00821EC0"/>
    <w:rsid w:val="00824804"/>
    <w:rsid w:val="00824AF9"/>
    <w:rsid w:val="00837893"/>
    <w:rsid w:val="00870C12"/>
    <w:rsid w:val="008C6097"/>
    <w:rsid w:val="008D50C6"/>
    <w:rsid w:val="008E1FFA"/>
    <w:rsid w:val="008E6776"/>
    <w:rsid w:val="008F13B3"/>
    <w:rsid w:val="00902251"/>
    <w:rsid w:val="00903083"/>
    <w:rsid w:val="00903B5D"/>
    <w:rsid w:val="00935A44"/>
    <w:rsid w:val="0095184E"/>
    <w:rsid w:val="00966615"/>
    <w:rsid w:val="0098089D"/>
    <w:rsid w:val="009854FB"/>
    <w:rsid w:val="009942D4"/>
    <w:rsid w:val="009D7DEC"/>
    <w:rsid w:val="009E5850"/>
    <w:rsid w:val="00A31FA5"/>
    <w:rsid w:val="00A40AD5"/>
    <w:rsid w:val="00A53C49"/>
    <w:rsid w:val="00A6031C"/>
    <w:rsid w:val="00A870F8"/>
    <w:rsid w:val="00AC56E2"/>
    <w:rsid w:val="00B05BC0"/>
    <w:rsid w:val="00B12CBB"/>
    <w:rsid w:val="00B16E51"/>
    <w:rsid w:val="00B346F1"/>
    <w:rsid w:val="00B52869"/>
    <w:rsid w:val="00B56831"/>
    <w:rsid w:val="00B57E0E"/>
    <w:rsid w:val="00B738CF"/>
    <w:rsid w:val="00B95B30"/>
    <w:rsid w:val="00BB0D52"/>
    <w:rsid w:val="00BC7B01"/>
    <w:rsid w:val="00BF12DD"/>
    <w:rsid w:val="00BF3AA6"/>
    <w:rsid w:val="00C03DD9"/>
    <w:rsid w:val="00C31AFC"/>
    <w:rsid w:val="00C372AA"/>
    <w:rsid w:val="00C4414C"/>
    <w:rsid w:val="00C71D4B"/>
    <w:rsid w:val="00C748E3"/>
    <w:rsid w:val="00CA2902"/>
    <w:rsid w:val="00CB5A6D"/>
    <w:rsid w:val="00CD1F60"/>
    <w:rsid w:val="00D07412"/>
    <w:rsid w:val="00D20CA4"/>
    <w:rsid w:val="00D246AE"/>
    <w:rsid w:val="00D36C4A"/>
    <w:rsid w:val="00D42010"/>
    <w:rsid w:val="00D4699E"/>
    <w:rsid w:val="00D63DFD"/>
    <w:rsid w:val="00D86D69"/>
    <w:rsid w:val="00DC02FC"/>
    <w:rsid w:val="00DC35BE"/>
    <w:rsid w:val="00E03C4E"/>
    <w:rsid w:val="00E1763B"/>
    <w:rsid w:val="00E227FC"/>
    <w:rsid w:val="00E640FA"/>
    <w:rsid w:val="00EC0345"/>
    <w:rsid w:val="00EC3859"/>
    <w:rsid w:val="00F556CD"/>
    <w:rsid w:val="00F77655"/>
    <w:rsid w:val="00FA6FF7"/>
    <w:rsid w:val="00FB588F"/>
    <w:rsid w:val="00FB7D34"/>
    <w:rsid w:val="00FD3F64"/>
    <w:rsid w:val="00FD444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C54AAC"/>
  <w15:chartTrackingRefBased/>
  <w15:docId w15:val="{8E8D6EF2-71F5-46EA-B2FB-ACBFD631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246A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C12"/>
    <w:pPr>
      <w:ind w:left="720"/>
      <w:contextualSpacing/>
    </w:pPr>
  </w:style>
  <w:style w:type="paragraph" w:styleId="NormaaliWWW">
    <w:name w:val="Normal (Web)"/>
    <w:basedOn w:val="Normaali"/>
    <w:uiPriority w:val="99"/>
    <w:semiHidden/>
    <w:unhideWhenUsed/>
    <w:rsid w:val="00D86D69"/>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8E1FFA"/>
    <w:rPr>
      <w:sz w:val="16"/>
      <w:szCs w:val="16"/>
    </w:rPr>
  </w:style>
  <w:style w:type="paragraph" w:styleId="Kommentinteksti">
    <w:name w:val="annotation text"/>
    <w:basedOn w:val="Normaali"/>
    <w:link w:val="KommentintekstiChar"/>
    <w:uiPriority w:val="99"/>
    <w:semiHidden/>
    <w:unhideWhenUsed/>
    <w:rsid w:val="008E1FF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1FFA"/>
    <w:rPr>
      <w:sz w:val="20"/>
      <w:szCs w:val="20"/>
    </w:rPr>
  </w:style>
  <w:style w:type="paragraph" w:styleId="Kommentinotsikko">
    <w:name w:val="annotation subject"/>
    <w:basedOn w:val="Kommentinteksti"/>
    <w:next w:val="Kommentinteksti"/>
    <w:link w:val="KommentinotsikkoChar"/>
    <w:uiPriority w:val="99"/>
    <w:semiHidden/>
    <w:unhideWhenUsed/>
    <w:rsid w:val="008E1FFA"/>
    <w:rPr>
      <w:b/>
      <w:bCs/>
    </w:rPr>
  </w:style>
  <w:style w:type="character" w:customStyle="1" w:styleId="KommentinotsikkoChar">
    <w:name w:val="Kommentin otsikko Char"/>
    <w:basedOn w:val="KommentintekstiChar"/>
    <w:link w:val="Kommentinotsikko"/>
    <w:uiPriority w:val="99"/>
    <w:semiHidden/>
    <w:rsid w:val="008E1FFA"/>
    <w:rPr>
      <w:b/>
      <w:bCs/>
      <w:sz w:val="20"/>
      <w:szCs w:val="20"/>
    </w:rPr>
  </w:style>
  <w:style w:type="paragraph" w:styleId="Seliteteksti">
    <w:name w:val="Balloon Text"/>
    <w:basedOn w:val="Normaali"/>
    <w:link w:val="SelitetekstiChar"/>
    <w:uiPriority w:val="99"/>
    <w:semiHidden/>
    <w:unhideWhenUsed/>
    <w:rsid w:val="008E1F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1FFA"/>
    <w:rPr>
      <w:rFonts w:ascii="Segoe UI" w:hAnsi="Segoe UI" w:cs="Segoe UI"/>
      <w:sz w:val="18"/>
      <w:szCs w:val="18"/>
    </w:rPr>
  </w:style>
  <w:style w:type="character" w:styleId="Hyperlinkki">
    <w:name w:val="Hyperlink"/>
    <w:basedOn w:val="Kappaleenoletusfontti"/>
    <w:uiPriority w:val="99"/>
    <w:unhideWhenUsed/>
    <w:rsid w:val="0030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29">
      <w:bodyDiv w:val="1"/>
      <w:marLeft w:val="0"/>
      <w:marRight w:val="0"/>
      <w:marTop w:val="0"/>
      <w:marBottom w:val="0"/>
      <w:divBdr>
        <w:top w:val="none" w:sz="0" w:space="0" w:color="auto"/>
        <w:left w:val="none" w:sz="0" w:space="0" w:color="auto"/>
        <w:bottom w:val="none" w:sz="0" w:space="0" w:color="auto"/>
        <w:right w:val="none" w:sz="0" w:space="0" w:color="auto"/>
      </w:divBdr>
    </w:div>
    <w:div w:id="95566164">
      <w:bodyDiv w:val="1"/>
      <w:marLeft w:val="0"/>
      <w:marRight w:val="0"/>
      <w:marTop w:val="0"/>
      <w:marBottom w:val="0"/>
      <w:divBdr>
        <w:top w:val="none" w:sz="0" w:space="0" w:color="auto"/>
        <w:left w:val="none" w:sz="0" w:space="0" w:color="auto"/>
        <w:bottom w:val="none" w:sz="0" w:space="0" w:color="auto"/>
        <w:right w:val="none" w:sz="0" w:space="0" w:color="auto"/>
      </w:divBdr>
    </w:div>
    <w:div w:id="110514896">
      <w:bodyDiv w:val="1"/>
      <w:marLeft w:val="0"/>
      <w:marRight w:val="0"/>
      <w:marTop w:val="0"/>
      <w:marBottom w:val="0"/>
      <w:divBdr>
        <w:top w:val="none" w:sz="0" w:space="0" w:color="auto"/>
        <w:left w:val="none" w:sz="0" w:space="0" w:color="auto"/>
        <w:bottom w:val="none" w:sz="0" w:space="0" w:color="auto"/>
        <w:right w:val="none" w:sz="0" w:space="0" w:color="auto"/>
      </w:divBdr>
    </w:div>
    <w:div w:id="186530347">
      <w:bodyDiv w:val="1"/>
      <w:marLeft w:val="0"/>
      <w:marRight w:val="0"/>
      <w:marTop w:val="0"/>
      <w:marBottom w:val="0"/>
      <w:divBdr>
        <w:top w:val="none" w:sz="0" w:space="0" w:color="auto"/>
        <w:left w:val="none" w:sz="0" w:space="0" w:color="auto"/>
        <w:bottom w:val="none" w:sz="0" w:space="0" w:color="auto"/>
        <w:right w:val="none" w:sz="0" w:space="0" w:color="auto"/>
      </w:divBdr>
    </w:div>
    <w:div w:id="260459727">
      <w:bodyDiv w:val="1"/>
      <w:marLeft w:val="0"/>
      <w:marRight w:val="0"/>
      <w:marTop w:val="0"/>
      <w:marBottom w:val="0"/>
      <w:divBdr>
        <w:top w:val="none" w:sz="0" w:space="0" w:color="auto"/>
        <w:left w:val="none" w:sz="0" w:space="0" w:color="auto"/>
        <w:bottom w:val="none" w:sz="0" w:space="0" w:color="auto"/>
        <w:right w:val="none" w:sz="0" w:space="0" w:color="auto"/>
      </w:divBdr>
    </w:div>
    <w:div w:id="287588350">
      <w:bodyDiv w:val="1"/>
      <w:marLeft w:val="0"/>
      <w:marRight w:val="0"/>
      <w:marTop w:val="0"/>
      <w:marBottom w:val="0"/>
      <w:divBdr>
        <w:top w:val="none" w:sz="0" w:space="0" w:color="auto"/>
        <w:left w:val="none" w:sz="0" w:space="0" w:color="auto"/>
        <w:bottom w:val="none" w:sz="0" w:space="0" w:color="auto"/>
        <w:right w:val="none" w:sz="0" w:space="0" w:color="auto"/>
      </w:divBdr>
    </w:div>
    <w:div w:id="406344540">
      <w:bodyDiv w:val="1"/>
      <w:marLeft w:val="0"/>
      <w:marRight w:val="0"/>
      <w:marTop w:val="0"/>
      <w:marBottom w:val="0"/>
      <w:divBdr>
        <w:top w:val="none" w:sz="0" w:space="0" w:color="auto"/>
        <w:left w:val="none" w:sz="0" w:space="0" w:color="auto"/>
        <w:bottom w:val="none" w:sz="0" w:space="0" w:color="auto"/>
        <w:right w:val="none" w:sz="0" w:space="0" w:color="auto"/>
      </w:divBdr>
    </w:div>
    <w:div w:id="559563637">
      <w:bodyDiv w:val="1"/>
      <w:marLeft w:val="0"/>
      <w:marRight w:val="0"/>
      <w:marTop w:val="0"/>
      <w:marBottom w:val="0"/>
      <w:divBdr>
        <w:top w:val="none" w:sz="0" w:space="0" w:color="auto"/>
        <w:left w:val="none" w:sz="0" w:space="0" w:color="auto"/>
        <w:bottom w:val="none" w:sz="0" w:space="0" w:color="auto"/>
        <w:right w:val="none" w:sz="0" w:space="0" w:color="auto"/>
      </w:divBdr>
    </w:div>
    <w:div w:id="1466657555">
      <w:bodyDiv w:val="1"/>
      <w:marLeft w:val="0"/>
      <w:marRight w:val="0"/>
      <w:marTop w:val="0"/>
      <w:marBottom w:val="0"/>
      <w:divBdr>
        <w:top w:val="none" w:sz="0" w:space="0" w:color="auto"/>
        <w:left w:val="none" w:sz="0" w:space="0" w:color="auto"/>
        <w:bottom w:val="none" w:sz="0" w:space="0" w:color="auto"/>
        <w:right w:val="none" w:sz="0" w:space="0" w:color="auto"/>
      </w:divBdr>
    </w:div>
    <w:div w:id="1474325011">
      <w:bodyDiv w:val="1"/>
      <w:marLeft w:val="0"/>
      <w:marRight w:val="0"/>
      <w:marTop w:val="0"/>
      <w:marBottom w:val="0"/>
      <w:divBdr>
        <w:top w:val="none" w:sz="0" w:space="0" w:color="auto"/>
        <w:left w:val="none" w:sz="0" w:space="0" w:color="auto"/>
        <w:bottom w:val="none" w:sz="0" w:space="0" w:color="auto"/>
        <w:right w:val="none" w:sz="0" w:space="0" w:color="auto"/>
      </w:divBdr>
    </w:div>
    <w:div w:id="1518539362">
      <w:bodyDiv w:val="1"/>
      <w:marLeft w:val="0"/>
      <w:marRight w:val="0"/>
      <w:marTop w:val="0"/>
      <w:marBottom w:val="0"/>
      <w:divBdr>
        <w:top w:val="none" w:sz="0" w:space="0" w:color="auto"/>
        <w:left w:val="none" w:sz="0" w:space="0" w:color="auto"/>
        <w:bottom w:val="none" w:sz="0" w:space="0" w:color="auto"/>
        <w:right w:val="none" w:sz="0" w:space="0" w:color="auto"/>
      </w:divBdr>
    </w:div>
    <w:div w:id="1522431876">
      <w:bodyDiv w:val="1"/>
      <w:marLeft w:val="0"/>
      <w:marRight w:val="0"/>
      <w:marTop w:val="0"/>
      <w:marBottom w:val="0"/>
      <w:divBdr>
        <w:top w:val="none" w:sz="0" w:space="0" w:color="auto"/>
        <w:left w:val="none" w:sz="0" w:space="0" w:color="auto"/>
        <w:bottom w:val="none" w:sz="0" w:space="0" w:color="auto"/>
        <w:right w:val="none" w:sz="0" w:space="0" w:color="auto"/>
      </w:divBdr>
    </w:div>
    <w:div w:id="1669865611">
      <w:bodyDiv w:val="1"/>
      <w:marLeft w:val="0"/>
      <w:marRight w:val="0"/>
      <w:marTop w:val="0"/>
      <w:marBottom w:val="0"/>
      <w:divBdr>
        <w:top w:val="none" w:sz="0" w:space="0" w:color="auto"/>
        <w:left w:val="none" w:sz="0" w:space="0" w:color="auto"/>
        <w:bottom w:val="none" w:sz="0" w:space="0" w:color="auto"/>
        <w:right w:val="none" w:sz="0" w:space="0" w:color="auto"/>
      </w:divBdr>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
    <w:div w:id="2016881007">
      <w:bodyDiv w:val="1"/>
      <w:marLeft w:val="0"/>
      <w:marRight w:val="0"/>
      <w:marTop w:val="0"/>
      <w:marBottom w:val="0"/>
      <w:divBdr>
        <w:top w:val="none" w:sz="0" w:space="0" w:color="auto"/>
        <w:left w:val="none" w:sz="0" w:space="0" w:color="auto"/>
        <w:bottom w:val="none" w:sz="0" w:space="0" w:color="auto"/>
        <w:right w:val="none" w:sz="0" w:space="0" w:color="auto"/>
      </w:divBdr>
    </w:div>
    <w:div w:id="2139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ulkaisut.valtioneuvosto.fi/bitstream/handle/10024/161047/57-2018-Lobbarirekisterin%20kansainvaliset%20malli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FBE2F-F350-48CB-A44B-127150EA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1724</Words>
  <Characters>13965</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Huotarinen Heini</cp:lastModifiedBy>
  <cp:revision>1</cp:revision>
  <dcterms:created xsi:type="dcterms:W3CDTF">2020-05-25T10:55:00Z</dcterms:created>
  <dcterms:modified xsi:type="dcterms:W3CDTF">2020-05-29T09:41:00Z</dcterms:modified>
</cp:coreProperties>
</file>