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F5" w:rsidRPr="000303F5" w:rsidRDefault="000303F5" w:rsidP="000303F5">
      <w:r w:rsidRPr="000303F5">
        <w:t xml:space="preserve">Oikeusministeriö/Avoimuusrekisterivalmistelun asiantuntijatyöryhmä   </w:t>
      </w:r>
      <w:r w:rsidR="00A173C1">
        <w:t xml:space="preserve">                       MUISTIO/</w:t>
      </w:r>
      <w:r w:rsidR="006E1A0D">
        <w:t>13</w:t>
      </w:r>
      <w:bookmarkStart w:id="0" w:name="_GoBack"/>
      <w:bookmarkEnd w:id="0"/>
      <w:r w:rsidR="00A173C1">
        <w:t>.1.2021</w:t>
      </w:r>
    </w:p>
    <w:p w:rsidR="006C564A" w:rsidRDefault="004417C7">
      <w:pPr>
        <w:rPr>
          <w:b/>
        </w:rPr>
      </w:pPr>
      <w:r>
        <w:rPr>
          <w:b/>
        </w:rPr>
        <w:t>Lobbauskohteen aloitteesta syntynyt yhteydenpito</w:t>
      </w:r>
    </w:p>
    <w:p w:rsidR="00190730" w:rsidRDefault="004417C7" w:rsidP="00A55F88">
      <w:r>
        <w:t>Yhteydenpito voi tapahtua sekä lobbauskoht</w:t>
      </w:r>
      <w:r w:rsidR="0010141B">
        <w:t>een että lobbaajan aloitteesta.</w:t>
      </w:r>
      <w:r w:rsidR="00A55F88">
        <w:t xml:space="preserve"> Avoimuusrekisterivalmistelussa on linjattava, rajataanko lobbauskohteen aloitteesta syntynyt yhteydenpito lain soveltamisen ulkopuolelle.</w:t>
      </w:r>
      <w:r w:rsidR="0010141B">
        <w:t xml:space="preserve"> </w:t>
      </w:r>
    </w:p>
    <w:p w:rsidR="004417C7" w:rsidRPr="004417C7" w:rsidRDefault="009C7C24" w:rsidP="00A55F88">
      <w:pPr>
        <w:rPr>
          <w:b/>
        </w:rPr>
      </w:pPr>
      <w:r>
        <w:rPr>
          <w:b/>
        </w:rPr>
        <w:t>Nykytilanne</w:t>
      </w:r>
    </w:p>
    <w:p w:rsidR="0010141B" w:rsidRDefault="0010141B" w:rsidP="00A55F88">
      <w:pPr>
        <w:pStyle w:val="Luettelokappale"/>
        <w:numPr>
          <w:ilvl w:val="0"/>
          <w:numId w:val="5"/>
        </w:numPr>
      </w:pPr>
      <w:r>
        <w:t xml:space="preserve">Tutkimusten ja kuulemisten mukaan </w:t>
      </w:r>
      <w:r w:rsidRPr="0010141B">
        <w:t>yhteydenpito tapahtuu useimmin lobbaajan toimesta,</w:t>
      </w:r>
      <w:r w:rsidR="003A5B24">
        <w:t xml:space="preserve"> mutta</w:t>
      </w:r>
      <w:r w:rsidRPr="0010141B">
        <w:t xml:space="preserve"> yhteydenpitoa tapahtuu merkittävissä määrin myös toiseen suuntaan.</w:t>
      </w:r>
      <w:r w:rsidR="003A5B24">
        <w:t xml:space="preserve"> </w:t>
      </w:r>
      <w:r w:rsidR="00AA1073">
        <w:t>Tämä selittyy osaltaan sillä, että a</w:t>
      </w:r>
      <w:r w:rsidR="003A5B24">
        <w:t xml:space="preserve">mmattimainen lobbaus on usein pitkäkestoista toimintaa, jonka </w:t>
      </w:r>
      <w:r w:rsidR="00540350">
        <w:t xml:space="preserve">tavoitteena on muodostaa pitkän aikavälin </w:t>
      </w:r>
      <w:r w:rsidR="003A5B24">
        <w:t xml:space="preserve">verkostomaisia </w:t>
      </w:r>
      <w:r w:rsidR="00540350">
        <w:t>suhteita lobbauskohteisiin.</w:t>
      </w:r>
    </w:p>
    <w:p w:rsidR="0010141B" w:rsidRDefault="009C7C24" w:rsidP="0010141B">
      <w:pPr>
        <w:pStyle w:val="Luettelokappale"/>
        <w:numPr>
          <w:ilvl w:val="0"/>
          <w:numId w:val="5"/>
        </w:numPr>
      </w:pPr>
      <w:r>
        <w:t>O</w:t>
      </w:r>
      <w:r w:rsidR="00540350">
        <w:t>ikeuskansleri on kiinnittänyt huomiota</w:t>
      </w:r>
      <w:r>
        <w:t xml:space="preserve"> avoimen</w:t>
      </w:r>
      <w:r w:rsidR="00A55F88">
        <w:t xml:space="preserve"> </w:t>
      </w:r>
      <w:r>
        <w:t>hallinn</w:t>
      </w:r>
      <w:r w:rsidR="003A5B24">
        <w:t>on toimintaohjelmaan antamassaan</w:t>
      </w:r>
      <w:r>
        <w:t xml:space="preserve"> lausunno</w:t>
      </w:r>
      <w:r w:rsidR="003A5B24">
        <w:t>ssa</w:t>
      </w:r>
      <w:r w:rsidR="00540350">
        <w:t>, että tällainen verkostomainen toimintatapa, jossa yhte</w:t>
      </w:r>
      <w:r w:rsidR="00280BCD">
        <w:t>ydenpito näyttäisi olevan</w:t>
      </w:r>
      <w:r w:rsidR="00540350">
        <w:t xml:space="preserve"> jatkuvaa ja molempiin suuntiin tapahtuvaa, vaatii avoimuuden vahvistamista esimerkiksi avoimuusrekisterisääntelyllä</w:t>
      </w:r>
      <w:r w:rsidR="00540350" w:rsidRPr="00540350">
        <w:t>.</w:t>
      </w:r>
      <w:r w:rsidR="00540350"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141B" w:rsidTr="0010141B">
        <w:tc>
          <w:tcPr>
            <w:tcW w:w="9628" w:type="dxa"/>
            <w:shd w:val="clear" w:color="auto" w:fill="DEEAF6" w:themeFill="accent1" w:themeFillTint="33"/>
          </w:tcPr>
          <w:p w:rsidR="0010141B" w:rsidRDefault="0010141B" w:rsidP="0010141B">
            <w:pPr>
              <w:rPr>
                <w:b/>
              </w:rPr>
            </w:pPr>
            <w:r w:rsidRPr="0010141B">
              <w:rPr>
                <w:b/>
              </w:rPr>
              <w:t>Mitä kansainväliset esimerkit sanovat?</w:t>
            </w:r>
          </w:p>
          <w:p w:rsidR="0010141B" w:rsidRDefault="0010141B" w:rsidP="0010141B">
            <w:pPr>
              <w:rPr>
                <w:b/>
              </w:rPr>
            </w:pPr>
          </w:p>
          <w:p w:rsidR="0010141B" w:rsidRPr="0010141B" w:rsidRDefault="0010141B" w:rsidP="0010141B">
            <w:pPr>
              <w:rPr>
                <w:b/>
              </w:rPr>
            </w:pPr>
            <w:r>
              <w:rPr>
                <w:b/>
              </w:rPr>
              <w:t>EU</w:t>
            </w:r>
          </w:p>
          <w:p w:rsidR="0010141B" w:rsidRDefault="0010141B" w:rsidP="0010141B">
            <w:pPr>
              <w:pStyle w:val="Luettelokappale"/>
              <w:numPr>
                <w:ilvl w:val="0"/>
                <w:numId w:val="6"/>
              </w:numPr>
            </w:pPr>
            <w:r>
              <w:t>EU:n avoimuusrekisteri ei edellytä rekisteröitymistä, jos toiminta toteutetaan vastauksena unionin toimielimen tai Euroopan parlamentin jäsenen suoraan ja yksilöityyn pyyntöön.</w:t>
            </w:r>
          </w:p>
          <w:p w:rsidR="0010141B" w:rsidRDefault="0010141B" w:rsidP="00190A7F">
            <w:pPr>
              <w:pStyle w:val="Luettelokappale"/>
              <w:numPr>
                <w:ilvl w:val="0"/>
                <w:numId w:val="6"/>
              </w:numPr>
            </w:pPr>
            <w:r>
              <w:t xml:space="preserve">Rajauksella ei kuitenkaan ole suurta käytännön merkitystä, sillä EU-rekisteriin ei merkitä yhteydenpidon kohteita, vaan ainoastaan lobbauksen aiheet. </w:t>
            </w:r>
          </w:p>
          <w:p w:rsidR="0010141B" w:rsidRDefault="0010141B" w:rsidP="00A55F88">
            <w:r>
              <w:t>EU:ssa on käytössä tapaamispäiväkirja, joka</w:t>
            </w:r>
            <w:r w:rsidR="00A55F88">
              <w:t xml:space="preserve"> tuottaa tietoa lobbauskohteiden toiminnasta.</w:t>
            </w:r>
          </w:p>
          <w:p w:rsidR="0010141B" w:rsidRPr="0010141B" w:rsidRDefault="0010141B" w:rsidP="0010141B">
            <w:pPr>
              <w:rPr>
                <w:b/>
              </w:rPr>
            </w:pPr>
            <w:r w:rsidRPr="0010141B">
              <w:rPr>
                <w:b/>
              </w:rPr>
              <w:t>Irlanti</w:t>
            </w:r>
          </w:p>
          <w:p w:rsidR="0010141B" w:rsidRDefault="0010141B" w:rsidP="0010141B">
            <w:pPr>
              <w:pStyle w:val="Luettelokappale"/>
              <w:numPr>
                <w:ilvl w:val="0"/>
                <w:numId w:val="7"/>
              </w:numPr>
            </w:pPr>
            <w:r>
              <w:t xml:space="preserve">Irlannin rekisteriin rekisteröidään myös yhteydenpidon kohde, koska maassa </w:t>
            </w:r>
            <w:r w:rsidR="005C3890">
              <w:t xml:space="preserve">ei </w:t>
            </w:r>
            <w:r>
              <w:t xml:space="preserve">ole käytössä erillistä tapaamispäiväkirjaa. </w:t>
            </w:r>
          </w:p>
          <w:p w:rsidR="0010141B" w:rsidRDefault="0010141B" w:rsidP="00A55F88">
            <w:pPr>
              <w:pStyle w:val="Luettelokappale"/>
              <w:numPr>
                <w:ilvl w:val="0"/>
                <w:numId w:val="7"/>
              </w:numPr>
            </w:pPr>
            <w:r>
              <w:t xml:space="preserve">Irlannin lobbausrekisterisääntelyssä ei eroteta yhteydenpidon suuntaa, vaan lähtökohtaisesti kaikki yhteydenpito lobbaajan ja lobbauskohteen välillä kuuluu soveltamisalan piiriin. </w:t>
            </w:r>
          </w:p>
        </w:tc>
      </w:tr>
    </w:tbl>
    <w:p w:rsidR="007212AD" w:rsidRPr="007212AD" w:rsidRDefault="007212AD" w:rsidP="000303F5">
      <w:pPr>
        <w:spacing w:before="160"/>
        <w:rPr>
          <w:b/>
        </w:rPr>
      </w:pPr>
      <w:r w:rsidRPr="007212AD">
        <w:rPr>
          <w:b/>
        </w:rPr>
        <w:t>Yhteenveto</w:t>
      </w:r>
    </w:p>
    <w:p w:rsidR="007212AD" w:rsidRDefault="00A55F88" w:rsidP="00A55F88">
      <w:pPr>
        <w:pStyle w:val="Luettelokappale"/>
        <w:numPr>
          <w:ilvl w:val="0"/>
          <w:numId w:val="5"/>
        </w:numPr>
      </w:pPr>
      <w:r>
        <w:t>A</w:t>
      </w:r>
      <w:r w:rsidR="007212AD">
        <w:t xml:space="preserve">voimuusrekisterisääntelyn tulisi olla yhteydenpidon </w:t>
      </w:r>
      <w:r>
        <w:t xml:space="preserve">aloittajan </w:t>
      </w:r>
      <w:r w:rsidR="007212AD">
        <w:t xml:space="preserve">osalta neutraali, eli sisällyttää raportoinnin piiriin myös lobbauskohteiden </w:t>
      </w:r>
      <w:r w:rsidR="00F3300D">
        <w:t xml:space="preserve">aloittama </w:t>
      </w:r>
      <w:r w:rsidR="007212AD">
        <w:t xml:space="preserve">yhteydenpito lobbaajiin. </w:t>
      </w:r>
    </w:p>
    <w:p w:rsidR="007A62D8" w:rsidRDefault="003A5B24" w:rsidP="00A55F88">
      <w:pPr>
        <w:pStyle w:val="Luettelokappale"/>
        <w:numPr>
          <w:ilvl w:val="0"/>
          <w:numId w:val="5"/>
        </w:numPr>
      </w:pPr>
      <w:r>
        <w:t>S</w:t>
      </w:r>
      <w:r w:rsidR="008003AC">
        <w:t xml:space="preserve">ääntelyn soveltamisalaa koskevat rajoitukset tavanomaisen ja satunnaisen yhteydenpidon osalta tulevat sovellettavaksi myös lobbauskohteiden aloittamassa yhteydenpidossa. </w:t>
      </w:r>
      <w:r w:rsidR="003B285D">
        <w:t xml:space="preserve">Käytännössä </w:t>
      </w:r>
      <w:r w:rsidR="00C51F93">
        <w:t xml:space="preserve">tämä tarkoittaa sitä, että </w:t>
      </w:r>
      <w:r w:rsidR="003B285D">
        <w:t>lobbauskohteen</w:t>
      </w:r>
      <w:r w:rsidR="00A55F88">
        <w:t xml:space="preserve"> aloittama</w:t>
      </w:r>
      <w:r w:rsidR="003B285D">
        <w:t xml:space="preserve"> yhteydenpito ei</w:t>
      </w:r>
      <w:r>
        <w:t xml:space="preserve"> </w:t>
      </w:r>
      <w:r w:rsidR="003B285D">
        <w:t xml:space="preserve">johda </w:t>
      </w:r>
      <w:r>
        <w:t>rekisteröitymisvelvollisuuden täyttymiseen</w:t>
      </w:r>
      <w:r w:rsidR="00C51F93">
        <w:t xml:space="preserve"> ilman,</w:t>
      </w:r>
      <w:r w:rsidR="003B285D">
        <w:t xml:space="preserve"> että toimintaan liittyy </w:t>
      </w:r>
      <w:r>
        <w:t xml:space="preserve">jo aikaisempaa lobbaajan toimesta tehtyä </w:t>
      </w:r>
      <w:r w:rsidR="00AA1073">
        <w:t xml:space="preserve">suunnitelmallista ja ammattimaista </w:t>
      </w:r>
      <w:r>
        <w:t>yhteydenpitoa.</w:t>
      </w:r>
    </w:p>
    <w:p w:rsidR="00C51F93" w:rsidRPr="007A62D8" w:rsidRDefault="00C51F93" w:rsidP="00A55F88">
      <w:pPr>
        <w:pStyle w:val="Luettelokappale"/>
        <w:numPr>
          <w:ilvl w:val="0"/>
          <w:numId w:val="5"/>
        </w:numPr>
      </w:pPr>
      <w:r>
        <w:t xml:space="preserve">Käytännössä </w:t>
      </w:r>
      <w:r w:rsidR="002B6A5E">
        <w:t>yhteydenpidon suu</w:t>
      </w:r>
      <w:r>
        <w:t>nnan määrittely tiiviissä</w:t>
      </w:r>
      <w:r w:rsidR="007A62D8">
        <w:t xml:space="preserve"> ja pitkäkestoisessa</w:t>
      </w:r>
      <w:r>
        <w:t xml:space="preserve"> yhteydenpidossa on</w:t>
      </w:r>
      <w:r w:rsidR="007A62D8">
        <w:t xml:space="preserve"> oikeudellisesti</w:t>
      </w:r>
      <w:r>
        <w:t xml:space="preserve"> hankalaa</w:t>
      </w:r>
      <w:r w:rsidR="00AA1073">
        <w:t xml:space="preserve">. </w:t>
      </w:r>
      <w:r w:rsidR="007A62D8">
        <w:t>Suunnan määrittelyllä ei myöskään ole suurta vaikutusta raportointivelvoitteeseen, sillä yhteydenpitoa raportoidaan yleisemmällä, ei yksittäisen yhteydenoton, tasolla.</w:t>
      </w:r>
    </w:p>
    <w:p w:rsidR="00AA1073" w:rsidRPr="00C51F93" w:rsidRDefault="00C51F93" w:rsidP="00885401">
      <w:pPr>
        <w:rPr>
          <w:b/>
        </w:rPr>
      </w:pPr>
      <w:r>
        <w:rPr>
          <w:b/>
        </w:rPr>
        <w:t>Voidaanko valmistelua jatkaa siten, että lobbauskohteen aloittama yhteydenpito lasketaan osaksi soveltamisalaa yllä ehdotetuin perustein?</w:t>
      </w:r>
    </w:p>
    <w:sectPr w:rsidR="00AA1073" w:rsidRPr="00C51F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588"/>
    <w:multiLevelType w:val="hybridMultilevel"/>
    <w:tmpl w:val="BDD064F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6854"/>
    <w:multiLevelType w:val="hybridMultilevel"/>
    <w:tmpl w:val="6190331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619E"/>
    <w:multiLevelType w:val="hybridMultilevel"/>
    <w:tmpl w:val="76EEEE1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BDD"/>
    <w:multiLevelType w:val="hybridMultilevel"/>
    <w:tmpl w:val="475E5B6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17C9D"/>
    <w:multiLevelType w:val="hybridMultilevel"/>
    <w:tmpl w:val="A92A256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014D9"/>
    <w:multiLevelType w:val="hybridMultilevel"/>
    <w:tmpl w:val="1B304E0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80E78"/>
    <w:multiLevelType w:val="hybridMultilevel"/>
    <w:tmpl w:val="86E6A2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78"/>
    <w:rsid w:val="000303F5"/>
    <w:rsid w:val="000B6FC5"/>
    <w:rsid w:val="000F05AD"/>
    <w:rsid w:val="0010141B"/>
    <w:rsid w:val="001204A7"/>
    <w:rsid w:val="00123E50"/>
    <w:rsid w:val="00170BFA"/>
    <w:rsid w:val="00190730"/>
    <w:rsid w:val="00190A7F"/>
    <w:rsid w:val="0020176C"/>
    <w:rsid w:val="002679E9"/>
    <w:rsid w:val="00277082"/>
    <w:rsid w:val="00280BCD"/>
    <w:rsid w:val="002B6A5E"/>
    <w:rsid w:val="00364FBF"/>
    <w:rsid w:val="003707E6"/>
    <w:rsid w:val="003A5B24"/>
    <w:rsid w:val="003B285D"/>
    <w:rsid w:val="003E1D16"/>
    <w:rsid w:val="00430B74"/>
    <w:rsid w:val="004417C7"/>
    <w:rsid w:val="004B5578"/>
    <w:rsid w:val="004B744E"/>
    <w:rsid w:val="00540350"/>
    <w:rsid w:val="005C3890"/>
    <w:rsid w:val="00633851"/>
    <w:rsid w:val="0064767E"/>
    <w:rsid w:val="006C564A"/>
    <w:rsid w:val="006E1A0D"/>
    <w:rsid w:val="007212AD"/>
    <w:rsid w:val="007A62D8"/>
    <w:rsid w:val="008003AC"/>
    <w:rsid w:val="00885401"/>
    <w:rsid w:val="008D1F4B"/>
    <w:rsid w:val="00985363"/>
    <w:rsid w:val="009C7C24"/>
    <w:rsid w:val="00A173C1"/>
    <w:rsid w:val="00A34285"/>
    <w:rsid w:val="00A55F88"/>
    <w:rsid w:val="00AA1073"/>
    <w:rsid w:val="00C51F93"/>
    <w:rsid w:val="00C64CC1"/>
    <w:rsid w:val="00D554D6"/>
    <w:rsid w:val="00D576B0"/>
    <w:rsid w:val="00E149B6"/>
    <w:rsid w:val="00E94BB2"/>
    <w:rsid w:val="00F1138F"/>
    <w:rsid w:val="00F3300D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6C71"/>
  <w15:chartTrackingRefBased/>
  <w15:docId w15:val="{EABAEA1C-86B7-453D-8A7F-961EEEC4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33851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0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5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55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9B6D-AEE8-4762-96B1-749F4CB4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311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Demirbas Sami</dc:creator>
  <cp:keywords/>
  <dc:description/>
  <cp:lastModifiedBy>Demirbas Sami</cp:lastModifiedBy>
  <cp:revision>13</cp:revision>
  <dcterms:created xsi:type="dcterms:W3CDTF">2020-12-21T14:18:00Z</dcterms:created>
  <dcterms:modified xsi:type="dcterms:W3CDTF">2021-01-13T14:16:00Z</dcterms:modified>
</cp:coreProperties>
</file>