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B3" w:rsidRPr="00E961B3" w:rsidRDefault="00E961B3" w:rsidP="00E961B3">
      <w:bookmarkStart w:id="0" w:name="_GoBack"/>
      <w:bookmarkEnd w:id="0"/>
      <w:r w:rsidRPr="00E961B3">
        <w:t>Oikeusministeriö/Avoimuusrekisterivalmistelun asiantuntijatyöryhmä</w:t>
      </w:r>
    </w:p>
    <w:p w:rsidR="00E961B3" w:rsidRPr="00E961B3" w:rsidRDefault="00E961B3" w:rsidP="00E961B3">
      <w:r w:rsidRPr="00E961B3">
        <w:t>MUISTIO</w:t>
      </w:r>
      <w:r w:rsidRPr="00E961B3">
        <w:tab/>
      </w:r>
      <w:r w:rsidRPr="00E961B3">
        <w:tab/>
      </w:r>
      <w:r w:rsidRPr="00E961B3">
        <w:tab/>
      </w:r>
      <w:r w:rsidRPr="00E961B3">
        <w:tab/>
      </w:r>
      <w:r w:rsidRPr="00E961B3">
        <w:tab/>
      </w:r>
      <w:r w:rsidRPr="00E961B3">
        <w:tab/>
      </w:r>
      <w:r w:rsidR="0046010D">
        <w:t>24</w:t>
      </w:r>
      <w:r w:rsidRPr="00E961B3">
        <w:t>.4.2020</w:t>
      </w:r>
    </w:p>
    <w:p w:rsidR="00E961B3" w:rsidRPr="00E961B3" w:rsidRDefault="00E961B3" w:rsidP="00E961B3">
      <w:pPr>
        <w:spacing w:after="0" w:line="240" w:lineRule="auto"/>
        <w:contextualSpacing/>
        <w:rPr>
          <w:rFonts w:asciiTheme="majorHAnsi" w:eastAsiaTheme="majorEastAsia" w:hAnsiTheme="majorHAnsi" w:cstheme="majorBidi"/>
          <w:spacing w:val="-10"/>
          <w:kern w:val="28"/>
          <w:sz w:val="56"/>
          <w:szCs w:val="56"/>
        </w:rPr>
      </w:pPr>
    </w:p>
    <w:p w:rsidR="00E961B3" w:rsidRPr="00E961B3" w:rsidRDefault="00577D61" w:rsidP="00E961B3">
      <w:pPr>
        <w:spacing w:after="0" w:line="240" w:lineRule="auto"/>
        <w:contextualSpacing/>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Lobbaukse</w:t>
      </w:r>
      <w:r w:rsidR="0004052E">
        <w:rPr>
          <w:rFonts w:asciiTheme="majorHAnsi" w:eastAsiaTheme="majorEastAsia" w:hAnsiTheme="majorHAnsi" w:cstheme="majorBidi"/>
          <w:spacing w:val="-10"/>
          <w:kern w:val="28"/>
          <w:sz w:val="56"/>
          <w:szCs w:val="56"/>
        </w:rPr>
        <w:t>n</w:t>
      </w:r>
      <w:r>
        <w:rPr>
          <w:rFonts w:asciiTheme="majorHAnsi" w:eastAsiaTheme="majorEastAsia" w:hAnsiTheme="majorHAnsi" w:cstheme="majorBidi"/>
          <w:spacing w:val="-10"/>
          <w:kern w:val="28"/>
          <w:sz w:val="56"/>
          <w:szCs w:val="56"/>
        </w:rPr>
        <w:t xml:space="preserve"> </w:t>
      </w:r>
      <w:r w:rsidR="00E961B3">
        <w:rPr>
          <w:rFonts w:asciiTheme="majorHAnsi" w:eastAsiaTheme="majorEastAsia" w:hAnsiTheme="majorHAnsi" w:cstheme="majorBidi"/>
          <w:spacing w:val="-10"/>
          <w:kern w:val="28"/>
          <w:sz w:val="56"/>
          <w:szCs w:val="56"/>
        </w:rPr>
        <w:t>määrittely</w:t>
      </w:r>
      <w:r w:rsidR="00994971">
        <w:rPr>
          <w:rFonts w:asciiTheme="majorHAnsi" w:eastAsiaTheme="majorEastAsia" w:hAnsiTheme="majorHAnsi" w:cstheme="majorBidi"/>
          <w:spacing w:val="-10"/>
          <w:kern w:val="28"/>
          <w:sz w:val="56"/>
          <w:szCs w:val="56"/>
        </w:rPr>
        <w:t>n lähtökohdat</w:t>
      </w:r>
    </w:p>
    <w:p w:rsidR="007C1E51" w:rsidRDefault="007C1E51" w:rsidP="0096785C">
      <w:pPr>
        <w:rPr>
          <w:b/>
        </w:rPr>
      </w:pPr>
    </w:p>
    <w:p w:rsidR="00651490" w:rsidRPr="00651490" w:rsidRDefault="00826DBC" w:rsidP="00221C53">
      <w:pPr>
        <w:rPr>
          <w:b/>
        </w:rPr>
      </w:pPr>
      <w:r>
        <w:rPr>
          <w:b/>
        </w:rPr>
        <w:t xml:space="preserve">Määrittelyyn liittyvät </w:t>
      </w:r>
      <w:r w:rsidR="0096785C">
        <w:rPr>
          <w:b/>
        </w:rPr>
        <w:t>suositukset</w:t>
      </w:r>
    </w:p>
    <w:p w:rsidR="00651490" w:rsidRPr="0096785C" w:rsidRDefault="00221C53" w:rsidP="00221C53">
      <w:pPr>
        <w:rPr>
          <w:i/>
          <w:u w:val="single"/>
        </w:rPr>
      </w:pPr>
      <w:r w:rsidRPr="0096785C">
        <w:rPr>
          <w:i/>
          <w:u w:val="single"/>
        </w:rPr>
        <w:t>Euroopan neuvosto</w:t>
      </w:r>
    </w:p>
    <w:p w:rsidR="00651490" w:rsidRDefault="00221C53" w:rsidP="00221C53">
      <w:r>
        <w:t>Euroopan neuvoston suosituksessa lobbaus määritellään edunvalvonnaksi</w:t>
      </w:r>
      <w:r w:rsidRPr="00B722CD">
        <w:t>, joka kohdistuu julkiseen viranomaiseen. Omaksutun määritelmän mukaan lobbauksen tulee pyrkiä vaikuttamaan nimenomaan julkiseen päätöksentekoon ja to</w:t>
      </w:r>
      <w:r>
        <w:t>iminnan tulee olla organisoitua</w:t>
      </w:r>
      <w:r w:rsidRPr="00B722CD">
        <w:t xml:space="preserve">. Julkinen päätöksenteko sisältää päätöksenteon sekä lainsäädäntö- että täytäntöönpanoelimissä niin kansallisella, alueellisella kuin paikallisellakin tasolla. Julkisviranomainen on taas henkilö, jolla on julkinen hallintotehtävä riippumatta siitä, onko hänet valittu tehtävään äänestämällä vai muutoin. </w:t>
      </w:r>
    </w:p>
    <w:p w:rsidR="009E7866" w:rsidRDefault="00651490" w:rsidP="009E7866">
      <w:r>
        <w:t xml:space="preserve">Lobbaussääntelyn tulee kattaa ainakin kolmenlaiset toimijat. Ensinnäkin sen tulisi kattaa niin kutsutut konsulttilobbarit, jotka lobbaavat kolmannen tahon eli asiakkaan puolesta. Toiseksi sen tulisi ulottua niin kutsuttuihin työntekijälobbareihin (in-house lobbyist), jotka edistävät poliittisessa päätöksenteossa työnantajansa intressejä. Viimeiseksi lobbaussääntelyn tulisi kattaa myös organisaatiot ja järjestöt, jotka edustavat ammatillisia tai muita sektorikohtaisia intressejä. </w:t>
      </w:r>
      <w:r w:rsidR="00221C53" w:rsidRPr="00B722CD">
        <w:t>Lobbauksen sääntelylläkin tulee olla kuitenkin rajat. Euroopan neuvoston mukaan sääntely ei saa missään tapauksissa estää sananvapauden ja niin kutsutun petitio-oikeuden toteutumista eikä vaalikampanjointia. Näiden perustuslaillisten rajojen ohella neuvosto korostaa sitä, että lobbausta koskevien sääntöjen tulee olla suhteellisuusperiaatteen mukaisia.</w:t>
      </w:r>
    </w:p>
    <w:p w:rsidR="0096785C" w:rsidRPr="0096785C" w:rsidRDefault="0096785C" w:rsidP="0096785C">
      <w:pPr>
        <w:rPr>
          <w:i/>
          <w:u w:val="single"/>
        </w:rPr>
      </w:pPr>
      <w:r w:rsidRPr="0096785C">
        <w:rPr>
          <w:i/>
          <w:u w:val="single"/>
        </w:rPr>
        <w:t>O</w:t>
      </w:r>
      <w:r w:rsidR="009E7866">
        <w:rPr>
          <w:i/>
          <w:u w:val="single"/>
        </w:rPr>
        <w:t>ECD</w:t>
      </w:r>
    </w:p>
    <w:p w:rsidR="002130E8" w:rsidRDefault="0096785C" w:rsidP="009E7866">
      <w:r>
        <w:t xml:space="preserve">OECD:n mukaan lobbausta </w:t>
      </w:r>
      <w:r w:rsidRPr="004D4BEB">
        <w:t>koskevien määritelmien tulisi olla yksiselitteisiä ja helposti ymmärrettäviä niin, ettei niiden tulkinta aiheuta ongelmia tai johda sääntelyaukkoihin. Lobbaussääntelyn tulisi pääasiallisesti koskea niitä lobbareita, jotka saavat rahallisen kompensaation lobbaustoiminnastaan, kuten niin kutsutut konsultti-lobbarit ja työntekijälobbarit (in-house lobbyists). Sääntelyn tulee olla kuitenkin tasapuolista siten, että lobbaus määritellään koskemaan kaikkia tahoja, jotka pyrkivät vaikuttamaan päätöksentekoon riippumatta siitä, saavatko ne toiminnastaan rahallista korvausta vai eivät. Lobbaussääntelyssä tulee myös tarkkaan määritellä se yhteydenpito julkisiin viranomaisiin, jota ei pidetä lobbauksena. Tällaista yhteydenpitoa on muun muassa kuuleminen valiokunnissa sekä osallistuminen julkisiin kuulemisiin.</w:t>
      </w:r>
    </w:p>
    <w:p w:rsidR="005E676A" w:rsidRPr="005E676A" w:rsidRDefault="005E676A" w:rsidP="005E676A">
      <w:pPr>
        <w:rPr>
          <w:i/>
          <w:u w:val="single"/>
        </w:rPr>
      </w:pPr>
      <w:r>
        <w:rPr>
          <w:i/>
          <w:u w:val="single"/>
        </w:rPr>
        <w:t>KV-suositukset suomalaisessa kontekstissa</w:t>
      </w:r>
    </w:p>
    <w:p w:rsidR="005E676A" w:rsidRDefault="005E676A" w:rsidP="005E676A">
      <w:r>
        <w:t>Suomessa päätösten valmisteluun ja käsittelyyn osallistuu usein moninainen joukko hallinnon ulkopuolisia toimijoita, jolloin määrittelyn tulee kattaa nämä kaikki erilaiset toimijat. Joillain toimijoilla voi olla virallisempi, jopa lakiin pohjautuva, asema päätöksenteossa ja sen valmistelussa (esim. lakisääteiset kuulemisvelvoitteet). Määrittelyn tulisi kuitenkin lähtökohtaisesti kattaa myös nämä toimijat, jotta sääntely olisi yhdenvertaista eikä siihen muodostuisi sääntelyaukkoja. Hallinnon ulkopuolisten toimijoiden lisäksi määrittelyssä tulee ottaa kantaa hallinnon sisäisiin toimijoihin, esimerkiksi voivatko kunnat lobata ja millä ehdoin?</w:t>
      </w:r>
    </w:p>
    <w:p w:rsidR="005E676A" w:rsidRDefault="005E676A" w:rsidP="005E676A">
      <w:r>
        <w:lastRenderedPageBreak/>
        <w:t xml:space="preserve">Varsinainen osallistuminen tapahtuu pääsääntöisesti virallisten kuulemisten tai työryhmien kautta. Siten Suomen kaltaisessa järjestelmässä on tärkeää, että lobbausmääritelmä kattaa epävirallisen yhteydenpidon lisäksi myös viralliset osallistumisen muodot. Mikäli ne jätettäisiin määritelmän ulkopuolelle, muodostuisi niistä merkittävä sääntelyaukko, joka veisi määritelmältä uskottavuuden, koska se rajaisi suurilta osin esimerkiksi erilaisten järjestöjen vaikuttamistyön määritelmän ulkopuolelle. Tutkimusten mukaan järjestöt kokevat tehokkaimmaksi vaikuttaa suoraan valmisteluun ja päätöksentekoon, mikä tarkoittaa muun muassa osallistumista työryhmiin ja kuulemisiin. </w:t>
      </w:r>
      <w:r w:rsidRPr="0039692D">
        <w:t xml:space="preserve">Merkittävää on myös se, että järjestöt pitävät vaikuttamista virkamiehiin ja lausuntojen antamista tärkeämpänä kuin vaikuttamista kansanedustajiin, puolueisiin ja eduskuntaan. </w:t>
      </w:r>
      <w:r>
        <w:t>(</w:t>
      </w:r>
      <w:r w:rsidRPr="00D46770">
        <w:t>Kantola &amp; Vesa 2016</w:t>
      </w:r>
      <w:r>
        <w:t xml:space="preserve">.) </w:t>
      </w:r>
      <w:r w:rsidRPr="00574B98">
        <w:t>Näin ollen Suomessa ei ole järkevää seurata OECD:n suositusta ja jättää viralliset kuulemiset</w:t>
      </w:r>
      <w:r>
        <w:t>, joita toteutetaan etenkin valmisteluvaiheessa virkamiesten toimesta,</w:t>
      </w:r>
      <w:r w:rsidRPr="00574B98">
        <w:t xml:space="preserve"> pois lobbauksen määrittelystä.</w:t>
      </w:r>
    </w:p>
    <w:p w:rsidR="005E676A" w:rsidRPr="005E676A" w:rsidRDefault="005E676A" w:rsidP="009E7866">
      <w:pPr>
        <w:rPr>
          <w:i/>
          <w:u w:val="single"/>
        </w:rPr>
      </w:pPr>
    </w:p>
    <w:tbl>
      <w:tblPr>
        <w:tblStyle w:val="TaulukkoRuudukko"/>
        <w:tblW w:w="10028" w:type="dxa"/>
        <w:tblLook w:val="04A0" w:firstRow="1" w:lastRow="0" w:firstColumn="1" w:lastColumn="0" w:noHBand="0" w:noVBand="1"/>
      </w:tblPr>
      <w:tblGrid>
        <w:gridCol w:w="10028"/>
      </w:tblGrid>
      <w:tr w:rsidR="005D2A05" w:rsidTr="004B1C63">
        <w:trPr>
          <w:trHeight w:val="1125"/>
        </w:trPr>
        <w:tc>
          <w:tcPr>
            <w:tcW w:w="10028" w:type="dxa"/>
          </w:tcPr>
          <w:p w:rsidR="005E676A" w:rsidRDefault="005E676A" w:rsidP="005D2A05">
            <w:r>
              <w:rPr>
                <w:b/>
              </w:rPr>
              <w:t>Yhteenveto</w:t>
            </w:r>
          </w:p>
          <w:p w:rsidR="005E676A" w:rsidRDefault="005E676A" w:rsidP="005D2A05"/>
          <w:p w:rsidR="005E676A" w:rsidRDefault="005E676A" w:rsidP="005D2A05">
            <w:r w:rsidRPr="005E676A">
              <w:t>Kansainvälisten suositusten mukaan lobbaukseen liittyvien määrittelyiden tulee pyrkiä kattamaan kaikenlainen lobbaustoiminta riippumatta lobbauksen intresseistä, tavasta tai toimijasta. Huomioitavaa on myös, että lobbaukseksi tulee tulkita välillinen vaikuttaminen kolmannen tahon puolesta. Määrittelyn tulee huomioida vaikuttaminen sekä poliittisiin päätöksentekijöihin että virkakuntaan niin lainsäädäntö- kuin toimeenpanoelimissä. Määrittelyyn tulee myös luoda poikkeukset, joista keskeisin on yksittäisten kansalaisten osallistumisoikeuksien rajaaminen lobbausmäärittelyn ulkopuolelle. Muiden poikkeuksien osalta tulee käyttää harkintaa, koska sääntelyn tulee olla tasapuolista.</w:t>
            </w:r>
          </w:p>
          <w:p w:rsidR="005E676A" w:rsidRDefault="005E676A" w:rsidP="005D2A05"/>
          <w:p w:rsidR="005E676A" w:rsidRDefault="005E676A" w:rsidP="005D2A05">
            <w:r w:rsidRPr="005E676A">
              <w:t>Suorien muodollisten ja epämuodollisten vaikuttamiskeinojen lisäksi tulee pohdittavaksi erilaiset välilliset vaikuttamiskeinot. On selvää, että kolmannen osapuolen puolesta suoraan vaikuttaminen tulee ottaa osaksi määritelmää. Sen sijaan epäsuora</w:t>
            </w:r>
            <w:r w:rsidR="004D7C8A">
              <w:t xml:space="preserve"> </w:t>
            </w:r>
            <w:r w:rsidRPr="005E676A">
              <w:t>vaikuttaminen joko varsinaisen lobbaajan toimesta tai hänen palkkaamansa kolmannen osapuolen toimesta voi vaatia pohdintaa ja rajanvetoa määrittelyn yksiselitteisyyden ja mahdollisten sääntelyaukkojen näkökulmasta. Määrittelyn laajentaminen koskemaan merkittävästi erilaisia välillisiä vaikuttamiskeinoja, muun muassa julkiseen mielipiteeseen vaikuttaminen, voi vaikeuttaa määrittelyn ymmärrettävyyttä ja lisätä näin riskiä sääntelyaukkoihin. Lisäksi liian yksityiskohtaisen sääntelyn ulottaminen välillisiin keinoihin voi olla suhteellisuusperiaatteen vastaista (vrt. julkiseen mielipiteeseen vaikuttaminen ja markkinointi).</w:t>
            </w:r>
          </w:p>
          <w:p w:rsidR="005E676A" w:rsidRDefault="005E676A" w:rsidP="005D2A05"/>
          <w:p w:rsidR="00681C2A" w:rsidRDefault="00681C2A" w:rsidP="005D2A05">
            <w:r>
              <w:t>Kysymyksiä työryhmälle:</w:t>
            </w:r>
          </w:p>
          <w:p w:rsidR="00D119F4" w:rsidRDefault="00D119F4" w:rsidP="00573B04">
            <w:pPr>
              <w:contextualSpacing/>
            </w:pPr>
          </w:p>
          <w:p w:rsidR="00573B04" w:rsidRDefault="005D2A05" w:rsidP="00854865">
            <w:pPr>
              <w:numPr>
                <w:ilvl w:val="0"/>
                <w:numId w:val="34"/>
              </w:numPr>
              <w:contextualSpacing/>
            </w:pPr>
            <w:r w:rsidRPr="009E7866">
              <w:t xml:space="preserve">Voidaanko välillinen vaikuttaminen, esimerkiksi median kautta, tulkita edunvalvonnaksi, joka kohdistuu julkiseen viranomaiseen?  </w:t>
            </w:r>
            <w:r w:rsidR="00D35CE8">
              <w:t>Voidaanko mediaan vaikuttaminen tulkita lobbaukseksi, ja miten lobbaus voidaan erottaa markkinoinnista?</w:t>
            </w:r>
            <w:r w:rsidR="00854865">
              <w:t xml:space="preserve"> </w:t>
            </w:r>
            <w:r w:rsidR="004821EB">
              <w:t>Onko tästä kv-esimerkkejä?</w:t>
            </w:r>
          </w:p>
          <w:p w:rsidR="00854865" w:rsidRDefault="00854865" w:rsidP="00854865">
            <w:pPr>
              <w:numPr>
                <w:ilvl w:val="0"/>
                <w:numId w:val="34"/>
              </w:numPr>
              <w:contextualSpacing/>
            </w:pPr>
            <w:r>
              <w:t xml:space="preserve">Voiko </w:t>
            </w:r>
            <w:r w:rsidRPr="00854865">
              <w:t>välillisten vaikuttamiskeinojen poissulkeminen vaikuttaa esimerkiksi vaikuttajaviestintätoimistojen</w:t>
            </w:r>
            <w:r>
              <w:t xml:space="preserve">, jotka eivät välttämättä lobbaa itse suoraan, </w:t>
            </w:r>
            <w:r w:rsidR="00573B04">
              <w:t>lukeutumiseen</w:t>
            </w:r>
            <w:r>
              <w:t xml:space="preserve"> lobbausmäärittelyn </w:t>
            </w:r>
            <w:r w:rsidR="00573B04">
              <w:t>piiriin?</w:t>
            </w:r>
          </w:p>
          <w:p w:rsidR="005D2A05" w:rsidRDefault="005D2A05" w:rsidP="005D2A05">
            <w:pPr>
              <w:numPr>
                <w:ilvl w:val="0"/>
                <w:numId w:val="34"/>
              </w:numPr>
              <w:contextualSpacing/>
            </w:pPr>
            <w:r>
              <w:t>Miten organisoitua toiminnan tulee olla, jotta se voidaan määritellä lobbaukseksi? Esimerkiksi, voidaanko rekisteröimätön kansalaisliike, joka pyrkii vaikuttamaan lainsäädäntöön, tulkita lobbariksi? Jos voidaan, kenellä tällöin olisi vastuu rekisteröityä?</w:t>
            </w:r>
            <w:r w:rsidR="007D03FB">
              <w:t xml:space="preserve"> </w:t>
            </w:r>
          </w:p>
          <w:p w:rsidR="003E3E7A" w:rsidRDefault="003E3E7A" w:rsidP="005D2A05">
            <w:pPr>
              <w:numPr>
                <w:ilvl w:val="0"/>
                <w:numId w:val="34"/>
              </w:numPr>
              <w:contextualSpacing/>
            </w:pPr>
            <w:r>
              <w:t xml:space="preserve">Nähdäänkö viranomaiset tai niitä edustavat järjestöt lobbaajina (vrt. Kuntaliitto tai Tuomariliitto)? </w:t>
            </w:r>
          </w:p>
          <w:p w:rsidR="005D2A05" w:rsidRDefault="005D2A05" w:rsidP="00681C2A">
            <w:pPr>
              <w:numPr>
                <w:ilvl w:val="0"/>
                <w:numId w:val="34"/>
              </w:numPr>
              <w:contextualSpacing/>
            </w:pPr>
            <w:r>
              <w:t>Miten määrittelyssä tulee huomioida kansalaisaloite ja vaalikampanjointi? Kummassakin tapauksessa säädetään jo nyt taloudellisen tuen ilmoittamisesta.</w:t>
            </w:r>
          </w:p>
          <w:p w:rsidR="00681C2A" w:rsidRDefault="00681C2A" w:rsidP="00681C2A">
            <w:pPr>
              <w:numPr>
                <w:ilvl w:val="0"/>
                <w:numId w:val="34"/>
              </w:numPr>
              <w:contextualSpacing/>
            </w:pPr>
            <w:r>
              <w:t xml:space="preserve">Millaisia poikkeuksia määrittelyyn tulisi luoda (omistajaohjaus, lautakunnat/neuvottelukunnat, julkisia tehtäviä hoitavat ei-viranomaistahot jne.)? </w:t>
            </w:r>
          </w:p>
          <w:p w:rsidR="00681C2A" w:rsidRDefault="00681C2A" w:rsidP="00681C2A">
            <w:pPr>
              <w:ind w:left="720"/>
              <w:contextualSpacing/>
            </w:pPr>
          </w:p>
        </w:tc>
      </w:tr>
    </w:tbl>
    <w:p w:rsidR="00F5786F" w:rsidRPr="00221C53" w:rsidRDefault="0048111F" w:rsidP="00F5786F">
      <w:pPr>
        <w:rPr>
          <w:b/>
        </w:rPr>
      </w:pPr>
      <w:r>
        <w:rPr>
          <w:b/>
        </w:rPr>
        <w:lastRenderedPageBreak/>
        <w:t>Vaihtoehtoiset määrittelytavat</w:t>
      </w:r>
    </w:p>
    <w:p w:rsidR="00F5786F" w:rsidRDefault="00F5786F" w:rsidP="00F5786F">
      <w:r w:rsidRPr="00E50877">
        <w:t>Lobbauksen määrittelyyn liittyviä vaihtoehtoja voidaan lähestyä kahdesta näkökulmasta</w:t>
      </w:r>
      <w:r>
        <w:t xml:space="preserve">, valittavasta sääntelymallista ja määrittelyn kattavuudesta, käsin. Näiden avulla voidaan tarkastella määrittelyyn liittyviä periaatteita ja vaikutuksia sekä luoda vaihtoehtoisia lähtökohtia määritellä lobbausta. </w:t>
      </w:r>
    </w:p>
    <w:p w:rsidR="00A51B5A" w:rsidRPr="00A51B5A" w:rsidRDefault="00C64DF5" w:rsidP="00F5786F">
      <w:pPr>
        <w:rPr>
          <w:i/>
          <w:u w:val="single"/>
        </w:rPr>
      </w:pPr>
      <w:r>
        <w:rPr>
          <w:i/>
          <w:u w:val="single"/>
        </w:rPr>
        <w:t>Statusperustainen sääntelymalli</w:t>
      </w:r>
    </w:p>
    <w:p w:rsidR="00580407" w:rsidRDefault="00F5786F" w:rsidP="00C64DF5">
      <w:r>
        <w:t>Statusperusteisessa säänte</w:t>
      </w:r>
      <w:r w:rsidR="007A1BEE">
        <w:t>lyssä</w:t>
      </w:r>
      <w:r>
        <w:t xml:space="preserve"> luokitellaan edunvalvojia sen mukaan, minkälaisia intressejä ne edustavat.</w:t>
      </w:r>
      <w:r w:rsidR="007A1BEE">
        <w:t xml:space="preserve"> Lähtökohtana on, että lobbaus määrittyy</w:t>
      </w:r>
      <w:r w:rsidR="00C64DF5" w:rsidRPr="00927FD6">
        <w:t xml:space="preserve"> toimijoiden intressien</w:t>
      </w:r>
      <w:r w:rsidR="007A1BEE">
        <w:t>, ei toiminnan</w:t>
      </w:r>
      <w:r w:rsidR="00C64DF5" w:rsidRPr="00927FD6">
        <w:t xml:space="preserve"> perusteel</w:t>
      </w:r>
      <w:r w:rsidR="007A1BEE">
        <w:t xml:space="preserve">la. </w:t>
      </w:r>
      <w:r w:rsidR="007A1BEE" w:rsidRPr="007A1BEE">
        <w:t>Tällöin lobbaajiksi tulkittujen intressiryhmien kaikki toimijat määritellään lähtökohtaisesti lobbaajiksi, riippumatta siitä harjoittavatko tai suunnittelevatko nämä tahot tosiasi</w:t>
      </w:r>
      <w:r w:rsidR="00580407">
        <w:t>allisesti lobbaamista vai eivät.</w:t>
      </w:r>
    </w:p>
    <w:p w:rsidR="00C64DF5" w:rsidRDefault="007A1BEE" w:rsidP="00C64DF5">
      <w:r>
        <w:t>M</w:t>
      </w:r>
      <w:r w:rsidRPr="007A1BEE">
        <w:t>ääritelmä</w:t>
      </w:r>
      <w:r>
        <w:t>n suuri</w:t>
      </w:r>
      <w:r w:rsidR="00004AD3">
        <w:t>n</w:t>
      </w:r>
      <w:r>
        <w:t xml:space="preserve"> haaste liittyy intressiryhmien </w:t>
      </w:r>
      <w:r w:rsidR="00C651BA">
        <w:t xml:space="preserve">mielekkääseen määrittelemiseen. Jotta määritelmä tavoittaisi ne </w:t>
      </w:r>
      <w:r w:rsidRPr="007A1BEE">
        <w:t>intressi</w:t>
      </w:r>
      <w:r w:rsidR="00C651BA">
        <w:t>ryhmät, jotka tosiasiallisesti pyrkivät vaikuttamaan</w:t>
      </w:r>
      <w:r w:rsidRPr="007A1BEE">
        <w:t xml:space="preserve"> valtion päät</w:t>
      </w:r>
      <w:r w:rsidR="00C651BA">
        <w:t>öksentekoon ja sen valmisteluun, tulee sen kyetä tekemään riittävä ero lobbaavien intressiryhmien ja muiden intressiryhmien välille. Tämä onnistuu parhaiten silloin</w:t>
      </w:r>
      <w:r w:rsidR="004D7C8A">
        <w:t>,</w:t>
      </w:r>
      <w:r w:rsidR="00C651BA">
        <w:t xml:space="preserve"> kun </w:t>
      </w:r>
      <w:r w:rsidR="00C64DF5">
        <w:t xml:space="preserve">toimijakenttä on rajallinen ja </w:t>
      </w:r>
      <w:r w:rsidR="00C64DF5" w:rsidRPr="00927FD6">
        <w:t>entuudestaan tiedossa</w:t>
      </w:r>
      <w:r w:rsidR="00C64DF5">
        <w:t xml:space="preserve"> </w:t>
      </w:r>
      <w:r w:rsidR="00814A7A">
        <w:t xml:space="preserve">ja </w:t>
      </w:r>
      <w:r w:rsidR="00C64DF5">
        <w:t>intressiryhmät ovat sisäisesti melko homogeenisiä</w:t>
      </w:r>
      <w:r w:rsidR="00C651BA">
        <w:t>, jolloin intressiryhmien sisäiset erot ovat vähäisiä</w:t>
      </w:r>
      <w:r w:rsidR="00C64DF5">
        <w:t>.</w:t>
      </w:r>
    </w:p>
    <w:p w:rsidR="00580407" w:rsidRDefault="00C651BA" w:rsidP="002A7A9A">
      <w:pPr>
        <w:contextualSpacing/>
      </w:pPr>
      <w:r>
        <w:t>Intresseihin perustuva</w:t>
      </w:r>
      <w:r w:rsidR="00C64DF5">
        <w:t xml:space="preserve"> määrittely ei </w:t>
      </w:r>
      <w:r w:rsidR="00814A7A">
        <w:t xml:space="preserve">todennäköisesti </w:t>
      </w:r>
      <w:r w:rsidR="00C64DF5">
        <w:t>toimi</w:t>
      </w:r>
      <w:r w:rsidR="00814A7A">
        <w:t>si</w:t>
      </w:r>
      <w:r w:rsidR="00C64DF5">
        <w:t xml:space="preserve"> Suomessa</w:t>
      </w:r>
      <w:r w:rsidR="00C64DF5" w:rsidRPr="00927FD6">
        <w:t>, jossa päätöksentekoon osalli</w:t>
      </w:r>
      <w:r w:rsidR="00C64DF5">
        <w:t xml:space="preserve">stuu ja vaikuttaa hyvin moninainen joukko toimijoita, joita ei voida yksiselitteisesti </w:t>
      </w:r>
      <w:r w:rsidR="00814A7A">
        <w:t xml:space="preserve">luokitella </w:t>
      </w:r>
      <w:r w:rsidR="00C64DF5">
        <w:t>tiettyihin intressiryhmiin. Eritoten ongelma korostuu</w:t>
      </w:r>
      <w:r>
        <w:t xml:space="preserve"> yhden keskeisimmän ryhmän, eli</w:t>
      </w:r>
      <w:r w:rsidR="00C64DF5">
        <w:t xml:space="preserve"> järjestöjen osalta. Juridisessa mielessä kaikki järjestöt ovat lähtökohdiltaan samanlaisia</w:t>
      </w:r>
      <w:r>
        <w:t xml:space="preserve"> yhdistyksiä</w:t>
      </w:r>
      <w:r w:rsidR="00C64DF5">
        <w:t>, mutta toimintakentältään</w:t>
      </w:r>
      <w:r>
        <w:t>, tavoitteiltaan ja toimintamalleiltaan ne vaihtelevat suuresti. Statusperustaisesti järjestöjä olisi lähes mahdotonta jakaa erilaisiin intressiryhmiin niin, että</w:t>
      </w:r>
      <w:r w:rsidR="0071736C">
        <w:t xml:space="preserve"> </w:t>
      </w:r>
      <w:r>
        <w:t>peruste</w:t>
      </w:r>
      <w:r w:rsidR="0071736C">
        <w:t>lut olisivat</w:t>
      </w:r>
      <w:r w:rsidR="002A7A9A">
        <w:t xml:space="preserve"> mielekkäitä ja</w:t>
      </w:r>
      <w:r w:rsidR="0071736C">
        <w:t xml:space="preserve"> </w:t>
      </w:r>
      <w:r>
        <w:t>juridisesti pitäviä.</w:t>
      </w:r>
      <w:r w:rsidR="002A7A9A">
        <w:t xml:space="preserve"> Liian epätäsmällinen määrittely taas johtaisi siihen, että lobbaajiksi määriteltäisiin paljon sellaisia toimijoita, jotka eivät tosiasiallisesti harjoit</w:t>
      </w:r>
      <w:r w:rsidR="00814A7A">
        <w:t>a</w:t>
      </w:r>
      <w:r w:rsidR="002A7A9A">
        <w:t xml:space="preserve"> lobbaustoimintaa, mikä vähentäisi merkittävästi sääntelyn luotettavuutta.</w:t>
      </w:r>
      <w:r>
        <w:t xml:space="preserve"> </w:t>
      </w:r>
    </w:p>
    <w:p w:rsidR="00580407" w:rsidRDefault="00580407" w:rsidP="002A7A9A">
      <w:pPr>
        <w:contextualSpacing/>
      </w:pPr>
    </w:p>
    <w:p w:rsidR="00580407" w:rsidRDefault="0071736C" w:rsidP="00F5786F">
      <w:pPr>
        <w:contextualSpacing/>
      </w:pPr>
      <w:r>
        <w:t xml:space="preserve">Ainoastaan hyvin suppeassa määritelmässä, jossa huomiota kiinnitettäisiin vain tiettyihin intressiryhmiin, jotka olisi mahdollista määritellä yksiselitteisesti, statukseen perustuva sääntelymalli voisi </w:t>
      </w:r>
      <w:r w:rsidR="002A7A9A">
        <w:t xml:space="preserve">toimia ja olla luotettava. </w:t>
      </w:r>
      <w:r w:rsidR="00C64DF5" w:rsidRPr="00927FD6">
        <w:t>Tällöin lobbauksen määritel</w:t>
      </w:r>
      <w:r w:rsidR="002A7A9A">
        <w:t>mässä haluttaisiin</w:t>
      </w:r>
      <w:r w:rsidR="00C64DF5">
        <w:t xml:space="preserve"> keskittyä vain joihinkin</w:t>
      </w:r>
      <w:r w:rsidR="002A7A9A">
        <w:t xml:space="preserve"> lobbauksen osa-alueisiin (esim. yrityslobbaajiin). </w:t>
      </w:r>
      <w:r w:rsidR="00C64DF5">
        <w:t>Ongelmana suppeassa määrittelyssä on kuitenkin se, että määrittelyn ulkopuolelle</w:t>
      </w:r>
      <w:r w:rsidR="002A7A9A">
        <w:t xml:space="preserve"> jää tällöin myös sellaisia </w:t>
      </w:r>
      <w:r w:rsidR="00C64DF5">
        <w:t>intressiryhmiä</w:t>
      </w:r>
      <w:r w:rsidR="002A7A9A">
        <w:t xml:space="preserve">, </w:t>
      </w:r>
      <w:r w:rsidR="00C64DF5">
        <w:t xml:space="preserve">joiden toimijat </w:t>
      </w:r>
      <w:r w:rsidR="002A7A9A">
        <w:t>tai ainakin osa heistä tosiasiallisesti lobbaavat, mikä on myös omiaan vähentämään sääntelyn luotettavuutta.</w:t>
      </w:r>
      <w:r w:rsidR="00184E17">
        <w:t xml:space="preserve"> </w:t>
      </w:r>
      <w:r w:rsidR="002A7A9A">
        <w:t>Kansainväliset esimerkit osoittavat, että statusperustainen määritelmä t</w:t>
      </w:r>
      <w:r w:rsidR="00184E17">
        <w:t>örmää helposti luotettavuusongelmiin (esim. Iso-Britannia ja Itävalta)</w:t>
      </w:r>
      <w:r w:rsidR="00580407">
        <w:t>.</w:t>
      </w:r>
    </w:p>
    <w:p w:rsidR="00580407" w:rsidRDefault="00580407" w:rsidP="00F5786F">
      <w:pPr>
        <w:contextualSpacing/>
      </w:pPr>
    </w:p>
    <w:p w:rsidR="00C64DF5" w:rsidRDefault="00184E17" w:rsidP="00F5786F">
      <w:pPr>
        <w:contextualSpacing/>
      </w:pPr>
      <w:r>
        <w:t>Statusperustainen sääntelymalli tarjoaa yhtäältä mahdollisuuden luoda yksiselitteisen</w:t>
      </w:r>
      <w:r w:rsidR="002A7A9A">
        <w:t xml:space="preserve"> </w:t>
      </w:r>
      <w:r>
        <w:t>(validi</w:t>
      </w:r>
      <w:r w:rsidR="00FC01FE">
        <w:t>n</w:t>
      </w:r>
      <w:r>
        <w:t xml:space="preserve">) </w:t>
      </w:r>
      <w:r w:rsidR="002A7A9A">
        <w:t>määritelmä</w:t>
      </w:r>
      <w:r>
        <w:t>n</w:t>
      </w:r>
      <w:r w:rsidR="002A7A9A">
        <w:t>,</w:t>
      </w:r>
      <w:r>
        <w:t xml:space="preserve"> josta toimijoiden on helppo tunnistaa itsensä, mutta toisaalta ajautuu näin tehdessään</w:t>
      </w:r>
      <w:r w:rsidR="000D10AA">
        <w:t xml:space="preserve"> lähes varmasti</w:t>
      </w:r>
      <w:r w:rsidR="002A7A9A">
        <w:t xml:space="preserve"> </w:t>
      </w:r>
      <w:r w:rsidR="000D10AA">
        <w:t xml:space="preserve">ongelmiin määrittelyn luotettavuuden </w:t>
      </w:r>
      <w:r>
        <w:t>(</w:t>
      </w:r>
      <w:r w:rsidRPr="00184E17">
        <w:t>reliabiliteetti</w:t>
      </w:r>
      <w:r>
        <w:t>)</w:t>
      </w:r>
      <w:r w:rsidR="002A7A9A">
        <w:t xml:space="preserve"> </w:t>
      </w:r>
      <w:r w:rsidR="000D10AA">
        <w:t>kanssa</w:t>
      </w:r>
      <w:r>
        <w:t>.</w:t>
      </w:r>
      <w:r w:rsidR="002A7A9A">
        <w:t xml:space="preserve"> </w:t>
      </w:r>
    </w:p>
    <w:p w:rsidR="00580407" w:rsidRDefault="00580407" w:rsidP="00F5786F">
      <w:pPr>
        <w:contextualSpacing/>
      </w:pPr>
    </w:p>
    <w:p w:rsidR="00C64DF5" w:rsidRPr="00C64DF5" w:rsidRDefault="00C64DF5" w:rsidP="00F5786F">
      <w:pPr>
        <w:rPr>
          <w:i/>
          <w:u w:val="single"/>
        </w:rPr>
      </w:pPr>
      <w:r w:rsidRPr="00C64DF5">
        <w:rPr>
          <w:i/>
          <w:u w:val="single"/>
        </w:rPr>
        <w:t>Toimintaperustainen sääntelymalli</w:t>
      </w:r>
    </w:p>
    <w:p w:rsidR="003747C4" w:rsidRDefault="00C64DF5" w:rsidP="00C64DF5">
      <w:r>
        <w:t xml:space="preserve">Toimintaperusteisessa sääntelyssä huomio kohdistuu siihen, mitä tehdään, ei siihen, kuka tekee. Toimintaperusteiseen määritelmään yhdistyy ajatus siitä, että kaikki ovat potentiaalisia lobbareita, eikä sääntely erottele edunvalvojia sen mukaan, onko kyseessä kansalaisjärjestö tai yrityksen oma edunvalvontayksikkö. </w:t>
      </w:r>
      <w:r w:rsidR="00AE3983" w:rsidRPr="00AE3983">
        <w:t>Lähtökohtana on tällöin</w:t>
      </w:r>
      <w:r w:rsidR="00AE3983">
        <w:t xml:space="preserve"> se</w:t>
      </w:r>
      <w:r w:rsidR="00AE3983" w:rsidRPr="00AE3983">
        <w:t>, että määrittely tunnistaa kaikenlaisen vaikuttamisen tai siihen pyrkimisen lobbaukseksi, toimijasta riippumatta.</w:t>
      </w:r>
    </w:p>
    <w:p w:rsidR="00C64DF5" w:rsidRDefault="003747C4" w:rsidP="00C64DF5">
      <w:r>
        <w:t>Jotta sääntelymalli olisi mahdollisimman luotettava</w:t>
      </w:r>
      <w:r w:rsidR="00C64DF5" w:rsidRPr="00927FD6">
        <w:t xml:space="preserve">, määrittelyn tulee pystyä huomioimaan kaikki mahdolliset lobbaustavat, joita nykyään lobbaukseen käytetään. Tällöin määrittely pitää sisällään kaikenlaisen suoran - muodollisen tai epämuodollisen - vaikuttamisen, minkä lisäksi määritelmä huomioi </w:t>
      </w:r>
      <w:r w:rsidR="00C64DF5" w:rsidRPr="00927FD6">
        <w:lastRenderedPageBreak/>
        <w:t>myös välilliset vaikutuskeinot, jolloin lobbaus ei kohdistu suoraan päätöksentekijöihin tai päätöksiä valmisteleviin virkamiehiin, vaan vaikuttaminen tehdään epäsuorasti vaikuttamalla muun muassa julkiseen keskusteluun (mm. lobbaamalla mediaa).</w:t>
      </w:r>
    </w:p>
    <w:p w:rsidR="0058268D" w:rsidRDefault="003747C4" w:rsidP="00C64DF5">
      <w:r>
        <w:t>Lähtökohtaisesti toimintaperusteisella sääntelym</w:t>
      </w:r>
      <w:r w:rsidR="00C64DF5">
        <w:t>alli</w:t>
      </w:r>
      <w:r>
        <w:t xml:space="preserve">lla on mahdollista tavoittaa luotettavammin lobbauksen moninaisuutta kuin statukseen perustuvassa mallissa. </w:t>
      </w:r>
      <w:r w:rsidR="00115EFE">
        <w:t>T</w:t>
      </w:r>
      <w:r>
        <w:t>oimintaperustei</w:t>
      </w:r>
      <w:r w:rsidR="006444EC">
        <w:t>s</w:t>
      </w:r>
      <w:r>
        <w:t>en malli</w:t>
      </w:r>
      <w:r w:rsidR="006444EC">
        <w:t>n voidaan arvioida</w:t>
      </w:r>
      <w:r>
        <w:t xml:space="preserve"> toimivan</w:t>
      </w:r>
      <w:r w:rsidR="00115EFE">
        <w:t xml:space="preserve"> suomalaisessa järjestelmässä</w:t>
      </w:r>
      <w:r>
        <w:t xml:space="preserve"> paremmin, koska se kykenee huomioimaan intressiryhmien sisäis</w:t>
      </w:r>
      <w:r w:rsidR="006444EC">
        <w:t>i</w:t>
      </w:r>
      <w:r>
        <w:t>ä ero</w:t>
      </w:r>
      <w:r w:rsidR="006444EC">
        <w:t>j</w:t>
      </w:r>
      <w:r>
        <w:t xml:space="preserve">a, </w:t>
      </w:r>
      <w:r w:rsidR="006444EC">
        <w:t xml:space="preserve">mitä </w:t>
      </w:r>
      <w:r>
        <w:t>taas statusperustainen malli ei kykene tekemään. Varsinkin järjestöjen</w:t>
      </w:r>
      <w:r w:rsidR="0058268D">
        <w:t xml:space="preserve"> osalta toimintaperusteinen jako on mielekkäämpi ja kohdistuu todennäköisemmin luotettavammin sellaisiin toimijoihin, jotka todellisuudessa lobbaavat</w:t>
      </w:r>
      <w:r>
        <w:t>.</w:t>
      </w:r>
    </w:p>
    <w:p w:rsidR="00FB433A" w:rsidRDefault="0058268D" w:rsidP="00C64DF5">
      <w:r>
        <w:t>Vaikka toimintaperustein</w:t>
      </w:r>
      <w:r w:rsidR="00FB433A">
        <w:t>en malli vaikuttaa käyttökelpoisemmalta</w:t>
      </w:r>
      <w:r>
        <w:t xml:space="preserve"> kuin statusperustainen malli, liittyy siihenkin haasteita määri</w:t>
      </w:r>
      <w:r w:rsidR="00FB433A">
        <w:t>ttelyn yksiselitteisyyden näkökulmasta</w:t>
      </w:r>
      <w:r>
        <w:t>. Haasteet eivät niinkään liity mallin lähtöoletuksiin, vaan varsinais</w:t>
      </w:r>
      <w:r w:rsidR="006444EC">
        <w:t>ii</w:t>
      </w:r>
      <w:r>
        <w:t>n soveltamis</w:t>
      </w:r>
      <w:r w:rsidR="006444EC">
        <w:t>tilanteis</w:t>
      </w:r>
      <w:r>
        <w:t>iin. Toimintaperusteisella mallilla voidaan periaatteellisella tasolla tavoittaa lobbausta tarkemmin</w:t>
      </w:r>
      <w:r w:rsidR="00FB433A">
        <w:t xml:space="preserve"> ja kohdennetummin</w:t>
      </w:r>
      <w:r>
        <w:t xml:space="preserve">, mutta samalla mallissa </w:t>
      </w:r>
      <w:r w:rsidR="004949D7">
        <w:t xml:space="preserve">luotetaan suuresti </w:t>
      </w:r>
      <w:r w:rsidR="00FB433A">
        <w:t>kykyyn määritellä lobbaustoiminta niin yksiselitteisesti ja ymmärrettävästi</w:t>
      </w:r>
      <w:r w:rsidR="006444EC">
        <w:t>,</w:t>
      </w:r>
      <w:r w:rsidR="00FB433A">
        <w:t xml:space="preserve"> että erilaiset lobbaajat tunnistavat siitä itsensä. Mikäli toimijat eivät kykene määritelmän perusteella identifioimaan toimintaansa lobbaamiseksi, syntyy riski sääntelyaukoille, joissa tietynlaiset lobbaajat tosiasiallisesti jäävät määritelmän ulkopuolelle.</w:t>
      </w:r>
    </w:p>
    <w:p w:rsidR="00C64DF5" w:rsidRDefault="00FB433A" w:rsidP="00C64DF5">
      <w:r>
        <w:t>Keskeinen toimijaryhmä, jonka näkökulmasta toimintaperusteinen määritelmä voi tuottaa hankaluuksia, ovat vaikuttajaviestintä- ja asianajotoimistot, jotka edustavat asiakkaitaan antaen näille neuvonantoa ja muuta välillistä tukea. Tällaisen toimijan intressi ei välttämättä ole vaikuttaa, mutta välillisesti he osallistuvat jonkin kolmannen osapuolen tavoitteiden ajamiseen. Mikäli tämänkaltaista epäsuoraa toimintaa ei kyetä määrittelemään osaksi lobbausta, jää sääntelymalliin mahdollinen sääntelyaukko</w:t>
      </w:r>
      <w:r w:rsidR="00580407">
        <w:t xml:space="preserve">. Toisaalta liian lavea määritelmä, jossa </w:t>
      </w:r>
      <w:r w:rsidR="006444EC">
        <w:t xml:space="preserve">lobbaukseksi </w:t>
      </w:r>
      <w:r w:rsidR="0068092E">
        <w:t>katsotaan</w:t>
      </w:r>
      <w:r w:rsidR="006444EC">
        <w:t xml:space="preserve"> </w:t>
      </w:r>
      <w:r w:rsidR="00580407">
        <w:t xml:space="preserve">myös välillinen toiminta laajassa merkityksessä, </w:t>
      </w:r>
      <w:r w:rsidR="006444EC">
        <w:t xml:space="preserve">voi johtaa </w:t>
      </w:r>
      <w:r w:rsidR="0068092E">
        <w:t>tulkinta</w:t>
      </w:r>
      <w:r w:rsidR="00580407">
        <w:t>ongelm</w:t>
      </w:r>
      <w:r w:rsidR="006444EC">
        <w:t>iin</w:t>
      </w:r>
      <w:r w:rsidR="00580407">
        <w:t xml:space="preserve">. </w:t>
      </w:r>
      <w:r w:rsidR="00230F15">
        <w:t>Tällaisessa tilanteessa voi olla tarpeen hyödyntää statusperustaises</w:t>
      </w:r>
      <w:r w:rsidR="00115EFE">
        <w:t>s</w:t>
      </w:r>
      <w:r w:rsidR="00230F15">
        <w:t>a sääntelymallissa olevaa tapaa määritellä lobbaaminen osaksi intressiryhmän ominaisuutta.</w:t>
      </w:r>
    </w:p>
    <w:p w:rsidR="005C58A2" w:rsidRPr="00CC0CFF" w:rsidRDefault="00CC0CFF" w:rsidP="00AF6447">
      <w:pPr>
        <w:spacing w:after="0" w:line="240" w:lineRule="auto"/>
        <w:contextualSpacing/>
        <w:rPr>
          <w:i/>
          <w:u w:val="single"/>
        </w:rPr>
      </w:pPr>
      <w:r w:rsidRPr="00CC0CFF">
        <w:rPr>
          <w:i/>
          <w:u w:val="single"/>
        </w:rPr>
        <w:t>Hybridimalli</w:t>
      </w:r>
    </w:p>
    <w:p w:rsidR="005C58A2" w:rsidRDefault="005C58A2" w:rsidP="00AF6447">
      <w:pPr>
        <w:spacing w:after="0" w:line="240" w:lineRule="auto"/>
        <w:contextualSpacing/>
      </w:pPr>
    </w:p>
    <w:p w:rsidR="0007700C" w:rsidRDefault="00CC0CFF" w:rsidP="00AF6447">
      <w:pPr>
        <w:spacing w:after="0" w:line="240" w:lineRule="auto"/>
        <w:contextualSpacing/>
      </w:pPr>
      <w:r>
        <w:t>Hybridimalli yhdistelee sekä status- että toimintaperusteista mallia.</w:t>
      </w:r>
      <w:r w:rsidR="00580407">
        <w:t xml:space="preserve"> Todellisuudessa</w:t>
      </w:r>
      <w:r>
        <w:t xml:space="preserve"> </w:t>
      </w:r>
      <w:r w:rsidR="00580407">
        <w:t>e</w:t>
      </w:r>
      <w:r w:rsidR="00580407" w:rsidRPr="00580407">
        <w:t>ri maissa tehdyt määrittel</w:t>
      </w:r>
      <w:r w:rsidR="00580407">
        <w:t xml:space="preserve">yt eivät useinkaan ole </w:t>
      </w:r>
      <w:r w:rsidR="00115EFE">
        <w:t xml:space="preserve">puhtaasti </w:t>
      </w:r>
      <w:r w:rsidR="00230F15">
        <w:t>jompaakumpaa sääntelymallia</w:t>
      </w:r>
      <w:r w:rsidR="00580407">
        <w:t>, vaan pikemminkin näistä kahdesta mallista luotuja hybridejä, jotka sisältävät elementtejä kummastakin mall</w:t>
      </w:r>
      <w:r w:rsidR="00580407" w:rsidRPr="00580407">
        <w:t>ista.</w:t>
      </w:r>
      <w:r w:rsidR="00B2635E">
        <w:t xml:space="preserve"> Tämä johtuu yksinkertaisesti siitä, että jokaisessa luotavassa mallissa on tarpeen määritellä yksityiskohtaisesti sekä lobbaaja että lobbaustoiminta. </w:t>
      </w:r>
      <w:r w:rsidR="00230F15">
        <w:t>Jotta luotavaan malliin saadaan riittävä osumatarkkuus (validiteetti) menettämättä määritelmän luotettavuutta (</w:t>
      </w:r>
      <w:r w:rsidR="00230F15" w:rsidRPr="00230F15">
        <w:t>reliabiliteetti</w:t>
      </w:r>
      <w:r w:rsidR="00230F15">
        <w:t>)</w:t>
      </w:r>
      <w:r w:rsidR="0007700C">
        <w:t>, voi olla järkevää yhdistää eri sääntelymallien parhaita puolia.</w:t>
      </w:r>
    </w:p>
    <w:p w:rsidR="00B2635E" w:rsidRDefault="00B2635E" w:rsidP="00AF6447">
      <w:pPr>
        <w:spacing w:after="0" w:line="240" w:lineRule="auto"/>
        <w:contextualSpacing/>
      </w:pPr>
    </w:p>
    <w:p w:rsidR="006D3D29" w:rsidRDefault="00B2635E" w:rsidP="00AF6447">
      <w:pPr>
        <w:spacing w:after="0" w:line="240" w:lineRule="auto"/>
        <w:contextualSpacing/>
      </w:pPr>
      <w:r>
        <w:t xml:space="preserve">Lähtökohdaksi tulee kuitenkin valita jommankumman sääntelymallin kantava ajatus: rekisteröidäänkö lähtökohtaisesti toimintaa vai toimijoita. </w:t>
      </w:r>
      <w:hyperlink r:id="rId8" w:history="1">
        <w:r w:rsidR="0007700C" w:rsidRPr="006D3D29">
          <w:rPr>
            <w:rStyle w:val="Hyperlinkki"/>
          </w:rPr>
          <w:t>Lobbarirekisteri kansainväliset mallit –</w:t>
        </w:r>
        <w:r w:rsidRPr="006D3D29">
          <w:rPr>
            <w:rStyle w:val="Hyperlinkki"/>
          </w:rPr>
          <w:t>selvitys</w:t>
        </w:r>
      </w:hyperlink>
      <w:r>
        <w:t xml:space="preserve"> osoittaa, että moni Suomen kannalta keskeinen järjestelmä ottaa lähtökohdakseen toimintaperusteisen sääntelyn. Tätä voidaan pitää myös Suomen osalta järkevä</w:t>
      </w:r>
      <w:r w:rsidR="00115EFE">
        <w:t>n</w:t>
      </w:r>
      <w:r>
        <w:t>ä linja</w:t>
      </w:r>
      <w:r w:rsidR="00115EFE">
        <w:t>n</w:t>
      </w:r>
      <w:r>
        <w:t xml:space="preserve">a. </w:t>
      </w:r>
    </w:p>
    <w:p w:rsidR="006D3D29" w:rsidRDefault="006D3D29" w:rsidP="00AF6447">
      <w:pPr>
        <w:spacing w:after="0" w:line="240" w:lineRule="auto"/>
        <w:contextualSpacing/>
      </w:pPr>
    </w:p>
    <w:p w:rsidR="0007700C" w:rsidRDefault="006D3D29" w:rsidP="002B1960">
      <w:pPr>
        <w:spacing w:after="0" w:line="240" w:lineRule="auto"/>
        <w:contextualSpacing/>
      </w:pPr>
      <w:r>
        <w:t>Mikäli Suome</w:t>
      </w:r>
      <w:r w:rsidR="00941065">
        <w:t>en</w:t>
      </w:r>
      <w:r>
        <w:t xml:space="preserve"> päädyt</w:t>
      </w:r>
      <w:r w:rsidR="00941065">
        <w:t>ää</w:t>
      </w:r>
      <w:r>
        <w:t>n luomaan hybridijärjestelmä, tu</w:t>
      </w:r>
      <w:r w:rsidR="002B1960">
        <w:t xml:space="preserve">lisi siinä välttää hybridijärjestelmiin </w:t>
      </w:r>
      <w:r w:rsidR="00941065">
        <w:t xml:space="preserve">potentiaalisesti </w:t>
      </w:r>
      <w:r w:rsidR="002B1960">
        <w:t xml:space="preserve">liittyviä </w:t>
      </w:r>
      <w:r>
        <w:t>ongelmia. Keskeinen ongelma</w:t>
      </w:r>
      <w:r w:rsidR="002B1960">
        <w:t xml:space="preserve"> näissä järjestelmissä</w:t>
      </w:r>
      <w:r>
        <w:t xml:space="preserve"> liittyy </w:t>
      </w:r>
      <w:r w:rsidR="00941065">
        <w:t xml:space="preserve">niihin </w:t>
      </w:r>
      <w:r>
        <w:t xml:space="preserve">statusperustaisiin elementteihin, joita </w:t>
      </w:r>
      <w:r w:rsidR="002B1960">
        <w:t>hyödynnet</w:t>
      </w:r>
      <w:r w:rsidR="00941065">
        <w:t>ään</w:t>
      </w:r>
      <w:r w:rsidR="002B1960">
        <w:t xml:space="preserve"> poikkeusten rajaamise</w:t>
      </w:r>
      <w:r w:rsidR="00115EFE">
        <w:t>ssa</w:t>
      </w:r>
      <w:r w:rsidR="002B1960">
        <w:t>. Kuten edellä on todettu, statusperustaisen mallin ongelmat liittyvät juuri tähän rajaamisongelmaan</w:t>
      </w:r>
      <w:r w:rsidR="00004AD3">
        <w:t>,</w:t>
      </w:r>
      <w:r w:rsidR="002B1960">
        <w:t xml:space="preserve"> </w:t>
      </w:r>
      <w:r w:rsidR="00004AD3">
        <w:t xml:space="preserve">eikä ainakaan kokonaisia </w:t>
      </w:r>
      <w:r w:rsidR="002B1960">
        <w:t>intressiryhmi</w:t>
      </w:r>
      <w:r w:rsidR="00004AD3">
        <w:t>ä tulisi statusperusteisesti rajata sääntelyn ulkopuolelle</w:t>
      </w:r>
      <w:r w:rsidR="00115EFE">
        <w:t>.</w:t>
      </w:r>
      <w:r w:rsidR="002B1960">
        <w:t xml:space="preserve"> </w:t>
      </w:r>
      <w:r w:rsidR="00115EFE">
        <w:t>Y</w:t>
      </w:r>
      <w:r w:rsidR="002B1960">
        <w:t>ksittäisiin toimijoihin voi toki olla järkevää soveltaa tämänkaltaista rajaamista. Itäval</w:t>
      </w:r>
      <w:r w:rsidR="00004AD3">
        <w:t>lan</w:t>
      </w:r>
      <w:r w:rsidR="002B1960">
        <w:t xml:space="preserve"> ja Iso</w:t>
      </w:r>
      <w:r w:rsidR="00004AD3">
        <w:t>n</w:t>
      </w:r>
      <w:r w:rsidR="002B1960">
        <w:t>-Britannia</w:t>
      </w:r>
      <w:r w:rsidR="00004AD3">
        <w:t>n</w:t>
      </w:r>
      <w:r w:rsidR="002B1960">
        <w:t xml:space="preserve"> sääntelyyn kuuluu elementtejä statusperusteisesta sääntelystä. Itävallassa statusperusteinen lähestymistapa korostuu lakiin jätetyissä poikkeuksissa, kun taas </w:t>
      </w:r>
      <w:r w:rsidR="002B1960">
        <w:lastRenderedPageBreak/>
        <w:t>Isossa-Britanniassa sääntely kohdistuu ainoastaan konsulttilobbareihin, jotka toimivat kolmannen puolesta. Kummassakin tapauksessa statusperustaisesta sääntelystä otetut elementit ovat aiheuttaneet merkittäviä ongelmia luodun järjestelmän luotettavuuteen.</w:t>
      </w:r>
    </w:p>
    <w:p w:rsidR="009E5C7D" w:rsidRDefault="009E5C7D" w:rsidP="002B1960">
      <w:pPr>
        <w:spacing w:after="0" w:line="240" w:lineRule="auto"/>
        <w:contextualSpacing/>
      </w:pPr>
    </w:p>
    <w:p w:rsidR="002B1960" w:rsidRDefault="002B1960" w:rsidP="00AF6447">
      <w:pPr>
        <w:spacing w:after="0" w:line="240" w:lineRule="auto"/>
        <w:contextualSpacing/>
      </w:pPr>
    </w:p>
    <w:tbl>
      <w:tblPr>
        <w:tblStyle w:val="TaulukkoRuudukko"/>
        <w:tblW w:w="10028" w:type="dxa"/>
        <w:tblLook w:val="04A0" w:firstRow="1" w:lastRow="0" w:firstColumn="1" w:lastColumn="0" w:noHBand="0" w:noVBand="1"/>
      </w:tblPr>
      <w:tblGrid>
        <w:gridCol w:w="10028"/>
      </w:tblGrid>
      <w:tr w:rsidR="002B1960" w:rsidTr="00623B85">
        <w:trPr>
          <w:trHeight w:val="1125"/>
        </w:trPr>
        <w:tc>
          <w:tcPr>
            <w:tcW w:w="10028" w:type="dxa"/>
          </w:tcPr>
          <w:p w:rsidR="002B1960" w:rsidRDefault="002B1960" w:rsidP="00623B85">
            <w:r>
              <w:rPr>
                <w:b/>
              </w:rPr>
              <w:t>Yhteenveto</w:t>
            </w:r>
          </w:p>
          <w:p w:rsidR="002B1960" w:rsidRDefault="002B1960" w:rsidP="00623B85"/>
          <w:p w:rsidR="00D7161F" w:rsidRDefault="003C3182" w:rsidP="002B1960">
            <w:r w:rsidRPr="003C3182">
              <w:t xml:space="preserve">Suomalaisen järjestelmän näkökulmasta on </w:t>
            </w:r>
            <w:r w:rsidR="00E16F49">
              <w:t xml:space="preserve">melko </w:t>
            </w:r>
            <w:r w:rsidRPr="003C3182">
              <w:t xml:space="preserve">selvää, että toimintaperusteinen sääntelymalli tuottaa </w:t>
            </w:r>
            <w:r>
              <w:t xml:space="preserve">avoimuusrekisterihankkeelle asetettuihin </w:t>
            </w:r>
            <w:r w:rsidRPr="003C3182">
              <w:t>tavoitteisiin</w:t>
            </w:r>
            <w:r w:rsidR="00D7161F">
              <w:t xml:space="preserve"> </w:t>
            </w:r>
            <w:r w:rsidRPr="003C3182">
              <w:t>nähden paremman lopputuloksen. Perusteluna on se, että toim</w:t>
            </w:r>
            <w:r>
              <w:t>intaperusteisen sääntelyn avulla on mahdollista luoda Suomen kaltaisessa järjestelmässä, jossa toimijakenttä on moninainen ja laaja, kattavampi ja osumatarkkuudeltaan parempi sääntelymalli</w:t>
            </w:r>
            <w:r w:rsidR="00D7161F">
              <w:t xml:space="preserve"> kuin statusperustaisesta mallista käsin</w:t>
            </w:r>
            <w:r>
              <w:t>.</w:t>
            </w:r>
            <w:r w:rsidR="00D7161F">
              <w:t xml:space="preserve"> Tätä lähtökohtaa tuke</w:t>
            </w:r>
            <w:r w:rsidR="00004AD3">
              <w:t>vat</w:t>
            </w:r>
            <w:r w:rsidR="00D7161F">
              <w:t xml:space="preserve"> myös kansainväliset esimerkit, joissa parhaiten toimivat järjestelmät ovat toimintaperusteisia.</w:t>
            </w:r>
          </w:p>
          <w:p w:rsidR="00D7161F" w:rsidRDefault="00D7161F" w:rsidP="002B1960"/>
          <w:p w:rsidR="002B1960" w:rsidRDefault="003C3182" w:rsidP="002B1960">
            <w:r>
              <w:t>Mallia voi olla</w:t>
            </w:r>
            <w:r w:rsidR="00D7161F">
              <w:t xml:space="preserve"> kuitenkin</w:t>
            </w:r>
            <w:r>
              <w:t xml:space="preserve"> järkevää täydentää statuspe</w:t>
            </w:r>
            <w:r w:rsidR="00E16F49">
              <w:t>rustaisen sääntelyn elementeillä</w:t>
            </w:r>
            <w:r>
              <w:t>, mikäli jotkin toimijat uhkaavat jäädä määrittelyssä ”väärälle” puolelle.</w:t>
            </w:r>
            <w:r w:rsidR="00163A45">
              <w:t xml:space="preserve"> </w:t>
            </w:r>
            <w:r w:rsidR="00E16F49">
              <w:t>Täll</w:t>
            </w:r>
            <w:r w:rsidR="00B9070D">
              <w:t xml:space="preserve">aisen täydennyksen </w:t>
            </w:r>
            <w:r w:rsidR="00E16F49">
              <w:t>vaikutuksia</w:t>
            </w:r>
            <w:r w:rsidR="00B9070D">
              <w:t xml:space="preserve"> on harkittava tarkkaan</w:t>
            </w:r>
            <w:r w:rsidR="00E16F49">
              <w:t>, jotta vältytään Iso</w:t>
            </w:r>
            <w:r w:rsidR="00B9070D">
              <w:t>n</w:t>
            </w:r>
            <w:r w:rsidR="00E16F49">
              <w:t xml:space="preserve">-Britannian ja Itävallan </w:t>
            </w:r>
            <w:r w:rsidR="00B9070D">
              <w:t xml:space="preserve">järjestelmiä vaivaavilta </w:t>
            </w:r>
            <w:r w:rsidR="00F603F0">
              <w:t>ongelmilta</w:t>
            </w:r>
            <w:r w:rsidR="00D7161F">
              <w:t>, jotka vähentävät merkittävällä tavalla toteutetun sääntelyn luotettavuutta ja pahimmassa tapauksessa rapauttavat sen uskottavuuden</w:t>
            </w:r>
            <w:r w:rsidR="00E16F49">
              <w:t>.</w:t>
            </w:r>
          </w:p>
          <w:p w:rsidR="002B1960" w:rsidRDefault="002B1960" w:rsidP="00623B85"/>
          <w:p w:rsidR="002B1960" w:rsidRDefault="002B1960" w:rsidP="00623B85">
            <w:r>
              <w:t>Kysymyksiä työryhmälle:</w:t>
            </w:r>
          </w:p>
          <w:p w:rsidR="00E12748" w:rsidRDefault="00E12748" w:rsidP="00623B85">
            <w:pPr>
              <w:contextualSpacing/>
            </w:pPr>
          </w:p>
          <w:p w:rsidR="00125A6C" w:rsidRDefault="00125A6C" w:rsidP="00125A6C">
            <w:pPr>
              <w:numPr>
                <w:ilvl w:val="0"/>
                <w:numId w:val="34"/>
              </w:numPr>
              <w:contextualSpacing/>
            </w:pPr>
            <w:r>
              <w:t>Miten kattava mallista tulisi tehdä, jotta se olisi riittävän tarkka</w:t>
            </w:r>
            <w:r w:rsidR="001315D9">
              <w:t xml:space="preserve"> ja yksiselitteinen</w:t>
            </w:r>
            <w:r>
              <w:t>, mutta samalla myös luotettava?</w:t>
            </w:r>
          </w:p>
          <w:p w:rsidR="00125A6C" w:rsidRDefault="00163A45" w:rsidP="00163A45">
            <w:pPr>
              <w:numPr>
                <w:ilvl w:val="0"/>
                <w:numId w:val="34"/>
              </w:numPr>
              <w:contextualSpacing/>
            </w:pPr>
            <w:r>
              <w:t xml:space="preserve">Tulisiko toimintaperustaista sääntelymallia täydentää statusperustaisilla elementeillä? Jos kyllä, niin missä tapauksessa ja millä tavalla? </w:t>
            </w:r>
            <w:r w:rsidR="00125A6C">
              <w:t>Void</w:t>
            </w:r>
            <w:r>
              <w:t xml:space="preserve">aanko </w:t>
            </w:r>
            <w:r w:rsidR="00125A6C">
              <w:t xml:space="preserve">statusperusteisia elementtejä </w:t>
            </w:r>
            <w:r>
              <w:t>hyödyntää myös yksittäisten intressien sisällyttämiseksi osaksi määrittyä, ja onko tästä kv-esimerkkejä</w:t>
            </w:r>
            <w:r w:rsidR="00125A6C">
              <w:t>?</w:t>
            </w:r>
          </w:p>
          <w:p w:rsidR="00163A45" w:rsidRDefault="00163A45" w:rsidP="00163A45">
            <w:pPr>
              <w:ind w:left="720"/>
              <w:contextualSpacing/>
            </w:pPr>
          </w:p>
        </w:tc>
      </w:tr>
    </w:tbl>
    <w:p w:rsidR="00CC0CFF" w:rsidRDefault="00CC0CFF" w:rsidP="00AF6447">
      <w:pPr>
        <w:spacing w:after="0" w:line="240" w:lineRule="auto"/>
        <w:contextualSpacing/>
      </w:pPr>
    </w:p>
    <w:p w:rsidR="00C51E99" w:rsidRDefault="00C51E99"/>
    <w:p w:rsidR="00C51E99" w:rsidRDefault="00C51E99" w:rsidP="00C51E99"/>
    <w:p w:rsidR="00F154D4" w:rsidRPr="00C51E99" w:rsidRDefault="00F154D4" w:rsidP="00C51E99">
      <w:pPr>
        <w:jc w:val="center"/>
      </w:pPr>
    </w:p>
    <w:sectPr w:rsidR="00F154D4" w:rsidRPr="00C51E9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65" w:rsidRDefault="002A0865" w:rsidP="001C04E0">
      <w:pPr>
        <w:spacing w:after="0" w:line="240" w:lineRule="auto"/>
      </w:pPr>
      <w:r>
        <w:separator/>
      </w:r>
    </w:p>
  </w:endnote>
  <w:endnote w:type="continuationSeparator" w:id="0">
    <w:p w:rsidR="002A0865" w:rsidRDefault="002A0865" w:rsidP="001C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65" w:rsidRDefault="002A0865" w:rsidP="001C04E0">
      <w:pPr>
        <w:spacing w:after="0" w:line="240" w:lineRule="auto"/>
      </w:pPr>
      <w:r>
        <w:separator/>
      </w:r>
    </w:p>
  </w:footnote>
  <w:footnote w:type="continuationSeparator" w:id="0">
    <w:p w:rsidR="002A0865" w:rsidRDefault="002A0865" w:rsidP="001C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B4B"/>
    <w:multiLevelType w:val="hybridMultilevel"/>
    <w:tmpl w:val="30A6DF5E"/>
    <w:lvl w:ilvl="0" w:tplc="040B0015">
      <w:start w:val="1"/>
      <w:numFmt w:val="upperLetter"/>
      <w:lvlText w:val="%1."/>
      <w:lvlJc w:val="left"/>
      <w:pPr>
        <w:ind w:left="360" w:hanging="360"/>
      </w:pPr>
    </w:lvl>
    <w:lvl w:ilvl="1" w:tplc="040B0003">
      <w:start w:val="1"/>
      <w:numFmt w:val="bullet"/>
      <w:lvlText w:val="o"/>
      <w:lvlJc w:val="left"/>
      <w:pPr>
        <w:ind w:left="1080" w:hanging="360"/>
      </w:pPr>
      <w:rPr>
        <w:rFonts w:ascii="Courier New" w:hAnsi="Courier New" w:cs="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C6F2EAF"/>
    <w:multiLevelType w:val="hybridMultilevel"/>
    <w:tmpl w:val="35C2B5D8"/>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9D230F"/>
    <w:multiLevelType w:val="hybridMultilevel"/>
    <w:tmpl w:val="5A3E983A"/>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2A447A"/>
    <w:multiLevelType w:val="hybridMultilevel"/>
    <w:tmpl w:val="60761D1C"/>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D505AC7"/>
    <w:multiLevelType w:val="hybridMultilevel"/>
    <w:tmpl w:val="B172D56A"/>
    <w:lvl w:ilvl="0" w:tplc="040B0015">
      <w:start w:val="1"/>
      <w:numFmt w:val="upp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20E580C"/>
    <w:multiLevelType w:val="hybridMultilevel"/>
    <w:tmpl w:val="B33ECC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4A00A3"/>
    <w:multiLevelType w:val="hybridMultilevel"/>
    <w:tmpl w:val="3FB434FA"/>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18411E6F"/>
    <w:multiLevelType w:val="hybridMultilevel"/>
    <w:tmpl w:val="6706CAA8"/>
    <w:lvl w:ilvl="0" w:tplc="040B0015">
      <w:start w:val="1"/>
      <w:numFmt w:val="upp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A9A46B5"/>
    <w:multiLevelType w:val="hybridMultilevel"/>
    <w:tmpl w:val="C2C80386"/>
    <w:lvl w:ilvl="0" w:tplc="040B0015">
      <w:start w:val="1"/>
      <w:numFmt w:val="upperLetter"/>
      <w:lvlText w:val="%1."/>
      <w:lvlJc w:val="left"/>
      <w:pPr>
        <w:ind w:left="360" w:hanging="360"/>
      </w:pPr>
    </w:lvl>
    <w:lvl w:ilvl="1" w:tplc="040B0003">
      <w:start w:val="1"/>
      <w:numFmt w:val="bullet"/>
      <w:lvlText w:val="o"/>
      <w:lvlJc w:val="left"/>
      <w:pPr>
        <w:ind w:left="1080" w:hanging="360"/>
      </w:pPr>
      <w:rPr>
        <w:rFonts w:ascii="Courier New" w:hAnsi="Courier New" w:cs="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B3B62A3"/>
    <w:multiLevelType w:val="hybridMultilevel"/>
    <w:tmpl w:val="81BA62FA"/>
    <w:lvl w:ilvl="0" w:tplc="040B0015">
      <w:start w:val="1"/>
      <w:numFmt w:val="upperLetter"/>
      <w:lvlText w:val="%1."/>
      <w:lvlJc w:val="left"/>
      <w:pPr>
        <w:ind w:left="-3552" w:hanging="360"/>
      </w:pPr>
    </w:lvl>
    <w:lvl w:ilvl="1" w:tplc="040B0019" w:tentative="1">
      <w:start w:val="1"/>
      <w:numFmt w:val="lowerLetter"/>
      <w:lvlText w:val="%2."/>
      <w:lvlJc w:val="left"/>
      <w:pPr>
        <w:ind w:left="-2832" w:hanging="360"/>
      </w:pPr>
    </w:lvl>
    <w:lvl w:ilvl="2" w:tplc="040B001B" w:tentative="1">
      <w:start w:val="1"/>
      <w:numFmt w:val="lowerRoman"/>
      <w:lvlText w:val="%3."/>
      <w:lvlJc w:val="right"/>
      <w:pPr>
        <w:ind w:left="-2112" w:hanging="180"/>
      </w:pPr>
    </w:lvl>
    <w:lvl w:ilvl="3" w:tplc="040B000F" w:tentative="1">
      <w:start w:val="1"/>
      <w:numFmt w:val="decimal"/>
      <w:lvlText w:val="%4."/>
      <w:lvlJc w:val="left"/>
      <w:pPr>
        <w:ind w:left="-1392" w:hanging="360"/>
      </w:pPr>
    </w:lvl>
    <w:lvl w:ilvl="4" w:tplc="040B0019" w:tentative="1">
      <w:start w:val="1"/>
      <w:numFmt w:val="lowerLetter"/>
      <w:lvlText w:val="%5."/>
      <w:lvlJc w:val="left"/>
      <w:pPr>
        <w:ind w:left="-672" w:hanging="360"/>
      </w:pPr>
    </w:lvl>
    <w:lvl w:ilvl="5" w:tplc="040B001B" w:tentative="1">
      <w:start w:val="1"/>
      <w:numFmt w:val="lowerRoman"/>
      <w:lvlText w:val="%6."/>
      <w:lvlJc w:val="right"/>
      <w:pPr>
        <w:ind w:left="48" w:hanging="180"/>
      </w:pPr>
    </w:lvl>
    <w:lvl w:ilvl="6" w:tplc="040B000F" w:tentative="1">
      <w:start w:val="1"/>
      <w:numFmt w:val="decimal"/>
      <w:lvlText w:val="%7."/>
      <w:lvlJc w:val="left"/>
      <w:pPr>
        <w:ind w:left="768" w:hanging="360"/>
      </w:pPr>
    </w:lvl>
    <w:lvl w:ilvl="7" w:tplc="040B0019" w:tentative="1">
      <w:start w:val="1"/>
      <w:numFmt w:val="lowerLetter"/>
      <w:lvlText w:val="%8."/>
      <w:lvlJc w:val="left"/>
      <w:pPr>
        <w:ind w:left="1488" w:hanging="360"/>
      </w:pPr>
    </w:lvl>
    <w:lvl w:ilvl="8" w:tplc="040B001B" w:tentative="1">
      <w:start w:val="1"/>
      <w:numFmt w:val="lowerRoman"/>
      <w:lvlText w:val="%9."/>
      <w:lvlJc w:val="right"/>
      <w:pPr>
        <w:ind w:left="2208" w:hanging="180"/>
      </w:pPr>
    </w:lvl>
  </w:abstractNum>
  <w:abstractNum w:abstractNumId="10" w15:restartNumberingAfterBreak="0">
    <w:nsid w:val="1C577D4D"/>
    <w:multiLevelType w:val="hybridMultilevel"/>
    <w:tmpl w:val="716EF23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972CFE"/>
    <w:multiLevelType w:val="hybridMultilevel"/>
    <w:tmpl w:val="49689452"/>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1ED2FBE"/>
    <w:multiLevelType w:val="hybridMultilevel"/>
    <w:tmpl w:val="7140126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0F0C21"/>
    <w:multiLevelType w:val="hybridMultilevel"/>
    <w:tmpl w:val="20688300"/>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4284BCE"/>
    <w:multiLevelType w:val="hybridMultilevel"/>
    <w:tmpl w:val="D190FEEC"/>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24F0543B"/>
    <w:multiLevelType w:val="hybridMultilevel"/>
    <w:tmpl w:val="5D805AAC"/>
    <w:lvl w:ilvl="0" w:tplc="040B0015">
      <w:start w:val="1"/>
      <w:numFmt w:val="upp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29001288"/>
    <w:multiLevelType w:val="hybridMultilevel"/>
    <w:tmpl w:val="46687DD2"/>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342400F0"/>
    <w:multiLevelType w:val="hybridMultilevel"/>
    <w:tmpl w:val="6958F27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65E7D54"/>
    <w:multiLevelType w:val="hybridMultilevel"/>
    <w:tmpl w:val="82B8434A"/>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AB8599C"/>
    <w:multiLevelType w:val="hybridMultilevel"/>
    <w:tmpl w:val="2FCAD56C"/>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3AF45987"/>
    <w:multiLevelType w:val="hybridMultilevel"/>
    <w:tmpl w:val="9EB401F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9C13ABC"/>
    <w:multiLevelType w:val="hybridMultilevel"/>
    <w:tmpl w:val="E584745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9D70631"/>
    <w:multiLevelType w:val="hybridMultilevel"/>
    <w:tmpl w:val="D2E2B4C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AA31E95"/>
    <w:multiLevelType w:val="hybridMultilevel"/>
    <w:tmpl w:val="00368B3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8970A7"/>
    <w:multiLevelType w:val="hybridMultilevel"/>
    <w:tmpl w:val="35E2AF3C"/>
    <w:lvl w:ilvl="0" w:tplc="040B0015">
      <w:start w:val="1"/>
      <w:numFmt w:val="upperLetter"/>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5DE31704"/>
    <w:multiLevelType w:val="hybridMultilevel"/>
    <w:tmpl w:val="5FC6844E"/>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64F609FF"/>
    <w:multiLevelType w:val="hybridMultilevel"/>
    <w:tmpl w:val="65C00D1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70A484E"/>
    <w:multiLevelType w:val="hybridMultilevel"/>
    <w:tmpl w:val="FD263664"/>
    <w:lvl w:ilvl="0" w:tplc="040B0015">
      <w:start w:val="1"/>
      <w:numFmt w:val="upperLetter"/>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67D94617"/>
    <w:multiLevelType w:val="hybridMultilevel"/>
    <w:tmpl w:val="F5A68A4A"/>
    <w:lvl w:ilvl="0" w:tplc="040B0015">
      <w:start w:val="1"/>
      <w:numFmt w:val="upperLetter"/>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6AD37D9E"/>
    <w:multiLevelType w:val="hybridMultilevel"/>
    <w:tmpl w:val="C27A4686"/>
    <w:lvl w:ilvl="0" w:tplc="040B0015">
      <w:start w:val="1"/>
      <w:numFmt w:val="upperLetter"/>
      <w:lvlText w:val="%1."/>
      <w:lvlJc w:val="left"/>
      <w:pPr>
        <w:ind w:left="360" w:hanging="360"/>
      </w:pPr>
    </w:lvl>
    <w:lvl w:ilvl="1" w:tplc="040B0003">
      <w:start w:val="1"/>
      <w:numFmt w:val="bullet"/>
      <w:lvlText w:val="o"/>
      <w:lvlJc w:val="left"/>
      <w:pPr>
        <w:ind w:left="1080" w:hanging="360"/>
      </w:pPr>
      <w:rPr>
        <w:rFonts w:ascii="Courier New" w:hAnsi="Courier New" w:cs="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6C0D064B"/>
    <w:multiLevelType w:val="hybridMultilevel"/>
    <w:tmpl w:val="537E98D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4905E6"/>
    <w:multiLevelType w:val="hybridMultilevel"/>
    <w:tmpl w:val="26DE9732"/>
    <w:lvl w:ilvl="0" w:tplc="040B0015">
      <w:start w:val="1"/>
      <w:numFmt w:val="upperLetter"/>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70DA2485"/>
    <w:multiLevelType w:val="hybridMultilevel"/>
    <w:tmpl w:val="83D887D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4756AB4"/>
    <w:multiLevelType w:val="hybridMultilevel"/>
    <w:tmpl w:val="A6127A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4B04852"/>
    <w:multiLevelType w:val="hybridMultilevel"/>
    <w:tmpl w:val="6158D29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692072A"/>
    <w:multiLevelType w:val="hybridMultilevel"/>
    <w:tmpl w:val="2550EF32"/>
    <w:lvl w:ilvl="0" w:tplc="040B0015">
      <w:start w:val="1"/>
      <w:numFmt w:val="upperLetter"/>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6" w15:restartNumberingAfterBreak="0">
    <w:nsid w:val="7BB80C89"/>
    <w:multiLevelType w:val="hybridMultilevel"/>
    <w:tmpl w:val="6A92D9F8"/>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2"/>
  </w:num>
  <w:num w:numId="2">
    <w:abstractNumId w:val="5"/>
  </w:num>
  <w:num w:numId="3">
    <w:abstractNumId w:val="12"/>
  </w:num>
  <w:num w:numId="4">
    <w:abstractNumId w:val="28"/>
  </w:num>
  <w:num w:numId="5">
    <w:abstractNumId w:val="4"/>
  </w:num>
  <w:num w:numId="6">
    <w:abstractNumId w:val="15"/>
  </w:num>
  <w:num w:numId="7">
    <w:abstractNumId w:val="29"/>
  </w:num>
  <w:num w:numId="8">
    <w:abstractNumId w:val="35"/>
  </w:num>
  <w:num w:numId="9">
    <w:abstractNumId w:val="0"/>
  </w:num>
  <w:num w:numId="10">
    <w:abstractNumId w:val="7"/>
  </w:num>
  <w:num w:numId="11">
    <w:abstractNumId w:val="8"/>
  </w:num>
  <w:num w:numId="12">
    <w:abstractNumId w:val="27"/>
  </w:num>
  <w:num w:numId="13">
    <w:abstractNumId w:val="24"/>
  </w:num>
  <w:num w:numId="14">
    <w:abstractNumId w:val="2"/>
  </w:num>
  <w:num w:numId="15">
    <w:abstractNumId w:val="11"/>
  </w:num>
  <w:num w:numId="16">
    <w:abstractNumId w:val="31"/>
  </w:num>
  <w:num w:numId="17">
    <w:abstractNumId w:val="19"/>
  </w:num>
  <w:num w:numId="18">
    <w:abstractNumId w:val="25"/>
  </w:num>
  <w:num w:numId="19">
    <w:abstractNumId w:val="14"/>
  </w:num>
  <w:num w:numId="20">
    <w:abstractNumId w:val="6"/>
  </w:num>
  <w:num w:numId="21">
    <w:abstractNumId w:val="3"/>
  </w:num>
  <w:num w:numId="22">
    <w:abstractNumId w:val="21"/>
  </w:num>
  <w:num w:numId="23">
    <w:abstractNumId w:val="23"/>
  </w:num>
  <w:num w:numId="24">
    <w:abstractNumId w:val="9"/>
  </w:num>
  <w:num w:numId="25">
    <w:abstractNumId w:val="18"/>
  </w:num>
  <w:num w:numId="26">
    <w:abstractNumId w:val="16"/>
  </w:num>
  <w:num w:numId="27">
    <w:abstractNumId w:val="36"/>
  </w:num>
  <w:num w:numId="28">
    <w:abstractNumId w:val="13"/>
  </w:num>
  <w:num w:numId="29">
    <w:abstractNumId w:val="1"/>
  </w:num>
  <w:num w:numId="30">
    <w:abstractNumId w:val="20"/>
  </w:num>
  <w:num w:numId="31">
    <w:abstractNumId w:val="34"/>
  </w:num>
  <w:num w:numId="32">
    <w:abstractNumId w:val="32"/>
  </w:num>
  <w:num w:numId="33">
    <w:abstractNumId w:val="26"/>
  </w:num>
  <w:num w:numId="34">
    <w:abstractNumId w:val="17"/>
  </w:num>
  <w:num w:numId="35">
    <w:abstractNumId w:val="33"/>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B3"/>
    <w:rsid w:val="00004418"/>
    <w:rsid w:val="00004AD3"/>
    <w:rsid w:val="000104DC"/>
    <w:rsid w:val="0001755E"/>
    <w:rsid w:val="00017F5C"/>
    <w:rsid w:val="000209B0"/>
    <w:rsid w:val="00025C12"/>
    <w:rsid w:val="0004052E"/>
    <w:rsid w:val="000661D7"/>
    <w:rsid w:val="0007700C"/>
    <w:rsid w:val="000839B0"/>
    <w:rsid w:val="00083CB9"/>
    <w:rsid w:val="00090DA3"/>
    <w:rsid w:val="000A1E93"/>
    <w:rsid w:val="000D10AA"/>
    <w:rsid w:val="00115EFE"/>
    <w:rsid w:val="001241FA"/>
    <w:rsid w:val="00125A6C"/>
    <w:rsid w:val="00131196"/>
    <w:rsid w:val="001315D9"/>
    <w:rsid w:val="001334EB"/>
    <w:rsid w:val="00163A45"/>
    <w:rsid w:val="00184E17"/>
    <w:rsid w:val="001C04E0"/>
    <w:rsid w:val="001C48EB"/>
    <w:rsid w:val="001D02F9"/>
    <w:rsid w:val="001D09A0"/>
    <w:rsid w:val="001E3D9A"/>
    <w:rsid w:val="001F2B38"/>
    <w:rsid w:val="002130E8"/>
    <w:rsid w:val="00221C53"/>
    <w:rsid w:val="00230F15"/>
    <w:rsid w:val="002351C1"/>
    <w:rsid w:val="002439BB"/>
    <w:rsid w:val="00262092"/>
    <w:rsid w:val="002848A2"/>
    <w:rsid w:val="002A0865"/>
    <w:rsid w:val="002A7A9A"/>
    <w:rsid w:val="002B1960"/>
    <w:rsid w:val="002B2187"/>
    <w:rsid w:val="002F2141"/>
    <w:rsid w:val="00317665"/>
    <w:rsid w:val="003225D2"/>
    <w:rsid w:val="00326FD7"/>
    <w:rsid w:val="00353CA5"/>
    <w:rsid w:val="0036027A"/>
    <w:rsid w:val="00360B3F"/>
    <w:rsid w:val="003704B7"/>
    <w:rsid w:val="003747C4"/>
    <w:rsid w:val="0039692D"/>
    <w:rsid w:val="003A59B5"/>
    <w:rsid w:val="003B6EBC"/>
    <w:rsid w:val="003C3182"/>
    <w:rsid w:val="003C6FA4"/>
    <w:rsid w:val="003C732C"/>
    <w:rsid w:val="003E3E7A"/>
    <w:rsid w:val="003E3EFF"/>
    <w:rsid w:val="003F42EB"/>
    <w:rsid w:val="00405206"/>
    <w:rsid w:val="0041662A"/>
    <w:rsid w:val="00422ABE"/>
    <w:rsid w:val="004240D6"/>
    <w:rsid w:val="004244E3"/>
    <w:rsid w:val="00432A35"/>
    <w:rsid w:val="00454FD3"/>
    <w:rsid w:val="0046010D"/>
    <w:rsid w:val="00475CCF"/>
    <w:rsid w:val="0047704F"/>
    <w:rsid w:val="00477AEC"/>
    <w:rsid w:val="0048111F"/>
    <w:rsid w:val="004821EB"/>
    <w:rsid w:val="004949D7"/>
    <w:rsid w:val="004D4BEB"/>
    <w:rsid w:val="004D7C8A"/>
    <w:rsid w:val="004F2561"/>
    <w:rsid w:val="005043F5"/>
    <w:rsid w:val="005340F8"/>
    <w:rsid w:val="00554750"/>
    <w:rsid w:val="00554F3E"/>
    <w:rsid w:val="00556E55"/>
    <w:rsid w:val="005607F5"/>
    <w:rsid w:val="00561C3D"/>
    <w:rsid w:val="00573B04"/>
    <w:rsid w:val="00574B98"/>
    <w:rsid w:val="00577D61"/>
    <w:rsid w:val="00580407"/>
    <w:rsid w:val="0058268D"/>
    <w:rsid w:val="0058621B"/>
    <w:rsid w:val="005917EF"/>
    <w:rsid w:val="0059370E"/>
    <w:rsid w:val="00593F33"/>
    <w:rsid w:val="005A56FF"/>
    <w:rsid w:val="005A5822"/>
    <w:rsid w:val="005B65D0"/>
    <w:rsid w:val="005C5402"/>
    <w:rsid w:val="005C58A2"/>
    <w:rsid w:val="005D2A05"/>
    <w:rsid w:val="005E1325"/>
    <w:rsid w:val="005E676A"/>
    <w:rsid w:val="005F3506"/>
    <w:rsid w:val="005F3774"/>
    <w:rsid w:val="0061227C"/>
    <w:rsid w:val="0061376C"/>
    <w:rsid w:val="00627767"/>
    <w:rsid w:val="006409FB"/>
    <w:rsid w:val="006444EC"/>
    <w:rsid w:val="00651490"/>
    <w:rsid w:val="00654F59"/>
    <w:rsid w:val="0068092E"/>
    <w:rsid w:val="00680A34"/>
    <w:rsid w:val="00681C2A"/>
    <w:rsid w:val="006A3A9B"/>
    <w:rsid w:val="006A50CE"/>
    <w:rsid w:val="006B55F0"/>
    <w:rsid w:val="006D2DAF"/>
    <w:rsid w:val="006D3D29"/>
    <w:rsid w:val="006D73DF"/>
    <w:rsid w:val="007151B4"/>
    <w:rsid w:val="0071736C"/>
    <w:rsid w:val="00734DC3"/>
    <w:rsid w:val="00740B10"/>
    <w:rsid w:val="0074271E"/>
    <w:rsid w:val="007565BD"/>
    <w:rsid w:val="0076756C"/>
    <w:rsid w:val="007A1BEE"/>
    <w:rsid w:val="007A6D04"/>
    <w:rsid w:val="007B7262"/>
    <w:rsid w:val="007C0CB7"/>
    <w:rsid w:val="007C1CFD"/>
    <w:rsid w:val="007C1E51"/>
    <w:rsid w:val="007D03FB"/>
    <w:rsid w:val="00810A80"/>
    <w:rsid w:val="00814A7A"/>
    <w:rsid w:val="00826DBC"/>
    <w:rsid w:val="00854865"/>
    <w:rsid w:val="00874CF5"/>
    <w:rsid w:val="00886A1E"/>
    <w:rsid w:val="008A3389"/>
    <w:rsid w:val="008A666E"/>
    <w:rsid w:val="008D2505"/>
    <w:rsid w:val="008F11FB"/>
    <w:rsid w:val="00907917"/>
    <w:rsid w:val="00927FD6"/>
    <w:rsid w:val="00931777"/>
    <w:rsid w:val="00941065"/>
    <w:rsid w:val="009412B2"/>
    <w:rsid w:val="00965354"/>
    <w:rsid w:val="0096785C"/>
    <w:rsid w:val="00990D92"/>
    <w:rsid w:val="00994971"/>
    <w:rsid w:val="00996DA6"/>
    <w:rsid w:val="009A0501"/>
    <w:rsid w:val="009C4AB6"/>
    <w:rsid w:val="009D414A"/>
    <w:rsid w:val="009E5C7D"/>
    <w:rsid w:val="009E63CD"/>
    <w:rsid w:val="009E7866"/>
    <w:rsid w:val="00A415A5"/>
    <w:rsid w:val="00A45CC7"/>
    <w:rsid w:val="00A51B5A"/>
    <w:rsid w:val="00A56419"/>
    <w:rsid w:val="00A734D7"/>
    <w:rsid w:val="00A83CC9"/>
    <w:rsid w:val="00AC2704"/>
    <w:rsid w:val="00AC5FA1"/>
    <w:rsid w:val="00AE3983"/>
    <w:rsid w:val="00AE7AD9"/>
    <w:rsid w:val="00AF6447"/>
    <w:rsid w:val="00B2635E"/>
    <w:rsid w:val="00B31963"/>
    <w:rsid w:val="00B425DD"/>
    <w:rsid w:val="00B722CD"/>
    <w:rsid w:val="00B84BAB"/>
    <w:rsid w:val="00B9070D"/>
    <w:rsid w:val="00BC3EAE"/>
    <w:rsid w:val="00BC3F3F"/>
    <w:rsid w:val="00BD28B5"/>
    <w:rsid w:val="00BD5D75"/>
    <w:rsid w:val="00BD6BF6"/>
    <w:rsid w:val="00BE0F8D"/>
    <w:rsid w:val="00BF60CC"/>
    <w:rsid w:val="00C03295"/>
    <w:rsid w:val="00C1226C"/>
    <w:rsid w:val="00C20F21"/>
    <w:rsid w:val="00C31874"/>
    <w:rsid w:val="00C364A8"/>
    <w:rsid w:val="00C47B81"/>
    <w:rsid w:val="00C51E99"/>
    <w:rsid w:val="00C5523B"/>
    <w:rsid w:val="00C63DAA"/>
    <w:rsid w:val="00C64DF5"/>
    <w:rsid w:val="00C651BA"/>
    <w:rsid w:val="00CC0CFF"/>
    <w:rsid w:val="00CD4EC9"/>
    <w:rsid w:val="00CE6B1E"/>
    <w:rsid w:val="00CF0C13"/>
    <w:rsid w:val="00CF5F38"/>
    <w:rsid w:val="00CF7506"/>
    <w:rsid w:val="00D119F4"/>
    <w:rsid w:val="00D1436F"/>
    <w:rsid w:val="00D32043"/>
    <w:rsid w:val="00D35CE8"/>
    <w:rsid w:val="00D46770"/>
    <w:rsid w:val="00D629B9"/>
    <w:rsid w:val="00D7161F"/>
    <w:rsid w:val="00D935E3"/>
    <w:rsid w:val="00D939A7"/>
    <w:rsid w:val="00DA0926"/>
    <w:rsid w:val="00DA73F0"/>
    <w:rsid w:val="00DB0020"/>
    <w:rsid w:val="00DC1BF9"/>
    <w:rsid w:val="00DE10E6"/>
    <w:rsid w:val="00DF18D5"/>
    <w:rsid w:val="00E12748"/>
    <w:rsid w:val="00E13649"/>
    <w:rsid w:val="00E16F49"/>
    <w:rsid w:val="00E371C8"/>
    <w:rsid w:val="00E41CE4"/>
    <w:rsid w:val="00E50877"/>
    <w:rsid w:val="00E63B3C"/>
    <w:rsid w:val="00E6449A"/>
    <w:rsid w:val="00E87136"/>
    <w:rsid w:val="00E87EF1"/>
    <w:rsid w:val="00E961B3"/>
    <w:rsid w:val="00EB2E4F"/>
    <w:rsid w:val="00EB6A8A"/>
    <w:rsid w:val="00EC397C"/>
    <w:rsid w:val="00EE560F"/>
    <w:rsid w:val="00EF69B5"/>
    <w:rsid w:val="00F154D4"/>
    <w:rsid w:val="00F54ED1"/>
    <w:rsid w:val="00F5786F"/>
    <w:rsid w:val="00F603F0"/>
    <w:rsid w:val="00F7102A"/>
    <w:rsid w:val="00F76D2D"/>
    <w:rsid w:val="00F93288"/>
    <w:rsid w:val="00FA64BE"/>
    <w:rsid w:val="00FB433A"/>
    <w:rsid w:val="00FC01FE"/>
    <w:rsid w:val="00FC38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3A7E-7294-467E-A4E6-654F15E3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661D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D4BEB"/>
    <w:pPr>
      <w:ind w:left="720"/>
      <w:contextualSpacing/>
    </w:pPr>
  </w:style>
  <w:style w:type="table" w:styleId="TaulukkoRuudukko">
    <w:name w:val="Table Grid"/>
    <w:basedOn w:val="Normaalitaulukko"/>
    <w:uiPriority w:val="39"/>
    <w:rsid w:val="00F5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1C04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04E0"/>
  </w:style>
  <w:style w:type="paragraph" w:styleId="Alatunniste">
    <w:name w:val="footer"/>
    <w:basedOn w:val="Normaali"/>
    <w:link w:val="AlatunnisteChar"/>
    <w:uiPriority w:val="99"/>
    <w:unhideWhenUsed/>
    <w:rsid w:val="001C04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04E0"/>
  </w:style>
  <w:style w:type="table" w:customStyle="1" w:styleId="TaulukkoRuudukko1">
    <w:name w:val="Taulukko Ruudukko1"/>
    <w:basedOn w:val="Normaalitaulukko"/>
    <w:next w:val="TaulukkoRuudukko"/>
    <w:uiPriority w:val="39"/>
    <w:rsid w:val="005F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6D3D29"/>
    <w:rPr>
      <w:color w:val="0563C1" w:themeColor="hyperlink"/>
      <w:u w:val="single"/>
    </w:rPr>
  </w:style>
  <w:style w:type="paragraph" w:styleId="Seliteteksti">
    <w:name w:val="Balloon Text"/>
    <w:basedOn w:val="Normaali"/>
    <w:link w:val="SelitetekstiChar"/>
    <w:uiPriority w:val="99"/>
    <w:semiHidden/>
    <w:unhideWhenUsed/>
    <w:rsid w:val="0094106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41065"/>
    <w:rPr>
      <w:rFonts w:ascii="Segoe UI" w:hAnsi="Segoe UI" w:cs="Segoe UI"/>
      <w:sz w:val="18"/>
      <w:szCs w:val="18"/>
    </w:rPr>
  </w:style>
  <w:style w:type="character" w:styleId="Kommentinviite">
    <w:name w:val="annotation reference"/>
    <w:basedOn w:val="Kappaleenoletusfontti"/>
    <w:uiPriority w:val="99"/>
    <w:semiHidden/>
    <w:unhideWhenUsed/>
    <w:rsid w:val="004D7C8A"/>
    <w:rPr>
      <w:sz w:val="16"/>
      <w:szCs w:val="16"/>
    </w:rPr>
  </w:style>
  <w:style w:type="paragraph" w:styleId="Kommentinteksti">
    <w:name w:val="annotation text"/>
    <w:basedOn w:val="Normaali"/>
    <w:link w:val="KommentintekstiChar"/>
    <w:uiPriority w:val="99"/>
    <w:semiHidden/>
    <w:unhideWhenUsed/>
    <w:rsid w:val="004D7C8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D7C8A"/>
    <w:rPr>
      <w:sz w:val="20"/>
      <w:szCs w:val="20"/>
    </w:rPr>
  </w:style>
  <w:style w:type="paragraph" w:styleId="Kommentinotsikko">
    <w:name w:val="annotation subject"/>
    <w:basedOn w:val="Kommentinteksti"/>
    <w:next w:val="Kommentinteksti"/>
    <w:link w:val="KommentinotsikkoChar"/>
    <w:uiPriority w:val="99"/>
    <w:semiHidden/>
    <w:unhideWhenUsed/>
    <w:rsid w:val="004D7C8A"/>
    <w:rPr>
      <w:b/>
      <w:bCs/>
    </w:rPr>
  </w:style>
  <w:style w:type="character" w:customStyle="1" w:styleId="KommentinotsikkoChar">
    <w:name w:val="Kommentin otsikko Char"/>
    <w:basedOn w:val="KommentintekstiChar"/>
    <w:link w:val="Kommentinotsikko"/>
    <w:uiPriority w:val="99"/>
    <w:semiHidden/>
    <w:rsid w:val="004D7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bitstream/handle/10024/161047/57-2018-Lobbarirekisterin%20kansainvaliset%20mallit.pdf?sequence=1&amp;isAllowed=y"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2B9C3-90F9-4123-BA88-8DB058B08663}">
  <ds:schemaRefs>
    <ds:schemaRef ds:uri="http://schemas.openxmlformats.org/officeDocument/2006/bibliography"/>
  </ds:schemaRefs>
</ds:datastoreItem>
</file>

<file path=customXml/itemProps2.xml><?xml version="1.0" encoding="utf-8"?>
<ds:datastoreItem xmlns:ds="http://schemas.openxmlformats.org/officeDocument/2006/customXml" ds:itemID="{2E0DDA63-E34F-46AD-947A-E5DE54DCF3D2}"/>
</file>

<file path=customXml/itemProps3.xml><?xml version="1.0" encoding="utf-8"?>
<ds:datastoreItem xmlns:ds="http://schemas.openxmlformats.org/officeDocument/2006/customXml" ds:itemID="{A24484FD-2745-4A13-BF0B-1308EF139B06}"/>
</file>

<file path=customXml/itemProps4.xml><?xml version="1.0" encoding="utf-8"?>
<ds:datastoreItem xmlns:ds="http://schemas.openxmlformats.org/officeDocument/2006/customXml" ds:itemID="{A6B4CD4A-543A-463F-A9F0-A7C6A2B64A78}"/>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14948</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2</cp:revision>
  <dcterms:created xsi:type="dcterms:W3CDTF">2020-04-24T07:46:00Z</dcterms:created>
  <dcterms:modified xsi:type="dcterms:W3CDTF">2020-04-24T07:46:00Z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0x010100402356E99A71AD42BB3BDEAFD350ADD4</vt:lpwstr>
  </property>
</Properties>
</file>