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78A5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bookmarkStart w:id="0" w:name="_GoBack"/>
      <w:bookmarkEnd w:id="0"/>
    </w:p>
    <w:p w:rsidR="00000000" w:rsidRDefault="007878A5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hAnsi="Times New Roman" w:cs="Times New Roman"/>
        </w:rPr>
      </w:pPr>
    </w:p>
    <w:p w:rsidR="00000000" w:rsidRDefault="007878A5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Lausunto hallituksen luonnoksesta lukiolain ja vapaasta sivistystyöstä annetun lain 4 §:n muuttamisesta</w:t>
      </w:r>
    </w:p>
    <w:p w:rsidR="00000000" w:rsidRDefault="007878A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Times New Roman" w:hAnsi="Times New Roman" w:cs="Times New Roman"/>
        </w:rPr>
      </w:pPr>
    </w:p>
    <w:p w:rsidR="00000000" w:rsidRDefault="007878A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237/30/2014</w:t>
      </w:r>
    </w:p>
    <w:p w:rsidR="00000000" w:rsidRDefault="007878A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Times New Roman" w:hAnsi="Times New Roman" w:cs="Times New Roman"/>
        </w:rPr>
      </w:pPr>
    </w:p>
    <w:p w:rsidR="00000000" w:rsidRDefault="007878A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Kunnanhallitus § 201</w:t>
      </w:r>
    </w:p>
    <w:p w:rsidR="00000000" w:rsidRDefault="007878A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Ind w:w="2644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314"/>
      </w:tblGrid>
      <w:tr w:rsidR="00000000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Hallituksen esitys eduskunnalle laeiksi lukiolain, ammatillisesta peruskoulutuksesta annetun lain, ammatillisesta aikuiskoulutuksesta annetun lain sekä vapaasta sivistystyöstä annetun lain 4 §:n muuttamisesta on kunnissa</w:t>
            </w:r>
            <w:r>
              <w:rPr>
                <w:rFonts w:ascii="Times New Roman" w:hAnsi="Times New Roman" w:cs="Times New Roman"/>
              </w:rPr>
              <w:t xml:space="preserve"> lausuntokierroksella. Kuntien lausunnot on annettava viimeistään 17.11.2014.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Ilomantsin kunnan osalta lakiuudistus koskettaa lukiokoulutusta sekä vapaata sivistystyötä. Ammatillisen perus- ja aikuiskoulutuksen Pohjois-Karjalassa järjestää Pohjois-Karjala</w:t>
            </w:r>
            <w:r>
              <w:rPr>
                <w:rFonts w:ascii="Times New Roman" w:hAnsi="Times New Roman" w:cs="Times New Roman"/>
              </w:rPr>
              <w:t>n koulutuskuntayhtymä.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Hallituksen esitys on osa rakennepoliittisen ohjelman toimeenpanoa ja sen tavoitteena ovat vahvat koulutuksen järjestäjät ja ylläpitäjät. 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Toteutuessaan lakimuutos koskisi koulutuksen järjestämisluvan myöntämistä. Lukiokoulutuksen </w:t>
            </w:r>
            <w:r>
              <w:rPr>
                <w:rFonts w:ascii="Times New Roman" w:hAnsi="Times New Roman" w:cs="Times New Roman"/>
              </w:rPr>
              <w:t>osalta tämä tarkoittaa lupien uudestaan hakemista. Vapaasta sivistystyöstä annetun lain mukaiset ylläpitämisluvat säilyisivät ehdotetun lain mukaisina lupina, mutta ylläpitäjien taloudelliset edellytykset oppilaitoksen ylläpitämiseen tutkittaisiin viran pu</w:t>
            </w:r>
            <w:r>
              <w:rPr>
                <w:rFonts w:ascii="Times New Roman" w:hAnsi="Times New Roman" w:cs="Times New Roman"/>
              </w:rPr>
              <w:t>olesta.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Mikäli lakimuutos hyväksytään, nykyiset järjestämisluvat ovat voimassa 31.12.2016 saakka. Uusien lupien mukainen toiminta alkaisi 1.1.2017. Jos opetuksen järjestäjä ei saisi järjestämislupaa, voisi se järjestää opetusta siirtymäsäännöksen perustee</w:t>
            </w:r>
            <w:r>
              <w:rPr>
                <w:rFonts w:ascii="Times New Roman" w:hAnsi="Times New Roman" w:cs="Times New Roman"/>
              </w:rPr>
              <w:t>lla määräaikaisesti enintään yhden vuoden ajan.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Hallituksen esityksen perusteluissa tavoitteeksi on kirjattu sellainen koulutuksen järjestäjäverkko, joka muodostuisi toimintaedellytyksiltään vahvoista koulutuksen järjestäjistä. Perustelujen mukaan tulevat</w:t>
            </w:r>
            <w:r>
              <w:rPr>
                <w:rFonts w:ascii="Times New Roman" w:hAnsi="Times New Roman" w:cs="Times New Roman"/>
              </w:rPr>
              <w:t xml:space="preserve"> koulutuksen järjestäjät tulisivat olemaan kooltaan nykyistä merkittävästi suurempia. Edelleen perustelujen mukaan tämä vahvistaisi koulutuksen järjestäjien ammatillisia ja taloudellisia koulutuksen järjestämisedellytyksiä. 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Hallituksen esityksen perusteluissa nostetaan esille koulutuksen saavutettavuuden paraneminen, opetus- ja kurssitarjonnan monipuolistaminen, opetussuunnitelmallisten painotusten ja opetuksen pedagogisen kehittämisen parempi toteutuminen sekä tekniikan nyky</w:t>
            </w:r>
            <w:r>
              <w:rPr>
                <w:rFonts w:ascii="Times New Roman" w:hAnsi="Times New Roman" w:cs="Times New Roman"/>
              </w:rPr>
              <w:t>istä parempi hyödyntäminen.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Ilomantsin kunta ei voi yhtyä hallituksen esityksen perusteluihin siitä, että opetuksen järjestäminen nykyistä suuremmissa yksiköissä parantaisi edellä </w:t>
            </w:r>
            <w:r>
              <w:rPr>
                <w:rFonts w:ascii="Times New Roman" w:hAnsi="Times New Roman" w:cs="Times New Roman"/>
              </w:rPr>
              <w:lastRenderedPageBreak/>
              <w:t>mainittujen tavoitteiden toteutumista. Päin vastoin koulutuksen saavutettav</w:t>
            </w:r>
            <w:r>
              <w:rPr>
                <w:rFonts w:ascii="Times New Roman" w:hAnsi="Times New Roman" w:cs="Times New Roman"/>
              </w:rPr>
              <w:t xml:space="preserve">uus pitkien välimatkojen kunnissa heikkenee edelleen, mikäli lukiokoulutus kootaan isojen ylläpitäjien kaupunkilukioihin. Koulutuksen keskittäminen heikentäisi koulutuksellista tasa-arvoa, sillä entistä harvempi perhe lähettäisi nuortaan pitkän välimatkan </w:t>
            </w:r>
            <w:r>
              <w:rPr>
                <w:rFonts w:ascii="Times New Roman" w:hAnsi="Times New Roman" w:cs="Times New Roman"/>
              </w:rPr>
              <w:t>päässä olevaan kaupunkilukioon. Pitkien välimatkojen alueilla lukiokoulutuksen osalta palattaisiin vuosikymmeniä taakse päin, jolloin vain varakkailla perheillä oli mahdollisuus lastensa kouluttamiseen.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Opetus- ja kurssitarjonta voi olla monipuolinen pien</w:t>
            </w:r>
            <w:r>
              <w:rPr>
                <w:rFonts w:ascii="Times New Roman" w:hAnsi="Times New Roman" w:cs="Times New Roman"/>
              </w:rPr>
              <w:t>essäkin lukiossa, joka hyödyntää verkko-opetusta sekä perus- ja lukio-opetuksen yhteisiä opettajia. Tästä esimerkkinä on oman kuntamme lukiokoulutus. Ilomantsin lukio on jäsen ISOverstaassa, josta hankimme kursseja opiskelijoillemme ja johon opettajamme tu</w:t>
            </w:r>
            <w:r>
              <w:rPr>
                <w:rFonts w:ascii="Times New Roman" w:hAnsi="Times New Roman" w:cs="Times New Roman"/>
              </w:rPr>
              <w:t>ottavat kursseja muiden jäsenten lukiolaisille.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Ilomantsi on edelläkävijä sähköisten palvelujen käyttämisessä lukiokoulutuksessa. Kunnan omistaman laajakaistayhtiön, Ilonet Oy:n , rakentama laajakaistaverkko valokuituverkkona koko kunnan alueelle valmistu</w:t>
            </w:r>
            <w:r>
              <w:rPr>
                <w:rFonts w:ascii="Times New Roman" w:hAnsi="Times New Roman" w:cs="Times New Roman"/>
              </w:rPr>
              <w:t>u 2015 aikana, joten nopeat tietoliikenneyhteydet ovat lukiolaistemme käytössä.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Asian on valmistellut sivistysjohtaja.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PÄÄTÖSEHDOTUS: Kunnanhallitus päättää lausuntonaan todeta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kunnalla ei ole huomautettavaa hallituksen esitykseen vapaasta sivistysty</w:t>
            </w:r>
            <w:r>
              <w:rPr>
                <w:rFonts w:ascii="Times New Roman" w:hAnsi="Times New Roman" w:cs="Times New Roman"/>
              </w:rPr>
              <w:t>östä annetun lain 4 § :n muuttamisesta. Ilomantsin kansalaisopisto on opistona pieni, mutta vapaan sivistystyön järjestäjänä vahva oppilaitos, jonka toiminta perustuu alueelliseen sivistystarpeeseen. Kunnalla on taloudelliset edellytykset oppilaitoksen yll</w:t>
            </w:r>
            <w:r>
              <w:rPr>
                <w:rFonts w:ascii="Times New Roman" w:hAnsi="Times New Roman" w:cs="Times New Roman"/>
              </w:rPr>
              <w:t>äpitämiseen.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Hallituksen esitys lukiolain muuttamisesta ei puolestaan ota huomioon pieniä, mutta vahvoja lukiokoulutuksen järjestäjiä eikä tue alueellista koulutuksen tasa-arvoa. Lukiokoulutuksen saavutettavuus ei saa lakimuutoksessa huonontua siten, e</w:t>
            </w:r>
            <w:r>
              <w:rPr>
                <w:rFonts w:ascii="Times New Roman" w:hAnsi="Times New Roman" w:cs="Times New Roman"/>
              </w:rPr>
              <w:t>ttä pitkien välimatkojen kuntien ainut lukiokoulutuksen vaihtoehto ovat isot kaupunkilukiot. Tällöin vaarana on yhteiskunnan eriarvoistuminen, jolloin vain varakkaat perheet voivat tarjota lapsilleen toisen asteen yleissivistävän koulutuksen.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Myös tulevai</w:t>
            </w:r>
            <w:r>
              <w:rPr>
                <w:rFonts w:ascii="Times New Roman" w:hAnsi="Times New Roman" w:cs="Times New Roman"/>
              </w:rPr>
              <w:t>suudessa pitää olla mahdollista järjestää lukiokoulusta paikkakunnilla, joilla on taloudelliset ja ammatilliset edellytykset koulutuksen järjestämiseen. Ilomantsin lukio toimii peruskorjatuissa, ajanmukaisissa tiloissa. Lukiolla on ammattitaitoinen henkilö</w:t>
            </w:r>
            <w:r>
              <w:rPr>
                <w:rFonts w:ascii="Times New Roman" w:hAnsi="Times New Roman" w:cs="Times New Roman"/>
              </w:rPr>
              <w:t xml:space="preserve">stö, joka on pääosin yhteinen perusopetuksen kanssa. Tämä tukee koulutuksen taloudellisuutta. Lukiomme yhteistyö alueen työelämän ja muiden koulutuksen järjestäjien kanssa on saumatonta. 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Edellä mainituilla perusteilla lakimuutoksen on turvattava riittävä</w:t>
            </w:r>
            <w:r>
              <w:rPr>
                <w:rFonts w:ascii="Times New Roman" w:hAnsi="Times New Roman" w:cs="Times New Roman"/>
              </w:rPr>
              <w:t xml:space="preserve"> määrä lukiokoulutuksen järjestämislupia myös pitkien välimatkojen alueilla toimiville koulutuksen järjestäjille, joilla on edellytykset toimivan lukion </w:t>
            </w:r>
            <w:r>
              <w:rPr>
                <w:rFonts w:ascii="Times New Roman" w:hAnsi="Times New Roman" w:cs="Times New Roman"/>
              </w:rPr>
              <w:lastRenderedPageBreak/>
              <w:t>ylläpitämiseen.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PÄÄTÖS: Hyväksyttiin.</w:t>
            </w: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</w:p>
          <w:p w:rsidR="00000000" w:rsidRDefault="007878A5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Toimenpiteitä varten ja tiedoksi: kirjaamo@minedu.fi sekä Word-</w:t>
            </w:r>
            <w:r>
              <w:rPr>
                <w:rFonts w:ascii="Times New Roman" w:hAnsi="Times New Roman" w:cs="Times New Roman"/>
              </w:rPr>
              <w:t>muodossa osoitteeseen verkko@minedu.fi</w:t>
            </w:r>
          </w:p>
        </w:tc>
      </w:tr>
    </w:tbl>
    <w:p w:rsidR="00000000" w:rsidRDefault="007878A5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hAnsi="Times New Roman" w:cs="Times New Roman"/>
        </w:rPr>
      </w:pPr>
    </w:p>
    <w:p w:rsidR="00000000" w:rsidRDefault="007878A5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hAnsi="Times New Roman" w:cs="Times New Roman"/>
        </w:rPr>
      </w:pPr>
    </w:p>
    <w:p w:rsidR="00000000" w:rsidRDefault="007878A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Otteen oikeaksi todistaa: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Ilomantsissa 4.11.2014</w:t>
      </w:r>
    </w:p>
    <w:p w:rsidR="00000000" w:rsidRDefault="007878A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Times New Roman" w:hAnsi="Times New Roman" w:cs="Times New Roman"/>
        </w:rPr>
      </w:pPr>
    </w:p>
    <w:p w:rsidR="00000000" w:rsidRDefault="007878A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00000" w:rsidRDefault="007878A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Times New Roman" w:hAnsi="Times New Roman" w:cs="Times New Roman"/>
        </w:rPr>
      </w:pPr>
    </w:p>
    <w:p w:rsidR="00000000" w:rsidRDefault="007878A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</w:t>
      </w:r>
      <w:r>
        <w:rPr>
          <w:rFonts w:ascii="Times New Roman" w:hAnsi="Times New Roman" w:cs="Times New Roman"/>
        </w:rPr>
        <w:tab/>
      </w:r>
    </w:p>
    <w:p w:rsidR="00000000" w:rsidRDefault="007878A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Hilkka Ikonen</w:t>
      </w:r>
    </w:p>
    <w:p w:rsidR="00000000" w:rsidRDefault="007878A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pöytäkirjanpitäjä</w:t>
      </w:r>
    </w:p>
    <w:p w:rsidR="00000000" w:rsidRDefault="007878A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Times New Roman" w:hAnsi="Times New Roman" w:cs="Times New Roman"/>
        </w:rPr>
      </w:pPr>
    </w:p>
    <w:p w:rsidR="00000000" w:rsidRDefault="007878A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Times New Roman" w:hAnsi="Times New Roman" w:cs="Times New Roman"/>
        </w:rPr>
        <w:sectPr w:rsidR="00000000">
          <w:headerReference w:type="default" r:id="rId7"/>
          <w:footerReference w:type="default" r:id="rId8"/>
          <w:pgSz w:w="11906" w:h="16837"/>
          <w:pgMar w:top="737" w:right="850" w:bottom="1134" w:left="1134" w:header="567" w:footer="567" w:gutter="0"/>
          <w:cols w:space="708"/>
          <w:noEndnote/>
        </w:sect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MUUTOKSENHAKUKIELLOT JA NIIDEN PERUSTEET</w:t>
      </w: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Tähän päätökseen ei saa tehdä kuntalain 91 §:n mukaan oikaisuvaatimus</w:t>
      </w:r>
      <w:r>
        <w:rPr>
          <w:rFonts w:ascii="Times New Roman" w:hAnsi="Times New Roman" w:cs="Times New Roman"/>
        </w:rPr>
        <w:softHyphen/>
        <w:t xml:space="preserve">ta eikä </w:t>
      </w: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kunnallisvalitusta, koska päätös koskee vain valmistelua tai täytäntöönpanoa.</w:t>
      </w: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Ilomantsissa 4.11.2014</w:t>
      </w: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Hilkka Ikonen</w:t>
      </w: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pöytäkirjanpitäjän nimi</w:t>
      </w: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Lähetetty sähköpostitse </w:t>
      </w: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Ilomantsissa 4.11.2014</w:t>
      </w: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Eija Laitila</w:t>
      </w:r>
    </w:p>
    <w:p w:rsidR="00000000" w:rsidRDefault="007878A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postittaja</w:t>
      </w:r>
    </w:p>
    <w:p w:rsidR="007878A5" w:rsidRDefault="007878A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hAnsi="Times New Roman" w:cs="Times New Roman"/>
        </w:rPr>
      </w:pPr>
    </w:p>
    <w:sectPr w:rsidR="007878A5">
      <w:headerReference w:type="default" r:id="rId9"/>
      <w:footerReference w:type="default" r:id="rId10"/>
      <w:pgSz w:w="11906" w:h="16837"/>
      <w:pgMar w:top="737" w:right="850" w:bottom="1134" w:left="113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A5" w:rsidRDefault="007878A5">
      <w:r>
        <w:separator/>
      </w:r>
    </w:p>
  </w:endnote>
  <w:endnote w:type="continuationSeparator" w:id="0">
    <w:p w:rsidR="007878A5" w:rsidRDefault="0078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8A5">
    <w:pPr>
      <w:pStyle w:val="Norma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8A5">
    <w:pPr>
      <w:pStyle w:val="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A5" w:rsidRDefault="007878A5">
      <w:r>
        <w:separator/>
      </w:r>
    </w:p>
  </w:footnote>
  <w:footnote w:type="continuationSeparator" w:id="0">
    <w:p w:rsidR="007878A5" w:rsidRDefault="00787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5215"/>
      <w:gridCol w:w="4707"/>
    </w:tblGrid>
    <w:tr w:rsidR="00000000">
      <w:tc>
        <w:tcPr>
          <w:tcW w:w="5215" w:type="dxa"/>
          <w:tcBorders>
            <w:top w:val="nil"/>
            <w:left w:val="nil"/>
            <w:bottom w:val="nil"/>
            <w:right w:val="nil"/>
          </w:tcBorders>
        </w:tcPr>
        <w:p w:rsidR="00000000" w:rsidRDefault="007878A5">
          <w:pPr>
            <w:pStyle w:val="Normal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ILOMANTSIN KUNTA</w:t>
          </w:r>
        </w:p>
      </w:tc>
      <w:tc>
        <w:tcPr>
          <w:tcW w:w="4707" w:type="dxa"/>
          <w:tcBorders>
            <w:top w:val="nil"/>
            <w:left w:val="nil"/>
            <w:bottom w:val="nil"/>
            <w:right w:val="nil"/>
          </w:tcBorders>
        </w:tcPr>
        <w:p w:rsidR="00000000" w:rsidRDefault="007878A5">
          <w:pPr>
            <w:pStyle w:val="Normal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OTE PÖYTÄKIRJASTA</w:t>
          </w:r>
        </w:p>
      </w:tc>
    </w:tr>
  </w:tbl>
  <w:p w:rsidR="00000000" w:rsidRDefault="007878A5">
    <w:pPr>
      <w:pStyle w:val="Normal"/>
      <w:rPr>
        <w:rFonts w:ascii="Times New Roman" w:hAnsi="Times New Roman" w:cs="Times New Roman"/>
      </w:rPr>
    </w:pPr>
  </w:p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3912"/>
      <w:gridCol w:w="1304"/>
      <w:gridCol w:w="4684"/>
    </w:tblGrid>
    <w:tr w:rsidR="00000000">
      <w:tc>
        <w:tcPr>
          <w:tcW w:w="3912" w:type="dxa"/>
          <w:tcBorders>
            <w:top w:val="nil"/>
            <w:left w:val="nil"/>
            <w:bottom w:val="single" w:sz="2" w:space="0" w:color="auto"/>
            <w:right w:val="nil"/>
          </w:tcBorders>
        </w:tcPr>
        <w:p w:rsidR="00000000" w:rsidRDefault="007878A5">
          <w:pPr>
            <w:pStyle w:val="Normal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Kunnanhallitus</w:t>
          </w:r>
        </w:p>
      </w:tc>
      <w:tc>
        <w:tcPr>
          <w:tcW w:w="1304" w:type="dxa"/>
          <w:tcBorders>
            <w:top w:val="nil"/>
            <w:left w:val="nil"/>
            <w:bottom w:val="single" w:sz="2" w:space="0" w:color="auto"/>
            <w:right w:val="nil"/>
          </w:tcBorders>
        </w:tcPr>
        <w:p w:rsidR="00000000" w:rsidRDefault="007878A5">
          <w:pPr>
            <w:pStyle w:val="Normal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§ 201</w:t>
          </w:r>
        </w:p>
      </w:tc>
      <w:tc>
        <w:tcPr>
          <w:tcW w:w="4684" w:type="dxa"/>
          <w:tcBorders>
            <w:top w:val="nil"/>
            <w:left w:val="nil"/>
            <w:bottom w:val="single" w:sz="2" w:space="0" w:color="auto"/>
            <w:right w:val="nil"/>
          </w:tcBorders>
        </w:tcPr>
        <w:p w:rsidR="00000000" w:rsidRDefault="007878A5">
          <w:pPr>
            <w:pStyle w:val="Normal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03.11.2014</w:t>
          </w:r>
        </w:p>
      </w:tc>
    </w:tr>
  </w:tbl>
  <w:p w:rsidR="00000000" w:rsidRDefault="007878A5">
    <w:pPr>
      <w:pStyle w:val="Normal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5215"/>
      <w:gridCol w:w="4707"/>
    </w:tblGrid>
    <w:tr w:rsidR="00000000">
      <w:tc>
        <w:tcPr>
          <w:tcW w:w="5215" w:type="dxa"/>
          <w:tcBorders>
            <w:top w:val="nil"/>
            <w:left w:val="nil"/>
            <w:bottom w:val="nil"/>
            <w:right w:val="nil"/>
          </w:tcBorders>
        </w:tcPr>
        <w:p w:rsidR="00000000" w:rsidRDefault="007878A5">
          <w:pPr>
            <w:pStyle w:val="Normal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ILOMANTSIN KUNTA</w:t>
          </w:r>
        </w:p>
      </w:tc>
      <w:tc>
        <w:tcPr>
          <w:tcW w:w="4707" w:type="dxa"/>
          <w:tcBorders>
            <w:top w:val="nil"/>
            <w:left w:val="nil"/>
            <w:bottom w:val="nil"/>
            <w:right w:val="nil"/>
          </w:tcBorders>
        </w:tcPr>
        <w:p w:rsidR="00000000" w:rsidRDefault="007878A5">
          <w:pPr>
            <w:pStyle w:val="Normal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OTE PÖYTÄKIRJASTA</w:t>
          </w:r>
        </w:p>
      </w:tc>
    </w:tr>
  </w:tbl>
  <w:p w:rsidR="00000000" w:rsidRDefault="007878A5">
    <w:pPr>
      <w:pStyle w:val="Normal"/>
      <w:rPr>
        <w:rFonts w:ascii="Times New Roman" w:hAnsi="Times New Roman" w:cs="Times New Roman"/>
      </w:rPr>
    </w:pPr>
  </w:p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3912"/>
      <w:gridCol w:w="1304"/>
      <w:gridCol w:w="4684"/>
    </w:tblGrid>
    <w:tr w:rsidR="00000000">
      <w:tc>
        <w:tcPr>
          <w:tcW w:w="3912" w:type="dxa"/>
          <w:tcBorders>
            <w:top w:val="nil"/>
            <w:left w:val="nil"/>
            <w:bottom w:val="single" w:sz="2" w:space="0" w:color="auto"/>
            <w:right w:val="nil"/>
          </w:tcBorders>
        </w:tcPr>
        <w:p w:rsidR="00000000" w:rsidRDefault="007878A5">
          <w:pPr>
            <w:pStyle w:val="Normal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Kunnanhallitus</w:t>
          </w:r>
        </w:p>
      </w:tc>
      <w:tc>
        <w:tcPr>
          <w:tcW w:w="1304" w:type="dxa"/>
          <w:tcBorders>
            <w:top w:val="nil"/>
            <w:left w:val="nil"/>
            <w:bottom w:val="single" w:sz="2" w:space="0" w:color="auto"/>
            <w:right w:val="nil"/>
          </w:tcBorders>
        </w:tcPr>
        <w:p w:rsidR="00000000" w:rsidRDefault="007878A5">
          <w:pPr>
            <w:pStyle w:val="Normal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§ 201</w:t>
          </w:r>
        </w:p>
      </w:tc>
      <w:tc>
        <w:tcPr>
          <w:tcW w:w="4684" w:type="dxa"/>
          <w:tcBorders>
            <w:top w:val="nil"/>
            <w:left w:val="nil"/>
            <w:bottom w:val="single" w:sz="2" w:space="0" w:color="auto"/>
            <w:right w:val="nil"/>
          </w:tcBorders>
        </w:tcPr>
        <w:p w:rsidR="00000000" w:rsidRDefault="007878A5">
          <w:pPr>
            <w:pStyle w:val="Normal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03.11.2014</w:t>
          </w:r>
        </w:p>
      </w:tc>
    </w:tr>
  </w:tbl>
  <w:p w:rsidR="00000000" w:rsidRDefault="007878A5">
    <w:pPr>
      <w:pStyle w:val="Normal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ED"/>
    <w:rsid w:val="007878A5"/>
    <w:rsid w:val="00D1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Kappaleenoletusfontti">
    <w:name w:val="Default Paragraph Font"/>
    <w:uiPriority w:val="99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oppuviitteenteksti">
    <w:name w:val="endnote text"/>
    <w:basedOn w:val="Normaali"/>
    <w:link w:val="LoppuviitteentekstiChar"/>
    <w:uiPriority w:val="99"/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Kappaleenoletusfontti">
    <w:name w:val="Default Paragraph Font"/>
    <w:uiPriority w:val="99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oppuviitteenteksti">
    <w:name w:val="endnote text"/>
    <w:basedOn w:val="Normaali"/>
    <w:link w:val="LoppuviitteentekstiChar"/>
    <w:uiPriority w:val="99"/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Halonen Minna</dc:creator>
  <cp:lastModifiedBy>Halonen Minna</cp:lastModifiedBy>
  <cp:revision>2</cp:revision>
  <dcterms:created xsi:type="dcterms:W3CDTF">2014-11-05T07:10:00Z</dcterms:created>
  <dcterms:modified xsi:type="dcterms:W3CDTF">2014-11-05T07:10:00Z</dcterms:modified>
</cp:coreProperties>
</file>