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EE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firstLine="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B61783" w:rsidRDefault="00B61783" w:rsidP="00B61783">
      <w:pPr>
        <w:autoSpaceDE w:val="0"/>
        <w:autoSpaceDN w:val="0"/>
        <w:adjustRightInd w:val="0"/>
        <w:spacing w:after="0" w:line="240" w:lineRule="auto"/>
        <w:ind w:left="1984" w:firstLine="1"/>
        <w:rPr>
          <w:rFonts w:ascii="ArialBlack,Bold" w:hAnsi="ArialBlack,Bold" w:cs="ArialBlack,Bold"/>
          <w:b/>
          <w:bCs/>
        </w:rPr>
      </w:pPr>
      <w:r>
        <w:rPr>
          <w:rFonts w:ascii="ArialBlack,Bold" w:hAnsi="ArialBlack,Bold" w:cs="ArialBlack,Bold"/>
          <w:b/>
          <w:bCs/>
        </w:rPr>
        <w:t>Siilinjärven kunnan sivistyslautakunnan lausunto/Luonnos hall</w:t>
      </w:r>
      <w:r>
        <w:rPr>
          <w:rFonts w:ascii="ArialBlack,Bold" w:hAnsi="ArialBlack,Bold" w:cs="ArialBlack,Bold"/>
          <w:b/>
          <w:bCs/>
        </w:rPr>
        <w:t>i</w:t>
      </w:r>
      <w:r>
        <w:rPr>
          <w:rFonts w:ascii="ArialBlack,Bold" w:hAnsi="ArialBlack,Bold" w:cs="ArialBlack,Bold"/>
          <w:b/>
          <w:bCs/>
        </w:rPr>
        <w:t>tuksen esitykseksi eduskunnalle laiksi koulutuksen</w:t>
      </w:r>
    </w:p>
    <w:p w:rsidR="00B61783" w:rsidRDefault="00B61783" w:rsidP="00B61783">
      <w:pPr>
        <w:autoSpaceDE w:val="0"/>
        <w:autoSpaceDN w:val="0"/>
        <w:adjustRightInd w:val="0"/>
        <w:spacing w:after="0" w:line="240" w:lineRule="auto"/>
        <w:ind w:left="1984"/>
        <w:rPr>
          <w:rFonts w:ascii="ArialBlack,Bold" w:hAnsi="ArialBlack,Bold" w:cs="ArialBlack,Bold"/>
          <w:b/>
          <w:bCs/>
        </w:rPr>
      </w:pPr>
      <w:r>
        <w:rPr>
          <w:rFonts w:ascii="ArialBlack,Bold" w:hAnsi="ArialBlack,Bold" w:cs="ArialBlack,Bold"/>
          <w:b/>
          <w:bCs/>
        </w:rPr>
        <w:t>rahoituksesta</w:t>
      </w:r>
    </w:p>
    <w:p w:rsidR="00B61783" w:rsidRDefault="00B61783" w:rsidP="00B61783">
      <w:pPr>
        <w:autoSpaceDE w:val="0"/>
        <w:autoSpaceDN w:val="0"/>
        <w:adjustRightInd w:val="0"/>
        <w:spacing w:after="0" w:line="240" w:lineRule="auto"/>
        <w:ind w:left="1984"/>
        <w:rPr>
          <w:rFonts w:ascii="ArialBlack,Bold" w:hAnsi="ArialBlack,Bold" w:cs="ArialBlack,Bold"/>
          <w:b/>
          <w:bCs/>
        </w:rPr>
      </w:pPr>
    </w:p>
    <w:p w:rsidR="00EC0FEE" w:rsidRDefault="00EC0FEE" w:rsidP="00B61783">
      <w:pPr>
        <w:autoSpaceDE w:val="0"/>
        <w:autoSpaceDN w:val="0"/>
        <w:adjustRightInd w:val="0"/>
        <w:spacing w:after="0" w:line="240" w:lineRule="auto"/>
        <w:ind w:left="1984"/>
        <w:rPr>
          <w:rFonts w:ascii="Arial" w:hAnsi="Arial" w:cs="Arial"/>
        </w:rPr>
      </w:pPr>
      <w:r>
        <w:rPr>
          <w:rFonts w:ascii="Arial" w:hAnsi="Arial" w:cs="Arial"/>
        </w:rPr>
        <w:t>Viite: OKM096:00/2014</w:t>
      </w:r>
    </w:p>
    <w:p w:rsidR="00EC0FEE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FEE" w:rsidRPr="0015235C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35C">
        <w:rPr>
          <w:rFonts w:ascii="Arial" w:hAnsi="Arial" w:cs="Arial"/>
        </w:rPr>
        <w:t>Siilinjärven kunnan mielestä on</w:t>
      </w:r>
      <w:r w:rsidRPr="0015235C">
        <w:rPr>
          <w:rFonts w:ascii="Arial" w:hAnsi="Arial" w:cs="Arial"/>
          <w:color w:val="1F497D"/>
        </w:rPr>
        <w:t xml:space="preserve"> </w:t>
      </w:r>
      <w:r w:rsidRPr="0015235C">
        <w:rPr>
          <w:rFonts w:ascii="Arial" w:hAnsi="Arial" w:cs="Arial"/>
        </w:rPr>
        <w:t>tärkeää tarkastella ja kehittää toisen asteen ja va</w:t>
      </w:r>
      <w:r w:rsidRPr="0015235C">
        <w:rPr>
          <w:rFonts w:ascii="Arial" w:hAnsi="Arial" w:cs="Arial"/>
        </w:rPr>
        <w:softHyphen/>
        <w:t>paan sivistystyön rakenteiden vastaamaan tulevia yhtei</w:t>
      </w:r>
      <w:r w:rsidRPr="0015235C">
        <w:rPr>
          <w:rFonts w:ascii="Arial" w:hAnsi="Arial" w:cs="Arial"/>
        </w:rPr>
        <w:t>s</w:t>
      </w:r>
      <w:r w:rsidRPr="0015235C">
        <w:rPr>
          <w:rFonts w:ascii="Arial" w:hAnsi="Arial" w:cs="Arial"/>
        </w:rPr>
        <w:t>kunnallisia tarpeita. Myös yhteistyön lisääminen eri koulutustoimijoiden kesken on sinänsä myön</w:t>
      </w:r>
      <w:r w:rsidRPr="0015235C">
        <w:rPr>
          <w:rFonts w:ascii="Arial" w:hAnsi="Arial" w:cs="Arial"/>
        </w:rPr>
        <w:softHyphen/>
        <w:t>teis</w:t>
      </w:r>
      <w:r w:rsidRPr="0015235C">
        <w:rPr>
          <w:rFonts w:ascii="Arial" w:hAnsi="Arial" w:cs="Arial"/>
        </w:rPr>
        <w:softHyphen/>
        <w:t>tä.  Lausunnon antamisaika oli liian tiukka</w:t>
      </w:r>
      <w:r>
        <w:rPr>
          <w:rFonts w:ascii="Arial" w:hAnsi="Arial" w:cs="Arial"/>
        </w:rPr>
        <w:t xml:space="preserve">. </w:t>
      </w:r>
      <w:r w:rsidRPr="0015235C">
        <w:rPr>
          <w:rFonts w:ascii="Arial" w:hAnsi="Arial" w:cs="Arial"/>
        </w:rPr>
        <w:t>Esitysluonnoksessa on kuitenkin useita kohtia, jotka herättävät kys</w:t>
      </w:r>
      <w:r w:rsidRPr="0015235C">
        <w:rPr>
          <w:rFonts w:ascii="Arial" w:hAnsi="Arial" w:cs="Arial"/>
        </w:rPr>
        <w:t>y</w:t>
      </w:r>
      <w:r w:rsidRPr="0015235C">
        <w:rPr>
          <w:rFonts w:ascii="Arial" w:hAnsi="Arial" w:cs="Arial"/>
        </w:rPr>
        <w:t xml:space="preserve">myksiä: </w:t>
      </w:r>
    </w:p>
    <w:p w:rsidR="00EC0FEE" w:rsidRPr="0015235C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</w:p>
    <w:tbl>
      <w:tblPr>
        <w:tblW w:w="0" w:type="auto"/>
        <w:tblInd w:w="202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07"/>
        <w:gridCol w:w="7531"/>
      </w:tblGrid>
      <w:tr w:rsidR="00EC0FEE" w:rsidRPr="0015235C" w:rsidTr="009A101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235C">
              <w:rPr>
                <w:rFonts w:ascii="Arial" w:hAnsi="Arial" w:cs="Arial"/>
              </w:rPr>
              <w:t>Luonnoksessa korostetaan järjestäjäverkon kokoamista nykyistä vah</w:t>
            </w:r>
            <w:r w:rsidRPr="0015235C">
              <w:rPr>
                <w:rFonts w:ascii="Arial" w:hAnsi="Arial" w:cs="Arial"/>
              </w:rPr>
              <w:softHyphen/>
              <w:t>vem</w:t>
            </w:r>
            <w:r w:rsidRPr="0015235C">
              <w:rPr>
                <w:rFonts w:ascii="Arial" w:hAnsi="Arial" w:cs="Arial"/>
              </w:rPr>
              <w:softHyphen/>
              <w:t>mik</w:t>
            </w:r>
            <w:r w:rsidRPr="0015235C">
              <w:rPr>
                <w:rFonts w:ascii="Arial" w:hAnsi="Arial" w:cs="Arial"/>
              </w:rPr>
              <w:softHyphen/>
              <w:t>si kokonaisuuksiksi, millä turvattaisiin lukiokoulutuksen alueellinen saa</w:t>
            </w:r>
            <w:r w:rsidRPr="0015235C">
              <w:rPr>
                <w:rFonts w:ascii="Arial" w:hAnsi="Arial" w:cs="Arial"/>
              </w:rPr>
              <w:softHyphen/>
              <w:t>vu</w:t>
            </w:r>
            <w:r w:rsidRPr="0015235C">
              <w:rPr>
                <w:rFonts w:ascii="Arial" w:hAnsi="Arial" w:cs="Arial"/>
              </w:rPr>
              <w:softHyphen/>
              <w:t>tet</w:t>
            </w:r>
            <w:r w:rsidRPr="0015235C">
              <w:rPr>
                <w:rFonts w:ascii="Arial" w:hAnsi="Arial" w:cs="Arial"/>
              </w:rPr>
              <w:softHyphen/>
              <w:t>ta</w:t>
            </w:r>
            <w:r w:rsidRPr="0015235C">
              <w:rPr>
                <w:rFonts w:ascii="Arial" w:hAnsi="Arial" w:cs="Arial"/>
              </w:rPr>
              <w:softHyphen/>
              <w:t>vuus. Käytännössä tämä tarkoittaisi kuitenkin usein järjestäjän toi</w:t>
            </w:r>
            <w:r w:rsidRPr="0015235C">
              <w:rPr>
                <w:rFonts w:ascii="Arial" w:hAnsi="Arial" w:cs="Arial"/>
              </w:rPr>
              <w:softHyphen/>
              <w:t>mi</w:t>
            </w:r>
            <w:r w:rsidRPr="0015235C">
              <w:rPr>
                <w:rFonts w:ascii="Arial" w:hAnsi="Arial" w:cs="Arial"/>
              </w:rPr>
              <w:softHyphen/>
              <w:t>pis</w:t>
            </w:r>
            <w:r w:rsidRPr="0015235C">
              <w:rPr>
                <w:rFonts w:ascii="Arial" w:hAnsi="Arial" w:cs="Arial"/>
              </w:rPr>
              <w:softHyphen/>
              <w:t>tei</w:t>
            </w:r>
            <w:r w:rsidRPr="0015235C">
              <w:rPr>
                <w:rFonts w:ascii="Arial" w:hAnsi="Arial" w:cs="Arial"/>
              </w:rPr>
              <w:softHyphen/>
              <w:t>den yhdistämisiä suuriksi kokonaisuuksiksi ja kaukaisempien ja opis</w:t>
            </w:r>
            <w:r w:rsidRPr="0015235C">
              <w:rPr>
                <w:rFonts w:ascii="Arial" w:hAnsi="Arial" w:cs="Arial"/>
              </w:rPr>
              <w:softHyphen/>
              <w:t>ke</w:t>
            </w:r>
            <w:r w:rsidRPr="0015235C">
              <w:rPr>
                <w:rFonts w:ascii="Arial" w:hAnsi="Arial" w:cs="Arial"/>
              </w:rPr>
              <w:softHyphen/>
              <w:t>li</w:t>
            </w:r>
            <w:r w:rsidRPr="0015235C">
              <w:rPr>
                <w:rFonts w:ascii="Arial" w:hAnsi="Arial" w:cs="Arial"/>
              </w:rPr>
              <w:softHyphen/>
              <w:t>ja</w:t>
            </w:r>
            <w:r w:rsidRPr="0015235C">
              <w:rPr>
                <w:rFonts w:ascii="Arial" w:hAnsi="Arial" w:cs="Arial"/>
              </w:rPr>
              <w:softHyphen/>
              <w:t>mää</w:t>
            </w:r>
            <w:r w:rsidRPr="0015235C">
              <w:rPr>
                <w:rFonts w:ascii="Arial" w:hAnsi="Arial" w:cs="Arial"/>
              </w:rPr>
              <w:softHyphen/>
              <w:t>räl</w:t>
            </w:r>
            <w:r w:rsidRPr="0015235C">
              <w:rPr>
                <w:rFonts w:ascii="Arial" w:hAnsi="Arial" w:cs="Arial"/>
              </w:rPr>
              <w:softHyphen/>
              <w:t>tään pienempien toimipisteiden vähittäistä alasajoa. Miten tämä tu</w:t>
            </w:r>
            <w:r w:rsidRPr="0015235C">
              <w:rPr>
                <w:rFonts w:ascii="Arial" w:hAnsi="Arial" w:cs="Arial"/>
              </w:rPr>
              <w:softHyphen/>
              <w:t>kee koulutuksen tasa-arvoista saavutettavuutta? Päinvastoin koulutuksen ta</w:t>
            </w:r>
            <w:r w:rsidRPr="0015235C">
              <w:rPr>
                <w:rFonts w:ascii="Arial" w:hAnsi="Arial" w:cs="Arial"/>
              </w:rPr>
              <w:softHyphen/>
              <w:t>sa-ar</w:t>
            </w:r>
            <w:r w:rsidRPr="0015235C">
              <w:rPr>
                <w:rFonts w:ascii="Arial" w:hAnsi="Arial" w:cs="Arial"/>
              </w:rPr>
              <w:softHyphen/>
              <w:t>voi</w:t>
            </w:r>
            <w:r w:rsidRPr="0015235C">
              <w:rPr>
                <w:rFonts w:ascii="Arial" w:hAnsi="Arial" w:cs="Arial"/>
              </w:rPr>
              <w:softHyphen/>
              <w:t xml:space="preserve">nen saavutettavuus </w:t>
            </w:r>
            <w:proofErr w:type="gramStart"/>
            <w:r w:rsidRPr="0015235C">
              <w:rPr>
                <w:rFonts w:ascii="Arial" w:hAnsi="Arial" w:cs="Arial"/>
              </w:rPr>
              <w:t>vaarantuu  toimipisteiden</w:t>
            </w:r>
            <w:proofErr w:type="gramEnd"/>
            <w:r w:rsidRPr="0015235C">
              <w:rPr>
                <w:rFonts w:ascii="Arial" w:hAnsi="Arial" w:cs="Arial"/>
              </w:rPr>
              <w:t xml:space="preserve"> yhdistämisellä suu</w:t>
            </w:r>
            <w:r w:rsidRPr="0015235C">
              <w:rPr>
                <w:rFonts w:ascii="Arial" w:hAnsi="Arial" w:cs="Arial"/>
              </w:rPr>
              <w:softHyphen/>
              <w:t>rem</w:t>
            </w:r>
            <w:r w:rsidRPr="0015235C">
              <w:rPr>
                <w:rFonts w:ascii="Arial" w:hAnsi="Arial" w:cs="Arial"/>
              </w:rPr>
              <w:softHyphen/>
              <w:t xml:space="preserve">man koulutuksen järjestäjän alaisuuteen </w:t>
            </w:r>
          </w:p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FEE" w:rsidRPr="0015235C" w:rsidTr="009A101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235C">
              <w:rPr>
                <w:rFonts w:ascii="Arial" w:hAnsi="Arial" w:cs="Arial"/>
              </w:rPr>
              <w:t>Koulutuksen laadun oletetaan kasvavan koulutuksen-järjestäjän koon kas</w:t>
            </w:r>
            <w:r w:rsidRPr="0015235C">
              <w:rPr>
                <w:rFonts w:ascii="Arial" w:hAnsi="Arial" w:cs="Arial"/>
              </w:rPr>
              <w:softHyphen/>
              <w:t>vaes</w:t>
            </w:r>
            <w:r w:rsidRPr="0015235C">
              <w:rPr>
                <w:rFonts w:ascii="Arial" w:hAnsi="Arial" w:cs="Arial"/>
              </w:rPr>
              <w:softHyphen/>
              <w:t>sa. Todellisuudessa kuitenkaan tällaista korrelaatiota ei ole ha</w:t>
            </w:r>
            <w:r w:rsidRPr="0015235C">
              <w:rPr>
                <w:rFonts w:ascii="Arial" w:hAnsi="Arial" w:cs="Arial"/>
              </w:rPr>
              <w:softHyphen/>
              <w:t>vait</w:t>
            </w:r>
            <w:r w:rsidRPr="0015235C">
              <w:rPr>
                <w:rFonts w:ascii="Arial" w:hAnsi="Arial" w:cs="Arial"/>
              </w:rPr>
              <w:softHyphen/>
              <w:t>ta</w:t>
            </w:r>
            <w:r w:rsidRPr="0015235C">
              <w:rPr>
                <w:rFonts w:ascii="Arial" w:hAnsi="Arial" w:cs="Arial"/>
              </w:rPr>
              <w:softHyphen/>
              <w:t>vis</w:t>
            </w:r>
            <w:r w:rsidRPr="0015235C">
              <w:rPr>
                <w:rFonts w:ascii="Arial" w:hAnsi="Arial" w:cs="Arial"/>
              </w:rPr>
              <w:softHyphen/>
              <w:t xml:space="preserve">sa esimerkiksi </w:t>
            </w:r>
            <w:proofErr w:type="spellStart"/>
            <w:r w:rsidRPr="0015235C">
              <w:rPr>
                <w:rFonts w:ascii="Arial" w:hAnsi="Arial" w:cs="Arial"/>
              </w:rPr>
              <w:t>YO-kirjoitusten</w:t>
            </w:r>
            <w:proofErr w:type="spellEnd"/>
            <w:r w:rsidRPr="0015235C">
              <w:rPr>
                <w:rFonts w:ascii="Arial" w:hAnsi="Arial" w:cs="Arial"/>
              </w:rPr>
              <w:t xml:space="preserve"> tuloksissa tai opiskelijoiden hy</w:t>
            </w:r>
            <w:r w:rsidRPr="0015235C">
              <w:rPr>
                <w:rFonts w:ascii="Arial" w:hAnsi="Arial" w:cs="Arial"/>
              </w:rPr>
              <w:softHyphen/>
              <w:t>vin</w:t>
            </w:r>
            <w:r w:rsidRPr="0015235C">
              <w:rPr>
                <w:rFonts w:ascii="Arial" w:hAnsi="Arial" w:cs="Arial"/>
              </w:rPr>
              <w:softHyphen/>
              <w:t>voin</w:t>
            </w:r>
            <w:r w:rsidRPr="0015235C">
              <w:rPr>
                <w:rFonts w:ascii="Arial" w:hAnsi="Arial" w:cs="Arial"/>
              </w:rPr>
              <w:softHyphen/>
              <w:t>ti</w:t>
            </w:r>
            <w:r w:rsidRPr="0015235C">
              <w:rPr>
                <w:rFonts w:ascii="Arial" w:hAnsi="Arial" w:cs="Arial"/>
              </w:rPr>
              <w:softHyphen/>
              <w:t>ky</w:t>
            </w:r>
            <w:r w:rsidRPr="0015235C">
              <w:rPr>
                <w:rFonts w:ascii="Arial" w:hAnsi="Arial" w:cs="Arial"/>
              </w:rPr>
              <w:softHyphen/>
              <w:t>se</w:t>
            </w:r>
            <w:r w:rsidRPr="0015235C">
              <w:rPr>
                <w:rFonts w:ascii="Arial" w:hAnsi="Arial" w:cs="Arial"/>
              </w:rPr>
              <w:softHyphen/>
              <w:t>lyis</w:t>
            </w:r>
            <w:r w:rsidRPr="0015235C">
              <w:rPr>
                <w:rFonts w:ascii="Arial" w:hAnsi="Arial" w:cs="Arial"/>
              </w:rPr>
              <w:softHyphen/>
              <w:t>sä. Päinvastoin nämä tulokset ovat usein parempia hieman pienemmissä kou</w:t>
            </w:r>
            <w:r w:rsidRPr="0015235C">
              <w:rPr>
                <w:rFonts w:ascii="Arial" w:hAnsi="Arial" w:cs="Arial"/>
              </w:rPr>
              <w:softHyphen/>
              <w:t>lu</w:t>
            </w:r>
            <w:r w:rsidRPr="0015235C">
              <w:rPr>
                <w:rFonts w:ascii="Arial" w:hAnsi="Arial" w:cs="Arial"/>
              </w:rPr>
              <w:softHyphen/>
              <w:t>tus</w:t>
            </w:r>
            <w:r w:rsidRPr="0015235C">
              <w:rPr>
                <w:rFonts w:ascii="Arial" w:hAnsi="Arial" w:cs="Arial"/>
              </w:rPr>
              <w:softHyphen/>
              <w:t>yk</w:t>
            </w:r>
            <w:r w:rsidRPr="0015235C">
              <w:rPr>
                <w:rFonts w:ascii="Arial" w:hAnsi="Arial" w:cs="Arial"/>
              </w:rPr>
              <w:softHyphen/>
              <w:t>si</w:t>
            </w:r>
            <w:r w:rsidRPr="0015235C">
              <w:rPr>
                <w:rFonts w:ascii="Arial" w:hAnsi="Arial" w:cs="Arial"/>
              </w:rPr>
              <w:softHyphen/>
              <w:t>köis</w:t>
            </w:r>
            <w:r w:rsidRPr="0015235C">
              <w:rPr>
                <w:rFonts w:ascii="Arial" w:hAnsi="Arial" w:cs="Arial"/>
              </w:rPr>
              <w:softHyphen/>
              <w:t>sä. Mihin oletukset suuremman laadukkuudesta siis pe</w:t>
            </w:r>
            <w:r w:rsidRPr="0015235C">
              <w:rPr>
                <w:rFonts w:ascii="Arial" w:hAnsi="Arial" w:cs="Arial"/>
              </w:rPr>
              <w:softHyphen/>
              <w:t>rus</w:t>
            </w:r>
            <w:r w:rsidRPr="0015235C">
              <w:rPr>
                <w:rFonts w:ascii="Arial" w:hAnsi="Arial" w:cs="Arial"/>
              </w:rPr>
              <w:softHyphen/>
              <w:t>tu</w:t>
            </w:r>
            <w:r w:rsidRPr="0015235C">
              <w:rPr>
                <w:rFonts w:ascii="Arial" w:hAnsi="Arial" w:cs="Arial"/>
              </w:rPr>
              <w:softHyphen/>
              <w:t>vat?</w:t>
            </w:r>
          </w:p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FEE" w:rsidRPr="0015235C" w:rsidTr="009A101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235C">
              <w:rPr>
                <w:rFonts w:ascii="Arial" w:hAnsi="Arial" w:cs="Arial"/>
              </w:rPr>
              <w:t>Opiskelijan mahdollisuus suuren järjestäjän tarjoamiin yksilöllisiin opin</w:t>
            </w:r>
            <w:r w:rsidRPr="0015235C">
              <w:rPr>
                <w:rFonts w:ascii="Arial" w:hAnsi="Arial" w:cs="Arial"/>
              </w:rPr>
              <w:softHyphen/>
              <w:t>to</w:t>
            </w:r>
            <w:r w:rsidRPr="0015235C">
              <w:rPr>
                <w:rFonts w:ascii="Arial" w:hAnsi="Arial" w:cs="Arial"/>
              </w:rPr>
              <w:softHyphen/>
              <w:t>pol</w:t>
            </w:r>
            <w:r w:rsidRPr="0015235C">
              <w:rPr>
                <w:rFonts w:ascii="Arial" w:hAnsi="Arial" w:cs="Arial"/>
              </w:rPr>
              <w:softHyphen/>
              <w:t>kui</w:t>
            </w:r>
            <w:r w:rsidRPr="0015235C">
              <w:rPr>
                <w:rFonts w:ascii="Arial" w:hAnsi="Arial" w:cs="Arial"/>
              </w:rPr>
              <w:softHyphen/>
              <w:t>hin saa suuren painoarvon luonnoksessa. On kuitenkin todettu, miten tär</w:t>
            </w:r>
            <w:r w:rsidRPr="0015235C">
              <w:rPr>
                <w:rFonts w:ascii="Arial" w:hAnsi="Arial" w:cs="Arial"/>
              </w:rPr>
              <w:softHyphen/>
              <w:t>keä kouluyhteisön muiden opiskelijoiden ja opettajien tuki on useimpien nuor</w:t>
            </w:r>
            <w:r w:rsidRPr="0015235C">
              <w:rPr>
                <w:rFonts w:ascii="Arial" w:hAnsi="Arial" w:cs="Arial"/>
              </w:rPr>
              <w:softHyphen/>
              <w:t>ten opiskelujen etenemiselle. Yhteisöllisen tuen rakentuminen suurissa yk</w:t>
            </w:r>
            <w:r w:rsidRPr="0015235C">
              <w:rPr>
                <w:rFonts w:ascii="Arial" w:hAnsi="Arial" w:cs="Arial"/>
              </w:rPr>
              <w:softHyphen/>
              <w:t>si</w:t>
            </w:r>
            <w:r w:rsidRPr="0015235C">
              <w:rPr>
                <w:rFonts w:ascii="Arial" w:hAnsi="Arial" w:cs="Arial"/>
              </w:rPr>
              <w:softHyphen/>
              <w:t>köis</w:t>
            </w:r>
            <w:r w:rsidRPr="0015235C">
              <w:rPr>
                <w:rFonts w:ascii="Arial" w:hAnsi="Arial" w:cs="Arial"/>
              </w:rPr>
              <w:softHyphen/>
              <w:t>sä on huomattavan vaikeaa, ellei jopa mahdotonta. Tämä koskee eri</w:t>
            </w:r>
            <w:r w:rsidRPr="0015235C">
              <w:rPr>
                <w:rFonts w:ascii="Arial" w:hAnsi="Arial" w:cs="Arial"/>
              </w:rPr>
              <w:softHyphen/>
              <w:t>tyi</w:t>
            </w:r>
            <w:r w:rsidRPr="0015235C">
              <w:rPr>
                <w:rFonts w:ascii="Arial" w:hAnsi="Arial" w:cs="Arial"/>
              </w:rPr>
              <w:softHyphen/>
              <w:t>ses</w:t>
            </w:r>
            <w:r w:rsidRPr="0015235C">
              <w:rPr>
                <w:rFonts w:ascii="Arial" w:hAnsi="Arial" w:cs="Arial"/>
              </w:rPr>
              <w:softHyphen/>
              <w:t>ti lukiokoulutusta, jossa opinnot koostuvat erillisistä kursseista. Kou</w:t>
            </w:r>
            <w:r w:rsidRPr="0015235C">
              <w:rPr>
                <w:rFonts w:ascii="Arial" w:hAnsi="Arial" w:cs="Arial"/>
              </w:rPr>
              <w:softHyphen/>
              <w:t>lu</w:t>
            </w:r>
            <w:r w:rsidRPr="0015235C">
              <w:rPr>
                <w:rFonts w:ascii="Arial" w:hAnsi="Arial" w:cs="Arial"/>
              </w:rPr>
              <w:softHyphen/>
              <w:t>tus</w:t>
            </w:r>
            <w:r w:rsidRPr="0015235C">
              <w:rPr>
                <w:rFonts w:ascii="Arial" w:hAnsi="Arial" w:cs="Arial"/>
              </w:rPr>
              <w:softHyphen/>
              <w:t>po</w:t>
            </w:r>
            <w:r w:rsidRPr="0015235C">
              <w:rPr>
                <w:rFonts w:ascii="Arial" w:hAnsi="Arial" w:cs="Arial"/>
              </w:rPr>
              <w:softHyphen/>
              <w:t>liit</w:t>
            </w:r>
            <w:r w:rsidRPr="0015235C">
              <w:rPr>
                <w:rFonts w:ascii="Arial" w:hAnsi="Arial" w:cs="Arial"/>
              </w:rPr>
              <w:softHyphen/>
              <w:t>ti</w:t>
            </w:r>
            <w:r w:rsidRPr="0015235C">
              <w:rPr>
                <w:rFonts w:ascii="Arial" w:hAnsi="Arial" w:cs="Arial"/>
              </w:rPr>
              <w:softHyphen/>
              <w:t>ses</w:t>
            </w:r>
            <w:r w:rsidRPr="0015235C">
              <w:rPr>
                <w:rFonts w:ascii="Arial" w:hAnsi="Arial" w:cs="Arial"/>
              </w:rPr>
              <w:softHyphen/>
              <w:t>ti asia on merkittävä, koska kyse on syrjäytymisen riskistä. On</w:t>
            </w:r>
            <w:r w:rsidRPr="0015235C">
              <w:rPr>
                <w:rFonts w:ascii="Arial" w:hAnsi="Arial" w:cs="Arial"/>
              </w:rPr>
              <w:softHyphen/>
              <w:t>ko tämä näkökulma unohdettu toisen asteen koulutuksen tarkasteluissa?</w:t>
            </w:r>
          </w:p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0FEE" w:rsidRPr="0015235C" w:rsidTr="009A1011"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EC0FEE" w:rsidRPr="0015235C" w:rsidRDefault="00EC0FEE" w:rsidP="009A10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31" w:type="dxa"/>
            <w:tcBorders>
              <w:top w:val="nil"/>
              <w:left w:val="nil"/>
              <w:bottom w:val="nil"/>
              <w:right w:val="nil"/>
            </w:tcBorders>
          </w:tcPr>
          <w:p w:rsidR="00EC0FEE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5235C">
              <w:rPr>
                <w:rFonts w:ascii="Arial" w:hAnsi="Arial" w:cs="Arial"/>
              </w:rPr>
              <w:t>Esitysluonnoksen mukaan suuri koulutuksenjärjestäjä voi toimia kus</w:t>
            </w:r>
            <w:r w:rsidRPr="0015235C">
              <w:rPr>
                <w:rFonts w:ascii="Arial" w:hAnsi="Arial" w:cs="Arial"/>
              </w:rPr>
              <w:softHyphen/>
              <w:t>tan</w:t>
            </w:r>
            <w:r w:rsidRPr="0015235C">
              <w:rPr>
                <w:rFonts w:ascii="Arial" w:hAnsi="Arial" w:cs="Arial"/>
              </w:rPr>
              <w:softHyphen/>
              <w:t>nus</w:t>
            </w:r>
            <w:r w:rsidRPr="0015235C">
              <w:rPr>
                <w:rFonts w:ascii="Arial" w:hAnsi="Arial" w:cs="Arial"/>
              </w:rPr>
              <w:softHyphen/>
              <w:t>te</w:t>
            </w:r>
            <w:r w:rsidRPr="0015235C">
              <w:rPr>
                <w:rFonts w:ascii="Arial" w:hAnsi="Arial" w:cs="Arial"/>
              </w:rPr>
              <w:softHyphen/>
              <w:t>hok</w:t>
            </w:r>
            <w:r w:rsidRPr="0015235C">
              <w:rPr>
                <w:rFonts w:ascii="Arial" w:hAnsi="Arial" w:cs="Arial"/>
              </w:rPr>
              <w:softHyphen/>
              <w:t>kaas</w:t>
            </w:r>
            <w:r w:rsidRPr="0015235C">
              <w:rPr>
                <w:rFonts w:ascii="Arial" w:hAnsi="Arial" w:cs="Arial"/>
              </w:rPr>
              <w:softHyphen/>
              <w:t>ti mm. tilojen, tukipalveluiden ja laitteiden suhteen. Toisaalta jär</w:t>
            </w:r>
            <w:r w:rsidRPr="0015235C">
              <w:rPr>
                <w:rFonts w:ascii="Arial" w:hAnsi="Arial" w:cs="Arial"/>
              </w:rPr>
              <w:softHyphen/>
              <w:t>jes</w:t>
            </w:r>
            <w:r w:rsidRPr="0015235C">
              <w:rPr>
                <w:rFonts w:ascii="Arial" w:hAnsi="Arial" w:cs="Arial"/>
              </w:rPr>
              <w:softHyphen/>
              <w:t>tä</w:t>
            </w:r>
            <w:r w:rsidRPr="0015235C">
              <w:rPr>
                <w:rFonts w:ascii="Arial" w:hAnsi="Arial" w:cs="Arial"/>
              </w:rPr>
              <w:softHyphen/>
              <w:t>jän koon kasvaessa hallinnoinnin kulut kasvavat ja toiminnan ketteryys vä</w:t>
            </w:r>
            <w:r w:rsidRPr="0015235C">
              <w:rPr>
                <w:rFonts w:ascii="Arial" w:hAnsi="Arial" w:cs="Arial"/>
              </w:rPr>
              <w:softHyphen/>
              <w:t>he</w:t>
            </w:r>
            <w:r w:rsidRPr="0015235C">
              <w:rPr>
                <w:rFonts w:ascii="Arial" w:hAnsi="Arial" w:cs="Arial"/>
              </w:rPr>
              <w:softHyphen/>
              <w:t>nee. Onko näitä todellisiin kustannuksiin vaikuttavia seikkoja huomioitu esi</w:t>
            </w:r>
            <w:r w:rsidRPr="0015235C">
              <w:rPr>
                <w:rFonts w:ascii="Arial" w:hAnsi="Arial" w:cs="Arial"/>
              </w:rPr>
              <w:softHyphen/>
              <w:t>tyk</w:t>
            </w:r>
            <w:r w:rsidRPr="0015235C">
              <w:rPr>
                <w:rFonts w:ascii="Arial" w:hAnsi="Arial" w:cs="Arial"/>
              </w:rPr>
              <w:softHyphen/>
              <w:t>sen valmistelussa?</w:t>
            </w:r>
          </w:p>
          <w:p w:rsidR="00EC0FEE" w:rsidRPr="0015235C" w:rsidRDefault="00EC0FEE" w:rsidP="009A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C0FEE" w:rsidRPr="0015235C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</w:p>
    <w:p w:rsidR="00EC0FEE" w:rsidRPr="0015235C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  <w:r w:rsidRPr="0015235C">
        <w:rPr>
          <w:rFonts w:ascii="Arial" w:hAnsi="Arial" w:cs="Arial"/>
        </w:rPr>
        <w:tab/>
        <w:t>Esitysluonnoksessa käytetään käsitteitä ”riittävän suuri väestöpohja” ja ”riittävän vah</w:t>
      </w:r>
      <w:r w:rsidRPr="0015235C">
        <w:rPr>
          <w:rFonts w:ascii="Arial" w:hAnsi="Arial" w:cs="Arial"/>
        </w:rPr>
        <w:softHyphen/>
        <w:t>va koulutuksenjärjestäjä”. Lukiokoulutuksen järjestäjänä Siilinjärven kunta toi</w:t>
      </w:r>
      <w:r w:rsidRPr="0015235C">
        <w:rPr>
          <w:rFonts w:ascii="Arial" w:hAnsi="Arial" w:cs="Arial"/>
        </w:rPr>
        <w:softHyphen/>
        <w:t>voo järjestämislupien hakuvaiheessa tarkennuksia näihin sekä muihin ha</w:t>
      </w:r>
      <w:r w:rsidRPr="0015235C">
        <w:rPr>
          <w:rFonts w:ascii="Arial" w:hAnsi="Arial" w:cs="Arial"/>
        </w:rPr>
        <w:softHyphen/>
        <w:t>ku</w:t>
      </w:r>
      <w:r w:rsidRPr="0015235C">
        <w:rPr>
          <w:rFonts w:ascii="Arial" w:hAnsi="Arial" w:cs="Arial"/>
        </w:rPr>
        <w:softHyphen/>
        <w:t>kri</w:t>
      </w:r>
      <w:r w:rsidRPr="0015235C">
        <w:rPr>
          <w:rFonts w:ascii="Arial" w:hAnsi="Arial" w:cs="Arial"/>
        </w:rPr>
        <w:softHyphen/>
        <w:t>tee</w:t>
      </w:r>
      <w:r w:rsidRPr="0015235C">
        <w:rPr>
          <w:rFonts w:ascii="Arial" w:hAnsi="Arial" w:cs="Arial"/>
        </w:rPr>
        <w:softHyphen/>
        <w:t>rei</w:t>
      </w:r>
      <w:r w:rsidRPr="0015235C">
        <w:rPr>
          <w:rFonts w:ascii="Arial" w:hAnsi="Arial" w:cs="Arial"/>
        </w:rPr>
        <w:softHyphen/>
        <w:t>hin, jotta saamme riittävän selkeästi tiedon siitä, mikä lainsäätäjän tahtotila on.</w:t>
      </w:r>
    </w:p>
    <w:p w:rsidR="00EC0FEE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0FEE" w:rsidRPr="0015235C" w:rsidRDefault="00EC0FEE" w:rsidP="00EC0FEE">
      <w:pPr>
        <w:widowControl w:val="0"/>
        <w:tabs>
          <w:tab w:val="left" w:pos="1984"/>
          <w:tab w:val="left" w:pos="2551"/>
          <w:tab w:val="left" w:pos="2777"/>
          <w:tab w:val="left" w:pos="4536"/>
        </w:tabs>
        <w:autoSpaceDE w:val="0"/>
        <w:autoSpaceDN w:val="0"/>
        <w:adjustRightInd w:val="0"/>
        <w:spacing w:after="0" w:line="240" w:lineRule="auto"/>
        <w:ind w:left="1984" w:hanging="1984"/>
        <w:rPr>
          <w:rFonts w:ascii="Arial" w:hAnsi="Arial" w:cs="Arial"/>
        </w:rPr>
      </w:pPr>
      <w:r>
        <w:rPr>
          <w:rFonts w:ascii="Arial" w:hAnsi="Arial" w:cs="Arial"/>
        </w:rPr>
        <w:tab/>
        <w:t>Siilinjärven sivistyslautakunta</w:t>
      </w:r>
    </w:p>
    <w:p w:rsidR="00EC0FEE" w:rsidRDefault="00EC0FEE" w:rsidP="00EC0FEE"/>
    <w:p w:rsidR="00265115" w:rsidRDefault="00265115"/>
    <w:sectPr w:rsidR="00265115" w:rsidSect="009A1011">
      <w:headerReference w:type="default" r:id="rId8"/>
      <w:pgSz w:w="11906" w:h="16837"/>
      <w:pgMar w:top="1440" w:right="1440" w:bottom="1440" w:left="144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8F" w:rsidRDefault="00D25F8F" w:rsidP="00EC0FEE">
      <w:pPr>
        <w:spacing w:after="0" w:line="240" w:lineRule="auto"/>
      </w:pPr>
      <w:r>
        <w:separator/>
      </w:r>
    </w:p>
  </w:endnote>
  <w:endnote w:type="continuationSeparator" w:id="0">
    <w:p w:rsidR="00D25F8F" w:rsidRDefault="00D25F8F" w:rsidP="00EC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Blac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8F" w:rsidRDefault="00D25F8F" w:rsidP="00EC0FEE">
      <w:pPr>
        <w:spacing w:after="0" w:line="240" w:lineRule="auto"/>
      </w:pPr>
      <w:r>
        <w:separator/>
      </w:r>
    </w:p>
  </w:footnote>
  <w:footnote w:type="continuationSeparator" w:id="0">
    <w:p w:rsidR="00D25F8F" w:rsidRDefault="00D25F8F" w:rsidP="00EC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215"/>
      <w:gridCol w:w="4707"/>
    </w:tblGrid>
    <w:tr w:rsidR="009A1011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9A1011" w:rsidRDefault="00D25F8F">
          <w:pPr>
            <w:pStyle w:val="Normal"/>
            <w:rPr>
              <w:sz w:val="22"/>
              <w:szCs w:val="22"/>
            </w:rPr>
          </w:pPr>
        </w:p>
      </w:tc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:rsidR="009A1011" w:rsidRDefault="00D25F8F">
          <w:pPr>
            <w:pStyle w:val="Normal"/>
            <w:rPr>
              <w:sz w:val="22"/>
              <w:szCs w:val="22"/>
            </w:rPr>
          </w:pPr>
        </w:p>
      </w:tc>
    </w:tr>
    <w:tr w:rsidR="009A1011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9A1011" w:rsidRDefault="00D25F8F">
          <w:pPr>
            <w:pStyle w:val="Normal"/>
            <w:rPr>
              <w:sz w:val="22"/>
              <w:szCs w:val="22"/>
            </w:rPr>
          </w:pPr>
        </w:p>
      </w:tc>
      <w:tc>
        <w:tcPr>
          <w:tcW w:w="4707" w:type="dxa"/>
          <w:tcBorders>
            <w:top w:val="nil"/>
            <w:left w:val="nil"/>
            <w:bottom w:val="nil"/>
            <w:right w:val="nil"/>
          </w:tcBorders>
        </w:tcPr>
        <w:p w:rsidR="009A1011" w:rsidRDefault="00D25F8F">
          <w:pPr>
            <w:pStyle w:val="Normal"/>
            <w:rPr>
              <w:sz w:val="22"/>
              <w:szCs w:val="22"/>
            </w:rPr>
          </w:pPr>
        </w:p>
      </w:tc>
    </w:tr>
  </w:tbl>
  <w:p w:rsidR="009A1011" w:rsidRDefault="00D25F8F">
    <w:pPr>
      <w:pStyle w:val="Normal"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EE"/>
    <w:rsid w:val="0025765C"/>
    <w:rsid w:val="00265115"/>
    <w:rsid w:val="00B61783"/>
    <w:rsid w:val="00D25F8F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C0F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uiPriority w:val="99"/>
    <w:rsid w:val="00EC0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C0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0FEE"/>
  </w:style>
  <w:style w:type="paragraph" w:styleId="Alatunniste">
    <w:name w:val="footer"/>
    <w:basedOn w:val="Normaali"/>
    <w:link w:val="AlatunnisteChar"/>
    <w:uiPriority w:val="99"/>
    <w:unhideWhenUsed/>
    <w:rsid w:val="00EC0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0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C0F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uiPriority w:val="99"/>
    <w:rsid w:val="00EC0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EC0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0FEE"/>
  </w:style>
  <w:style w:type="paragraph" w:styleId="Alatunniste">
    <w:name w:val="footer"/>
    <w:basedOn w:val="Normaali"/>
    <w:link w:val="AlatunnisteChar"/>
    <w:uiPriority w:val="99"/>
    <w:unhideWhenUsed/>
    <w:rsid w:val="00EC0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Mustonen, Kari</dc:creator>
  <cp:lastModifiedBy>Halonen Minna</cp:lastModifiedBy>
  <cp:revision>2</cp:revision>
  <dcterms:created xsi:type="dcterms:W3CDTF">2014-11-14T13:11:00Z</dcterms:created>
  <dcterms:modified xsi:type="dcterms:W3CDTF">2014-11-14T13:11:00Z</dcterms:modified>
</cp:coreProperties>
</file>