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bookmarkStart w:id="0" w:name="_GoBack"/>
      <w:bookmarkEnd w:id="0"/>
      <w:r w:rsidRPr="005925EF">
        <w:rPr>
          <w:b/>
          <w:sz w:val="22"/>
          <w:lang w:val="fi-FI"/>
        </w:rPr>
        <w:t>Sonkajärven kunnan lausunto luonnoksesta hallituksen esitykseksi eduskunnalle laeiksi lukiolain, ammatillisesta peruskoulutuksesta annetun lain, ammatillisesta aikuiskoulutuksesta annetun lain sekä vapaasta sivistystyöstä annetun lain 4 §:n muuttamisesta, OKM/57/010/201</w:t>
      </w:r>
      <w:r w:rsidRPr="005925EF">
        <w:rPr>
          <w:sz w:val="22"/>
          <w:lang w:val="fi-FI"/>
        </w:rPr>
        <w:t>.</w:t>
      </w:r>
    </w:p>
    <w:p w:rsidR="005925EF" w:rsidRPr="005925EF" w:rsidRDefault="005925EF" w:rsidP="005925EF">
      <w:pPr>
        <w:pStyle w:val="Normal"/>
        <w:tabs>
          <w:tab w:val="left" w:pos="2608"/>
          <w:tab w:val="left" w:pos="3912"/>
          <w:tab w:val="left" w:pos="5216"/>
          <w:tab w:val="left" w:pos="6520"/>
          <w:tab w:val="left" w:pos="7824"/>
          <w:tab w:val="left" w:pos="9128"/>
        </w:tabs>
        <w:rPr>
          <w:sz w:val="22"/>
          <w:lang w:val="fi-FI"/>
        </w:rPr>
      </w:pP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r w:rsidRPr="005925EF">
        <w:rPr>
          <w:sz w:val="22"/>
          <w:lang w:val="fi-FI"/>
        </w:rPr>
        <w:t>Sonkajärven kunnassa järjestetään toisen asteen yleissivistävää koulutusta Sonkajärven lukiossa. Siksi tässä lausunnossa keskitytään lukiokoulutuksen järjestäjäverkkoon liittyviin uudistuksiin.</w:t>
      </w: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r w:rsidRPr="005925EF">
        <w:rPr>
          <w:sz w:val="22"/>
          <w:lang w:val="fi-FI"/>
        </w:rPr>
        <w:t>Toisen asteen koulutus on järjestetty Suomessa nykyään hyvin monin eri tavoin.</w:t>
      </w:r>
      <w:r>
        <w:rPr>
          <w:sz w:val="22"/>
          <w:lang w:val="fi-FI"/>
        </w:rPr>
        <w:t xml:space="preserve"> </w:t>
      </w:r>
      <w:r w:rsidRPr="005925EF">
        <w:rPr>
          <w:sz w:val="22"/>
          <w:lang w:val="fi-FI"/>
        </w:rPr>
        <w:t>Esitettyjen lakiuudistusten vaikutuksia ei ole voitu ennakoida tarpeeksi monipuolisesti.  Tehtyjen selvitysten mukaan on todettu, että koulutuksen järjestäjän koolla ei ole merkitystä saavutettuihin oppimistuloksiin. Uusi lakiesitys lähtee kuitenkin siitä olettamasta, että suuri koulutuksen järjestäjä on parempi kuin pieni.</w:t>
      </w: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r w:rsidRPr="005925EF">
        <w:rPr>
          <w:sz w:val="22"/>
          <w:lang w:val="fi-FI"/>
        </w:rPr>
        <w:t xml:space="preserve">Koulutuksen järjestäjien toimiluvat peruutetaan, mutta luonnoksessa ei ole kerrottu, millä kriteereillä uudet toimiluvat tullaan myöntämään. Tämä asettaa kuntalaiset ja Suomen kunnat keskenään eriarvoiseen asemaan. Suomi on laaja maa, jonka eri osissa on erilaisia kuntia. Ei voida määritellä absoluuttisia arvoja esim. kunnan koosta tai välimatkasta, jotka pätevät koko Suomen alueella ja joiden perusteella toimiluvat voitaisiin tasapuolisesti jatkossa myöntää. Toisaalta </w:t>
      </w:r>
      <w:r w:rsidRPr="005925EF">
        <w:rPr>
          <w:i/>
          <w:sz w:val="22"/>
          <w:lang w:val="fi-FI"/>
        </w:rPr>
        <w:t>"vahva koulutuksenjärjestäjä"</w:t>
      </w:r>
      <w:r w:rsidRPr="005925EF">
        <w:rPr>
          <w:sz w:val="22"/>
          <w:lang w:val="fi-FI"/>
        </w:rPr>
        <w:t xml:space="preserve"> ei toteudu taloudellisten tunnuslukujen valossa mm. suurissa kaupungeissa, jotka kamppailevat kasvavien budjettialijäämien kanssa.</w:t>
      </w: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r w:rsidRPr="005925EF">
        <w:rPr>
          <w:sz w:val="22"/>
          <w:lang w:val="fi-FI"/>
        </w:rPr>
        <w:t>Asian valmisteluun käytettävissä ollut aika on ollut aivan liian lyhyt, jotta kaikki yhteiskunnalliset vaikutukset olisi voitu ennakoida, esim. lukiokoulutuksen ja perusopetuksen yhteistyö harvaanasutuilla alueilla.</w:t>
      </w: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r w:rsidRPr="005925EF">
        <w:rPr>
          <w:sz w:val="22"/>
          <w:lang w:val="fi-FI"/>
        </w:rPr>
        <w:t>Esityksessä on myös useita virheellisiä tulkintoja ja paljon olettamuksia, jotka eivät perustu tutkittuun tietoon, esim: "</w:t>
      </w:r>
      <w:r w:rsidRPr="005925EF">
        <w:rPr>
          <w:i/>
          <w:sz w:val="22"/>
          <w:lang w:val="fi-FI"/>
        </w:rPr>
        <w:t xml:space="preserve">Kuntien kiristynyt taloudellinen tilanne on myös heikentänyt koulutuksen laatua ja monessa taloudellisissa vaikeuksissa olevassa kunnassa on suuria haasteita laadukkaan ja tasa-arvoisen lukiokoulutuksen järjestämisessä. Taloudellisten edellytysten tiukkeneminen heijastuu ensisijassa koulutuksen laatutekijöihin, pätevän opetushenkilökunnan saatavuuteen, kurssitarjonnan monipuolisuuteen sekä opetuksen tukipalvelujen määrään ja tasoon". </w:t>
      </w:r>
      <w:r w:rsidRPr="005925EF">
        <w:rPr>
          <w:sz w:val="22"/>
          <w:lang w:val="fi-FI"/>
        </w:rPr>
        <w:t>Mihin tutkimukseen tämä olettamus perustuu? Miten koulutuksen laatua on mitattu? Miten pelkkä hallinnon rakenneuudistus parantaa kuntien heikkoa taloudellista asemaa?</w:t>
      </w:r>
    </w:p>
    <w:p w:rsidR="005925EF" w:rsidRPr="005925EF" w:rsidRDefault="005925EF" w:rsidP="005925EF">
      <w:pPr>
        <w:pStyle w:val="Normal"/>
        <w:tabs>
          <w:tab w:val="left" w:pos="2608"/>
          <w:tab w:val="left" w:pos="3912"/>
          <w:tab w:val="left" w:pos="5216"/>
          <w:tab w:val="left" w:pos="6520"/>
          <w:tab w:val="left" w:pos="7824"/>
          <w:tab w:val="left" w:pos="9128"/>
        </w:tabs>
        <w:ind w:left="2608"/>
        <w:rPr>
          <w:b/>
          <w:sz w:val="22"/>
          <w:lang w:val="fi-FI"/>
        </w:rPr>
      </w:pP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r w:rsidRPr="005925EF">
        <w:rPr>
          <w:b/>
          <w:sz w:val="22"/>
          <w:lang w:val="fi-FI"/>
        </w:rPr>
        <w:t>Sonkajärven kunta ei voi hyväksyä esityksessä olevaa toisen asteen koulutuksen järjestämislupien lakkauttamista, kun tiedossa ei vielä ole uusien lupien myöntämisen kriteereitä</w:t>
      </w:r>
      <w:r w:rsidRPr="005925EF">
        <w:rPr>
          <w:sz w:val="22"/>
          <w:lang w:val="fi-FI"/>
        </w:rPr>
        <w:t>. Kunnille tulee taata itsenäinen oikeus järjestää koulutuksellisia peruspalveluita jatkossakin, ja kuntien erityisasema koulutuksen järjestäjinä täytyy tunnustaa jo lain valmistelussa.</w:t>
      </w: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p>
    <w:p w:rsidR="005925EF" w:rsidRDefault="005925EF" w:rsidP="005925EF">
      <w:pPr>
        <w:pStyle w:val="Normal"/>
        <w:tabs>
          <w:tab w:val="left" w:pos="2608"/>
          <w:tab w:val="left" w:pos="3912"/>
          <w:tab w:val="left" w:pos="5216"/>
          <w:tab w:val="left" w:pos="6520"/>
          <w:tab w:val="left" w:pos="7824"/>
          <w:tab w:val="left" w:pos="9128"/>
        </w:tabs>
        <w:ind w:left="2608"/>
        <w:rPr>
          <w:sz w:val="22"/>
          <w:lang w:val="fi-FI"/>
        </w:rPr>
      </w:pPr>
      <w:r w:rsidRPr="005925EF">
        <w:rPr>
          <w:sz w:val="22"/>
          <w:lang w:val="fi-FI"/>
        </w:rPr>
        <w:t>Kuntien ja oppilaitosten erilaisuus sekä erikokoisuus täytyy säilyttää mm. laaduk</w:t>
      </w:r>
      <w:r>
        <w:rPr>
          <w:sz w:val="22"/>
          <w:lang w:val="fi-FI"/>
        </w:rPr>
        <w:t>kaan perusopetuksen yläluokkien a</w:t>
      </w:r>
      <w:r w:rsidRPr="005925EF">
        <w:rPr>
          <w:sz w:val="22"/>
          <w:lang w:val="fi-FI"/>
        </w:rPr>
        <w:t>ineenopettajajärjestelmän takaamiseksi harvaanasutuilla alueilla.</w:t>
      </w:r>
    </w:p>
    <w:p w:rsidR="005925EF" w:rsidRDefault="005925EF" w:rsidP="005925EF">
      <w:pPr>
        <w:pStyle w:val="Normal"/>
        <w:tabs>
          <w:tab w:val="left" w:pos="2608"/>
          <w:tab w:val="left" w:pos="3912"/>
          <w:tab w:val="left" w:pos="5216"/>
          <w:tab w:val="left" w:pos="6520"/>
          <w:tab w:val="left" w:pos="7824"/>
          <w:tab w:val="left" w:pos="9128"/>
        </w:tabs>
        <w:ind w:left="2608"/>
        <w:rPr>
          <w:sz w:val="22"/>
          <w:lang w:val="fi-FI"/>
        </w:rPr>
      </w:pPr>
    </w:p>
    <w:p w:rsidR="005925EF" w:rsidRPr="005925EF" w:rsidRDefault="005925EF" w:rsidP="005925EF">
      <w:pPr>
        <w:pStyle w:val="Normal"/>
        <w:tabs>
          <w:tab w:val="left" w:pos="2608"/>
          <w:tab w:val="left" w:pos="3912"/>
          <w:tab w:val="left" w:pos="5216"/>
          <w:tab w:val="left" w:pos="6520"/>
          <w:tab w:val="left" w:pos="7824"/>
          <w:tab w:val="left" w:pos="9128"/>
        </w:tabs>
        <w:ind w:left="2608"/>
        <w:rPr>
          <w:sz w:val="22"/>
          <w:lang w:val="fi-FI"/>
        </w:rPr>
      </w:pPr>
      <w:r>
        <w:rPr>
          <w:sz w:val="22"/>
          <w:lang w:val="fi-FI"/>
        </w:rPr>
        <w:lastRenderedPageBreak/>
        <w:t>Lukion yhteiskunnallinen merkitys, esimerkiksi nuorisotakuun toteuttajana, on myös huomioitava toimilupaa myönnettäessä. Useilla harvaanasutuilla seuduilla lukio on ainoa toisen asteen oppilaitos, josta kunta voi nuorelle osoittaa opiskelupaikan.</w:t>
      </w:r>
    </w:p>
    <w:p w:rsidR="005925EF" w:rsidRDefault="005925EF" w:rsidP="005925EF">
      <w:pPr>
        <w:pStyle w:val="Normal"/>
        <w:tabs>
          <w:tab w:val="left" w:pos="2608"/>
          <w:tab w:val="left" w:pos="3912"/>
          <w:tab w:val="left" w:pos="5216"/>
          <w:tab w:val="left" w:pos="6520"/>
          <w:tab w:val="left" w:pos="7824"/>
          <w:tab w:val="left" w:pos="9128"/>
        </w:tabs>
        <w:ind w:left="2608" w:hanging="2608"/>
        <w:rPr>
          <w:sz w:val="22"/>
          <w:lang w:val="fi-FI"/>
        </w:rPr>
      </w:pPr>
    </w:p>
    <w:p w:rsidR="00740437" w:rsidRDefault="006D3432" w:rsidP="005925EF">
      <w:pPr>
        <w:pStyle w:val="Normal"/>
        <w:tabs>
          <w:tab w:val="left" w:pos="2608"/>
          <w:tab w:val="left" w:pos="3912"/>
          <w:tab w:val="left" w:pos="5216"/>
          <w:tab w:val="left" w:pos="6520"/>
          <w:tab w:val="left" w:pos="7824"/>
          <w:tab w:val="left" w:pos="9128"/>
        </w:tabs>
        <w:ind w:left="2608" w:hanging="2608"/>
        <w:rPr>
          <w:sz w:val="22"/>
          <w:lang w:val="fi-FI"/>
        </w:rPr>
      </w:pPr>
      <w:r>
        <w:rPr>
          <w:sz w:val="22"/>
          <w:lang w:val="fi-FI"/>
        </w:rPr>
        <w:tab/>
        <w:t>11.11.2014 Sonkajärvellä</w:t>
      </w:r>
    </w:p>
    <w:p w:rsidR="006D3432" w:rsidRDefault="006D3432" w:rsidP="005925EF">
      <w:pPr>
        <w:pStyle w:val="Normal"/>
        <w:tabs>
          <w:tab w:val="left" w:pos="2608"/>
          <w:tab w:val="left" w:pos="3912"/>
          <w:tab w:val="left" w:pos="5216"/>
          <w:tab w:val="left" w:pos="6520"/>
          <w:tab w:val="left" w:pos="7824"/>
          <w:tab w:val="left" w:pos="9128"/>
        </w:tabs>
        <w:ind w:left="2608" w:hanging="2608"/>
        <w:rPr>
          <w:sz w:val="22"/>
          <w:lang w:val="fi-FI"/>
        </w:rPr>
      </w:pPr>
    </w:p>
    <w:p w:rsidR="006D3432" w:rsidRDefault="006D3432" w:rsidP="005925EF">
      <w:pPr>
        <w:pStyle w:val="Normal"/>
        <w:tabs>
          <w:tab w:val="left" w:pos="2608"/>
          <w:tab w:val="left" w:pos="3912"/>
          <w:tab w:val="left" w:pos="5216"/>
          <w:tab w:val="left" w:pos="6520"/>
          <w:tab w:val="left" w:pos="7824"/>
          <w:tab w:val="left" w:pos="9128"/>
        </w:tabs>
        <w:ind w:left="2608" w:hanging="2608"/>
        <w:rPr>
          <w:sz w:val="22"/>
          <w:lang w:val="fi-FI"/>
        </w:rPr>
      </w:pPr>
    </w:p>
    <w:p w:rsidR="00740437" w:rsidRPr="005925EF" w:rsidRDefault="00740437" w:rsidP="005925EF">
      <w:pPr>
        <w:pStyle w:val="Normal"/>
        <w:tabs>
          <w:tab w:val="left" w:pos="2608"/>
          <w:tab w:val="left" w:pos="3912"/>
          <w:tab w:val="left" w:pos="5216"/>
          <w:tab w:val="left" w:pos="6520"/>
          <w:tab w:val="left" w:pos="7824"/>
          <w:tab w:val="left" w:pos="9128"/>
        </w:tabs>
        <w:ind w:left="2608" w:hanging="2608"/>
        <w:rPr>
          <w:sz w:val="22"/>
          <w:lang w:val="fi-FI"/>
        </w:rPr>
      </w:pPr>
      <w:r>
        <w:rPr>
          <w:sz w:val="22"/>
          <w:lang w:val="fi-FI"/>
        </w:rPr>
        <w:tab/>
        <w:t>Sivistyslautakunta</w:t>
      </w:r>
      <w:r w:rsidR="00FA1A80">
        <w:rPr>
          <w:sz w:val="22"/>
          <w:lang w:val="fi-FI"/>
        </w:rPr>
        <w:t xml:space="preserve"> (</w:t>
      </w:r>
      <w:r w:rsidR="00FA1A80">
        <w:t xml:space="preserve">298/12.00.00/2014) </w:t>
      </w:r>
      <w:r>
        <w:rPr>
          <w:sz w:val="22"/>
          <w:lang w:val="fi-FI"/>
        </w:rPr>
        <w:t xml:space="preserve"> </w:t>
      </w:r>
    </w:p>
    <w:p w:rsidR="000A2F8B" w:rsidRDefault="000A2F8B"/>
    <w:sectPr w:rsidR="000A2F8B">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1304"/>
  <w:autoHyphenation/>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25EF"/>
    <w:rsid w:val="000A2F8B"/>
    <w:rsid w:val="005925EF"/>
    <w:rsid w:val="0066414D"/>
    <w:rsid w:val="006D3432"/>
    <w:rsid w:val="00740437"/>
    <w:rsid w:val="00743E76"/>
    <w:rsid w:val="00F86C03"/>
    <w:rsid w:val="00FA1A80"/>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rsid w:val="005925EF"/>
    <w:pPr>
      <w:spacing w:after="0" w:line="240" w:lineRule="auto"/>
    </w:pPr>
    <w:rPr>
      <w:rFonts w:ascii="Arial" w:eastAsia="Arial" w:hAnsi="Arial" w:cs="Times New Roman"/>
      <w:noProof/>
      <w:sz w:val="24"/>
      <w:szCs w:val="20"/>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i-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Normal">
    <w:name w:val="[Normal]"/>
    <w:rsid w:val="005925EF"/>
    <w:pPr>
      <w:spacing w:after="0" w:line="240" w:lineRule="auto"/>
    </w:pPr>
    <w:rPr>
      <w:rFonts w:ascii="Arial" w:eastAsia="Arial" w:hAnsi="Arial" w:cs="Times New Roman"/>
      <w:noProof/>
      <w:sz w:val="24"/>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8FB9150-4E15-4DF9-81C1-EA00225F3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2954</Characters>
  <Application>Microsoft Office Word</Application>
  <DocSecurity>0</DocSecurity>
  <Lines>24</Lines>
  <Paragraphs>6</Paragraphs>
  <ScaleCrop>false</ScaleCrop>
  <HeadingPairs>
    <vt:vector size="2" baseType="variant">
      <vt:variant>
        <vt:lpstr>Otsikko</vt:lpstr>
      </vt:variant>
      <vt:variant>
        <vt:i4>1</vt:i4>
      </vt:variant>
    </vt:vector>
  </HeadingPairs>
  <TitlesOfParts>
    <vt:vector size="1" baseType="lpstr">
      <vt:lpstr/>
    </vt:vector>
  </TitlesOfParts>
  <Company>Hewlett-Packard Company</Company>
  <LinksUpToDate>false</LinksUpToDate>
  <CharactersWithSpaces>3312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auli halonen</dc:creator>
  <cp:lastModifiedBy>Halonen Minna</cp:lastModifiedBy>
  <cp:revision>2</cp:revision>
  <dcterms:created xsi:type="dcterms:W3CDTF">2014-11-13T10:29:00Z</dcterms:created>
  <dcterms:modified xsi:type="dcterms:W3CDTF">2014-11-13T10:29:00Z</dcterms:modified>
</cp:coreProperties>
</file>