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63" w:rsidRDefault="00AB6E63" w:rsidP="00AB6E63">
      <w:bookmarkStart w:id="0" w:name="_GoBack"/>
      <w:bookmarkEnd w:id="0"/>
      <w:r w:rsidRPr="00AB6E63">
        <w:t>Lainsäädäntöneuvos Mari Aalto</w:t>
      </w:r>
    </w:p>
    <w:p w:rsidR="00AB6E63" w:rsidRDefault="00AB6E63" w:rsidP="00AB6E63">
      <w:r w:rsidRPr="00AB6E63">
        <w:t>Oikeusministeriö</w:t>
      </w:r>
    </w:p>
    <w:p w:rsidR="00AB6E63" w:rsidRDefault="00AB6E63" w:rsidP="00AB6E63">
      <w:r w:rsidRPr="00AB6E63">
        <w:t>PL 25</w:t>
      </w:r>
    </w:p>
    <w:p w:rsidR="00966C10" w:rsidRDefault="00AB6E63" w:rsidP="00AB6E63">
      <w:r w:rsidRPr="00AB6E63">
        <w:t>00023 Valtioneuvosto</w:t>
      </w:r>
    </w:p>
    <w:p w:rsidR="003C150F" w:rsidRDefault="003C150F" w:rsidP="00966C10"/>
    <w:p w:rsidR="00966C10" w:rsidRDefault="00966C10" w:rsidP="00966C10"/>
    <w:p w:rsidR="00966C10" w:rsidRDefault="00966C10" w:rsidP="006B084D"/>
    <w:p w:rsidR="006B084D" w:rsidRDefault="006B084D" w:rsidP="006B084D"/>
    <w:p w:rsidR="00966C10" w:rsidRDefault="00AB6E63" w:rsidP="00966C10">
      <w:r w:rsidRPr="00AB6E63">
        <w:rPr>
          <w:rFonts w:ascii="Times New Roman" w:hAnsi="Times New Roman" w:cs="Times New Roman"/>
        </w:rPr>
        <w:t>Lausuntopyyntönne: 24.11.2016, OM 2/472/2016</w:t>
      </w:r>
    </w:p>
    <w:p w:rsidR="00966C10" w:rsidRPr="00966C10" w:rsidRDefault="00966C10" w:rsidP="00966C10"/>
    <w:sdt>
      <w:sdtPr>
        <w:rPr>
          <w:rFonts w:eastAsiaTheme="minorHAnsi"/>
          <w:sz w:val="22"/>
          <w:szCs w:val="22"/>
        </w:rPr>
        <w:alias w:val="Otsikko"/>
        <w:tag w:val=""/>
        <w:id w:val="1014652800"/>
        <w:placeholder>
          <w:docPart w:val="4E12D5ECB1584BD0BF84BEEDA8F944BA"/>
        </w:placeholder>
        <w:dataBinding w:prefixMappings="xmlns:ns0='http://purl.org/dc/elements/1.1/' xmlns:ns1='http://schemas.openxmlformats.org/package/2006/metadata/core-properties' " w:xpath="/ns1:coreProperties[1]/ns0:title[1]" w:storeItemID="{6C3C8BC8-F283-45AE-878A-BAB7291924A1}"/>
        <w:text/>
      </w:sdtPr>
      <w:sdtEndPr/>
      <w:sdtContent>
        <w:p w:rsidR="007E5454" w:rsidRPr="00AB6E63" w:rsidRDefault="00AB6E63" w:rsidP="00AB6E63">
          <w:pPr>
            <w:pStyle w:val="Otsikko"/>
          </w:pPr>
          <w:r w:rsidRPr="00AB6E63">
            <w:rPr>
              <w:rFonts w:eastAsiaTheme="minorHAnsi"/>
              <w:sz w:val="22"/>
              <w:szCs w:val="22"/>
            </w:rPr>
            <w:t>FINNVERA OYJ:N LAUSUNTO, JOKA KOSKEE KOMISSION MAKSUKYVYTTÖMYYSLAIN-SÄÄDÄNTÖJEN HARMONISOINTIA KÄSITTELEVÄÄ DIREKTIIVIEHDOTUSTA 2016/0359 (COD)</w:t>
          </w:r>
        </w:p>
      </w:sdtContent>
    </w:sdt>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 Oyj (jäljempänä myös ”Finnvera”) kiittää oikeusministeriötä mahdo</w:t>
      </w:r>
      <w:r w:rsidRPr="00AB6E63">
        <w:rPr>
          <w:rFonts w:asciiTheme="majorHAnsi" w:hAnsiTheme="majorHAnsi" w:cstheme="majorHAnsi"/>
        </w:rPr>
        <w:t>l</w:t>
      </w:r>
      <w:r w:rsidRPr="00AB6E63">
        <w:rPr>
          <w:rFonts w:asciiTheme="majorHAnsi" w:hAnsiTheme="majorHAnsi" w:cstheme="majorHAnsi"/>
        </w:rPr>
        <w:t>lisuudesta lausua komission 22.11.2016 antamasta maksukyvyttömyyslai</w:t>
      </w:r>
      <w:r w:rsidRPr="00AB6E63">
        <w:rPr>
          <w:rFonts w:asciiTheme="majorHAnsi" w:hAnsiTheme="majorHAnsi" w:cstheme="majorHAnsi"/>
        </w:rPr>
        <w:t>n</w:t>
      </w:r>
      <w:r w:rsidRPr="00AB6E63">
        <w:rPr>
          <w:rFonts w:asciiTheme="majorHAnsi" w:hAnsiTheme="majorHAnsi" w:cstheme="majorHAnsi"/>
        </w:rPr>
        <w:t xml:space="preserve">säädäntöjen harmonisointia koskevasta direktiiviehdotuksesta (jäljempänä myös ”ehdotus”).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Finnveran näkökulmasta EU:n pääomamarkkinoiden kehittäminen ja kansa</w:t>
      </w:r>
      <w:r w:rsidRPr="00AB6E63">
        <w:rPr>
          <w:rFonts w:asciiTheme="majorHAnsi" w:hAnsiTheme="majorHAnsi" w:cstheme="majorHAnsi"/>
        </w:rPr>
        <w:t>l</w:t>
      </w:r>
      <w:r w:rsidRPr="00AB6E63">
        <w:rPr>
          <w:rFonts w:asciiTheme="majorHAnsi" w:hAnsiTheme="majorHAnsi" w:cstheme="majorHAnsi"/>
        </w:rPr>
        <w:t>listen maksukyvyttömyyslainsäädäntöjen harmonisointi on hyvin tärkeää. As</w:t>
      </w:r>
      <w:r w:rsidRPr="00AB6E63">
        <w:rPr>
          <w:rFonts w:asciiTheme="majorHAnsi" w:hAnsiTheme="majorHAnsi" w:cstheme="majorHAnsi"/>
        </w:rPr>
        <w:t>i</w:t>
      </w:r>
      <w:r w:rsidRPr="00AB6E63">
        <w:rPr>
          <w:rFonts w:asciiTheme="majorHAnsi" w:hAnsiTheme="majorHAnsi" w:cstheme="majorHAnsi"/>
        </w:rPr>
        <w:t>assa on kuitenkin todettava, että Suomi on kansainvälisesti arvioiden inso</w:t>
      </w:r>
      <w:r w:rsidRPr="00AB6E63">
        <w:rPr>
          <w:rFonts w:asciiTheme="majorHAnsi" w:hAnsiTheme="majorHAnsi" w:cstheme="majorHAnsi"/>
        </w:rPr>
        <w:t>l</w:t>
      </w:r>
      <w:r w:rsidRPr="00AB6E63">
        <w:rPr>
          <w:rFonts w:asciiTheme="majorHAnsi" w:hAnsiTheme="majorHAnsi" w:cstheme="majorHAnsi"/>
        </w:rPr>
        <w:t>venssilainsäädännön kärkimaita. Lainsäädäntömme ja järjestelmämme ovat hyvin korkeatasoisia ja ne voivat toimia useassa kohtaa esikuvana muille j</w:t>
      </w:r>
      <w:r w:rsidRPr="00AB6E63">
        <w:rPr>
          <w:rFonts w:asciiTheme="majorHAnsi" w:hAnsiTheme="majorHAnsi" w:cstheme="majorHAnsi"/>
        </w:rPr>
        <w:t>ä</w:t>
      </w:r>
      <w:r w:rsidRPr="00AB6E63">
        <w:rPr>
          <w:rFonts w:asciiTheme="majorHAnsi" w:hAnsiTheme="majorHAnsi" w:cstheme="majorHAnsi"/>
        </w:rPr>
        <w:t>senvaltioille, jotka eivät ole näissä asioissa</w:t>
      </w:r>
      <w:r>
        <w:rPr>
          <w:rFonts w:asciiTheme="majorHAnsi" w:hAnsiTheme="majorHAnsi" w:cstheme="majorHAnsi"/>
        </w:rPr>
        <w:t xml:space="preserve"> vielä samalla tasolla</w:t>
      </w:r>
      <w:r w:rsidRPr="00AB6E63">
        <w:rPr>
          <w:rFonts w:asciiTheme="majorHAnsi" w:hAnsiTheme="majorHAnsi" w:cstheme="majorHAnsi"/>
        </w:rPr>
        <w:t>.</w:t>
      </w:r>
    </w:p>
    <w:p w:rsidR="00AB6E63" w:rsidRDefault="00AB6E63" w:rsidP="00AB6E63">
      <w:pPr>
        <w:pStyle w:val="Leipteksti"/>
        <w:jc w:val="both"/>
        <w:rPr>
          <w:rFonts w:asciiTheme="majorHAnsi" w:hAnsiTheme="majorHAnsi" w:cstheme="majorHAnsi"/>
        </w:rPr>
      </w:pPr>
      <w:r>
        <w:rPr>
          <w:rFonts w:asciiTheme="majorHAnsi" w:hAnsiTheme="majorHAnsi" w:cstheme="majorHAnsi"/>
        </w:rPr>
        <w:t>L</w:t>
      </w:r>
      <w:r w:rsidRPr="00AB6E63">
        <w:rPr>
          <w:rFonts w:asciiTheme="majorHAnsi" w:hAnsiTheme="majorHAnsi" w:cstheme="majorHAnsi"/>
        </w:rPr>
        <w:t xml:space="preserve">uonnollisesti myös suomalaisessa lainsäädännössä on tilaa kehitykselle ja opittavaa muiden maiden käytännöistä. Finnvera nostaa ehdotuksessa esille niitä kohtia, joita se pitää tärkeimpinä tässä ehdotuksessa. </w:t>
      </w:r>
      <w:r>
        <w:rPr>
          <w:rFonts w:asciiTheme="majorHAnsi" w:hAnsiTheme="majorHAnsi" w:cstheme="majorHAnsi"/>
        </w:rPr>
        <w:t>Mainittakoon, että lausuman kirjoittaja on ollut antamassa lausumaa myös Insolvenssioikeudell</w:t>
      </w:r>
      <w:r>
        <w:rPr>
          <w:rFonts w:asciiTheme="majorHAnsi" w:hAnsiTheme="majorHAnsi" w:cstheme="majorHAnsi"/>
        </w:rPr>
        <w:t>i</w:t>
      </w:r>
      <w:r>
        <w:rPr>
          <w:rFonts w:asciiTheme="majorHAnsi" w:hAnsiTheme="majorHAnsi" w:cstheme="majorHAnsi"/>
        </w:rPr>
        <w:t>sen Yhdistys ry:n (FILA) puolesta, joten lausumissa on tiettyjä yhteneväisyy</w:t>
      </w:r>
      <w:r>
        <w:rPr>
          <w:rFonts w:asciiTheme="majorHAnsi" w:hAnsiTheme="majorHAnsi" w:cstheme="majorHAnsi"/>
        </w:rPr>
        <w:t>k</w:t>
      </w:r>
      <w:r>
        <w:rPr>
          <w:rFonts w:asciiTheme="majorHAnsi" w:hAnsiTheme="majorHAnsi" w:cstheme="majorHAnsi"/>
        </w:rPr>
        <w:t>siä.</w:t>
      </w:r>
    </w:p>
    <w:p w:rsidR="00AA23A9" w:rsidRPr="00AB6E63" w:rsidRDefault="00AA23A9"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rPr>
      </w:pPr>
      <w:r w:rsidRPr="00AB6E63">
        <w:rPr>
          <w:rFonts w:asciiTheme="majorHAnsi" w:hAnsiTheme="majorHAnsi" w:cstheme="majorHAnsi"/>
        </w:rPr>
        <w:t xml:space="preserve">Varoitusjärjestelmät (Artikla 3 ”Early warning”)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Tämä asia on hyvin tärkeä. Ehdotus asettaisi jäsenvaltioille velvollisuuden varmistaa, että yrittäjillä on käytössään sellaiset varoitusjärjestelmät, joiden avulla pystytään havaitsemaan yrityksen taloudellisen tilanteen heikkenem</w:t>
      </w:r>
      <w:r w:rsidRPr="00AB6E63">
        <w:rPr>
          <w:rFonts w:asciiTheme="majorHAnsi" w:hAnsiTheme="majorHAnsi" w:cstheme="majorHAnsi"/>
        </w:rPr>
        <w:t>i</w:t>
      </w:r>
      <w:r w:rsidRPr="00AB6E63">
        <w:rPr>
          <w:rFonts w:asciiTheme="majorHAnsi" w:hAnsiTheme="majorHAnsi" w:cstheme="majorHAnsi"/>
        </w:rPr>
        <w:t>nen. Yrittäjien tulee myös saada tiedot tällaisten varoitusjärjestelmien ol</w:t>
      </w:r>
      <w:r w:rsidRPr="00AB6E63">
        <w:rPr>
          <w:rFonts w:asciiTheme="majorHAnsi" w:hAnsiTheme="majorHAnsi" w:cstheme="majorHAnsi"/>
        </w:rPr>
        <w:t>e</w:t>
      </w:r>
      <w:r w:rsidRPr="00AB6E63">
        <w:rPr>
          <w:rFonts w:asciiTheme="majorHAnsi" w:hAnsiTheme="majorHAnsi" w:cstheme="majorHAnsi"/>
        </w:rPr>
        <w:t xml:space="preserve">massaolosta ja saatavuudesta.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On tärkeää, että velallinen pääsee reagoimaan taloudellisen tilanteensa hei</w:t>
      </w:r>
      <w:r w:rsidRPr="00AB6E63">
        <w:rPr>
          <w:rFonts w:asciiTheme="majorHAnsi" w:hAnsiTheme="majorHAnsi" w:cstheme="majorHAnsi"/>
        </w:rPr>
        <w:t>k</w:t>
      </w:r>
      <w:r w:rsidRPr="00AB6E63">
        <w:rPr>
          <w:rFonts w:asciiTheme="majorHAnsi" w:hAnsiTheme="majorHAnsi" w:cstheme="majorHAnsi"/>
        </w:rPr>
        <w:t>kenemiseen nopeasti ja riittävän ajoissa, jotta parempi mahdollisuus yrityksen liiketoiminnan tervehdyttämiseen olisi olemassa. On valitettavaa, että suurin osa saneerauksista epäonnistuu juuri sen takia, että menettely aloitetaan liian myöhään. Tällöin yrityksen tila ei ole usein ole enää terveytettävissä ja ko</w:t>
      </w:r>
      <w:r w:rsidRPr="00AB6E63">
        <w:rPr>
          <w:rFonts w:asciiTheme="majorHAnsi" w:hAnsiTheme="majorHAnsi" w:cstheme="majorHAnsi"/>
        </w:rPr>
        <w:t>n</w:t>
      </w:r>
      <w:r w:rsidRPr="00AB6E63">
        <w:rPr>
          <w:rFonts w:asciiTheme="majorHAnsi" w:hAnsiTheme="majorHAnsi" w:cstheme="majorHAnsi"/>
        </w:rPr>
        <w:t>kurssi olisi ollut niin velalliselle kuin velkojalle parempi vaihtoehto kuin jälk</w:t>
      </w:r>
      <w:r w:rsidRPr="00AB6E63">
        <w:rPr>
          <w:rFonts w:asciiTheme="majorHAnsi" w:hAnsiTheme="majorHAnsi" w:cstheme="majorHAnsi"/>
        </w:rPr>
        <w:t>i</w:t>
      </w:r>
      <w:r w:rsidRPr="00AB6E63">
        <w:rPr>
          <w:rFonts w:asciiTheme="majorHAnsi" w:hAnsiTheme="majorHAnsi" w:cstheme="majorHAnsi"/>
        </w:rPr>
        <w:t xml:space="preserve">konkurssiin johtanut saneerausyritys.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lastRenderedPageBreak/>
        <w:t>Käytännössä velkojat käyttävät luottosopimuksissa erilaisia kovenantteja, joi</w:t>
      </w:r>
      <w:r w:rsidRPr="00AB6E63">
        <w:rPr>
          <w:rFonts w:asciiTheme="majorHAnsi" w:hAnsiTheme="majorHAnsi" w:cstheme="majorHAnsi"/>
        </w:rPr>
        <w:t>l</w:t>
      </w:r>
      <w:r w:rsidRPr="00AB6E63">
        <w:rPr>
          <w:rFonts w:asciiTheme="majorHAnsi" w:hAnsiTheme="majorHAnsi" w:cstheme="majorHAnsi"/>
        </w:rPr>
        <w:t>la asetetaan velallisille erilaisia raportointivelvollisuuksia. Näiden avulla vo</w:t>
      </w:r>
      <w:r w:rsidRPr="00AB6E63">
        <w:rPr>
          <w:rFonts w:asciiTheme="majorHAnsi" w:hAnsiTheme="majorHAnsi" w:cstheme="majorHAnsi"/>
        </w:rPr>
        <w:t>i</w:t>
      </w:r>
      <w:r w:rsidRPr="00AB6E63">
        <w:rPr>
          <w:rFonts w:asciiTheme="majorHAnsi" w:hAnsiTheme="majorHAnsi" w:cstheme="majorHAnsi"/>
        </w:rPr>
        <w:t>daan seurata velallisen taloudellista tilannetta ja tarvittaessa reagoida tila</w:t>
      </w:r>
      <w:r w:rsidRPr="00AB6E63">
        <w:rPr>
          <w:rFonts w:asciiTheme="majorHAnsi" w:hAnsiTheme="majorHAnsi" w:cstheme="majorHAnsi"/>
        </w:rPr>
        <w:t>n</w:t>
      </w:r>
      <w:r w:rsidRPr="00AB6E63">
        <w:rPr>
          <w:rFonts w:asciiTheme="majorHAnsi" w:hAnsiTheme="majorHAnsi" w:cstheme="majorHAnsi"/>
        </w:rPr>
        <w:t xml:space="preserve">teeseen. </w:t>
      </w:r>
    </w:p>
    <w:p w:rsidR="00AB6E63" w:rsidRDefault="00AB6E63" w:rsidP="00AB6E63">
      <w:pPr>
        <w:pStyle w:val="Leipteksti"/>
        <w:jc w:val="both"/>
        <w:rPr>
          <w:rFonts w:asciiTheme="majorHAnsi" w:hAnsiTheme="majorHAnsi" w:cstheme="majorHAnsi"/>
        </w:rPr>
      </w:pPr>
      <w:r w:rsidRPr="00AB6E63">
        <w:rPr>
          <w:rFonts w:asciiTheme="majorHAnsi" w:hAnsiTheme="majorHAnsi" w:cstheme="majorHAnsi"/>
        </w:rPr>
        <w:t>Ehdotus mahdollistaa toimintavelvollisuuksien asettamisen paitsi velallisyr</w:t>
      </w:r>
      <w:r w:rsidRPr="00AB6E63">
        <w:rPr>
          <w:rFonts w:asciiTheme="majorHAnsi" w:hAnsiTheme="majorHAnsi" w:cstheme="majorHAnsi"/>
        </w:rPr>
        <w:t>i</w:t>
      </w:r>
      <w:r w:rsidRPr="00AB6E63">
        <w:rPr>
          <w:rFonts w:asciiTheme="majorHAnsi" w:hAnsiTheme="majorHAnsi" w:cstheme="majorHAnsi"/>
        </w:rPr>
        <w:t>tyksen johdolle myös kolmansille tahoille reagoida velallisen taloudellisen t</w:t>
      </w:r>
      <w:r w:rsidRPr="00AB6E63">
        <w:rPr>
          <w:rFonts w:asciiTheme="majorHAnsi" w:hAnsiTheme="majorHAnsi" w:cstheme="majorHAnsi"/>
        </w:rPr>
        <w:t>i</w:t>
      </w:r>
      <w:r w:rsidRPr="00AB6E63">
        <w:rPr>
          <w:rFonts w:asciiTheme="majorHAnsi" w:hAnsiTheme="majorHAnsi" w:cstheme="majorHAnsi"/>
        </w:rPr>
        <w:t>lanteen heikkenemisestä. Edellä kuvattujen kovenanttien tuoma informaatio jää usein raportteja pyytäneen velkojan tietoon. Eri tahojen mahdollisia re</w:t>
      </w:r>
      <w:r w:rsidRPr="00AB6E63">
        <w:rPr>
          <w:rFonts w:asciiTheme="majorHAnsi" w:hAnsiTheme="majorHAnsi" w:cstheme="majorHAnsi"/>
        </w:rPr>
        <w:t>a</w:t>
      </w:r>
      <w:r w:rsidRPr="00AB6E63">
        <w:rPr>
          <w:rFonts w:asciiTheme="majorHAnsi" w:hAnsiTheme="majorHAnsi" w:cstheme="majorHAnsi"/>
        </w:rPr>
        <w:t>gointivelvollisuuksia tällaisessa tilanteessa olisi hyvä selvittää jatkossa ta</w:t>
      </w:r>
      <w:r w:rsidRPr="00AB6E63">
        <w:rPr>
          <w:rFonts w:asciiTheme="majorHAnsi" w:hAnsiTheme="majorHAnsi" w:cstheme="majorHAnsi"/>
        </w:rPr>
        <w:t>r</w:t>
      </w:r>
      <w:r w:rsidRPr="00AB6E63">
        <w:rPr>
          <w:rFonts w:asciiTheme="majorHAnsi" w:hAnsiTheme="majorHAnsi" w:cstheme="majorHAnsi"/>
        </w:rPr>
        <w:t>kemmin, jotta velalliset voitaisiin saada tiedostamaan ja reagoimaan asia</w:t>
      </w:r>
      <w:r w:rsidRPr="00AB6E63">
        <w:rPr>
          <w:rFonts w:asciiTheme="majorHAnsi" w:hAnsiTheme="majorHAnsi" w:cstheme="majorHAnsi"/>
        </w:rPr>
        <w:t>n</w:t>
      </w:r>
      <w:r w:rsidRPr="00AB6E63">
        <w:rPr>
          <w:rFonts w:asciiTheme="majorHAnsi" w:hAnsiTheme="majorHAnsi" w:cstheme="majorHAnsi"/>
        </w:rPr>
        <w:t xml:space="preserve">mukaisesti taloudellisen tilanteensa heikkenemiseen.  </w:t>
      </w:r>
    </w:p>
    <w:p w:rsidR="00AA23A9" w:rsidRPr="00AB6E63" w:rsidRDefault="00AA23A9"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lang w:val="en-US"/>
        </w:rPr>
      </w:pPr>
      <w:r w:rsidRPr="00AB6E63">
        <w:rPr>
          <w:rFonts w:asciiTheme="majorHAnsi" w:hAnsiTheme="majorHAnsi" w:cstheme="majorHAnsi"/>
          <w:lang w:val="en-US"/>
        </w:rPr>
        <w:t xml:space="preserve">Rauhoitusaika (Artikla 6 “Stay of individual enforcement actions”)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Artikla sisältää jäsenvaltioille velvollisuuden varmistaa, että velalliset voivat saada määräyksen täytäntöönpanotoimien keskeyttämiseksi edellyttäen, että keskeytys on välttämätöntä saneerausneuvottelujen edesauttamiseksi. Tämä keskeytys voidaan kohdistaa joko koko velkojakollektiiviin tai tiettyihin velkojiin enintään neljän kuukauden ajaksi. Tuomioistuin voi pidentää aikaa ja uudistaa keskeytyksen siten, että keskeytyksen kokonaiskesto on enintään 12 kuukau</w:t>
      </w:r>
      <w:r w:rsidRPr="00AB6E63">
        <w:rPr>
          <w:rFonts w:asciiTheme="majorHAnsi" w:hAnsiTheme="majorHAnsi" w:cstheme="majorHAnsi"/>
        </w:rPr>
        <w:t>t</w:t>
      </w:r>
      <w:r w:rsidRPr="00AB6E63">
        <w:rPr>
          <w:rFonts w:asciiTheme="majorHAnsi" w:hAnsiTheme="majorHAnsi" w:cstheme="majorHAnsi"/>
        </w:rPr>
        <w:t>ta. Ehdotus sisältää myös tuomioistuimille mahdollisuuden lopettaa keskey</w:t>
      </w:r>
      <w:r w:rsidRPr="00AB6E63">
        <w:rPr>
          <w:rFonts w:asciiTheme="majorHAnsi" w:hAnsiTheme="majorHAnsi" w:cstheme="majorHAnsi"/>
        </w:rPr>
        <w:t>t</w:t>
      </w:r>
      <w:r w:rsidRPr="00AB6E63">
        <w:rPr>
          <w:rFonts w:asciiTheme="majorHAnsi" w:hAnsiTheme="majorHAnsi" w:cstheme="majorHAnsi"/>
        </w:rPr>
        <w:t xml:space="preserve">täminen, jos (i) käy ilmeiseksi, että saneerausohjelman vahvistamiselle ei saada tukea välttämättömiltä velkojilta, minkä vuoksi saneerausneuvottelujen jatkaminen ei ole enää perusteltua tai (ii) jos velallinen, selvittäjä tai sovittelija sitä pyytää. Ehdotuksessa on myös mahdollistettu tuomioistuimille oikeus olla myöntämättä keskeyttämismääräystä, jos se epäasiallisesti vahingoittaa tai haittaa yksittäistä velkojaa tai velkojaryhmää.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Finnveran näkemyksen mukaan edellä esitetty on periaatteessa kannatettava ajatus, mikäli tätä mahdollisuutta käytetään oikein. Oikein käytettynä rauho</w:t>
      </w:r>
      <w:r w:rsidRPr="00AB6E63">
        <w:rPr>
          <w:rFonts w:asciiTheme="majorHAnsi" w:hAnsiTheme="majorHAnsi" w:cstheme="majorHAnsi"/>
        </w:rPr>
        <w:t>i</w:t>
      </w:r>
      <w:r w:rsidRPr="00AB6E63">
        <w:rPr>
          <w:rFonts w:asciiTheme="majorHAnsi" w:hAnsiTheme="majorHAnsi" w:cstheme="majorHAnsi"/>
        </w:rPr>
        <w:t>tusaika mahdollistaa yrityksen tilan selvittämisen ja oikeiden ratkaisuvaihtoe</w:t>
      </w:r>
      <w:r w:rsidRPr="00AB6E63">
        <w:rPr>
          <w:rFonts w:asciiTheme="majorHAnsi" w:hAnsiTheme="majorHAnsi" w:cstheme="majorHAnsi"/>
        </w:rPr>
        <w:t>h</w:t>
      </w:r>
      <w:r w:rsidRPr="00AB6E63">
        <w:rPr>
          <w:rFonts w:asciiTheme="majorHAnsi" w:hAnsiTheme="majorHAnsi" w:cstheme="majorHAnsi"/>
        </w:rPr>
        <w:t>tojen löytämisen ilman mahdollista tietyiltä velkojatahoilta tulevaa painostusta. Finnveran toiminnassa on rahoittajien väliseen sopimukseen perustuvaa ra</w:t>
      </w:r>
      <w:r w:rsidRPr="00AB6E63">
        <w:rPr>
          <w:rFonts w:asciiTheme="majorHAnsi" w:hAnsiTheme="majorHAnsi" w:cstheme="majorHAnsi"/>
        </w:rPr>
        <w:t>u</w:t>
      </w:r>
      <w:r w:rsidRPr="00AB6E63">
        <w:rPr>
          <w:rFonts w:asciiTheme="majorHAnsi" w:hAnsiTheme="majorHAnsi" w:cstheme="majorHAnsi"/>
        </w:rPr>
        <w:t>hoitusaikaa käytetty menestyksekkäästi. Ongelmana on ollut se, että esime</w:t>
      </w:r>
      <w:r w:rsidRPr="00AB6E63">
        <w:rPr>
          <w:rFonts w:asciiTheme="majorHAnsi" w:hAnsiTheme="majorHAnsi" w:cstheme="majorHAnsi"/>
        </w:rPr>
        <w:t>r</w:t>
      </w:r>
      <w:r w:rsidRPr="00AB6E63">
        <w:rPr>
          <w:rFonts w:asciiTheme="majorHAnsi" w:hAnsiTheme="majorHAnsi" w:cstheme="majorHAnsi"/>
        </w:rPr>
        <w:t>kiksi joitakin julkisvelkoja ei ole saatu sopimukseen mukaan, koska he suori</w:t>
      </w:r>
      <w:r w:rsidRPr="00AB6E63">
        <w:rPr>
          <w:rFonts w:asciiTheme="majorHAnsi" w:hAnsiTheme="majorHAnsi" w:cstheme="majorHAnsi"/>
        </w:rPr>
        <w:t>t</w:t>
      </w:r>
      <w:r w:rsidRPr="00AB6E63">
        <w:rPr>
          <w:rFonts w:asciiTheme="majorHAnsi" w:hAnsiTheme="majorHAnsi" w:cstheme="majorHAnsi"/>
        </w:rPr>
        <w:t>tavat heille kuuluvaa lakisääteistä tehtävää, joissa ei ole ollut joustomahdoll</w:t>
      </w:r>
      <w:r w:rsidRPr="00AB6E63">
        <w:rPr>
          <w:rFonts w:asciiTheme="majorHAnsi" w:hAnsiTheme="majorHAnsi" w:cstheme="majorHAnsi"/>
        </w:rPr>
        <w:t>i</w:t>
      </w:r>
      <w:r w:rsidRPr="00AB6E63">
        <w:rPr>
          <w:rFonts w:asciiTheme="majorHAnsi" w:hAnsiTheme="majorHAnsi" w:cstheme="majorHAnsi"/>
        </w:rPr>
        <w:t>suuksia.</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Rahoitusaika vaikuttaisi soveltuvan kaikkia ulosottomenettelyn ulkopuolellakin olevia velkoja ja ulottuisi myös laajasti sopimussuhteisiin, vaikka artiklojen 6 ja 7 otsikkojen perusteella voisi toisin olettaa. Tämän vuoksi direktiivin otsikoi</w:t>
      </w:r>
      <w:r w:rsidRPr="00AB6E63">
        <w:rPr>
          <w:rFonts w:asciiTheme="majorHAnsi" w:hAnsiTheme="majorHAnsi" w:cstheme="majorHAnsi"/>
        </w:rPr>
        <w:t>n</w:t>
      </w:r>
      <w:r w:rsidRPr="00AB6E63">
        <w:rPr>
          <w:rFonts w:asciiTheme="majorHAnsi" w:hAnsiTheme="majorHAnsi" w:cstheme="majorHAnsi"/>
        </w:rPr>
        <w:t>tia on syytä selventää, jotta se ei aiheuttaisi harhaanjohtavaa kuvaa sääntelyn sisällöstä.</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 xml:space="preserve">Ehdotuksen mukaan rauhoitusaika soveltuisi velallisen sopimuksiin laajasti. Tämä merkitsisi yritystoiminnan sopimusehtojen sovellettavuuteen merkittäviä muutoksia. Yritysrahoituksessa tyypillisten kovenanttiehtojen mukaan luoton korko ja muut luottoehdot määräytyvät velallisyrityksen taloudellisen tilanteen </w:t>
      </w:r>
      <w:r w:rsidRPr="00AB6E63">
        <w:rPr>
          <w:rFonts w:asciiTheme="majorHAnsi" w:hAnsiTheme="majorHAnsi" w:cstheme="majorHAnsi"/>
        </w:rPr>
        <w:lastRenderedPageBreak/>
        <w:t>mukaisesti. Rauhoitusaikaa koskevien säännösten mukaan näitä ehtoja ei ehkä voisi soveltaa sellaisenaan. Luottojen hinnoittelun ja muiden ehtojen joustavuus voisi vähentyä, joten ehdotettu ratkaisu voi johtaa luottokusta</w:t>
      </w:r>
      <w:r w:rsidRPr="00AB6E63">
        <w:rPr>
          <w:rFonts w:asciiTheme="majorHAnsi" w:hAnsiTheme="majorHAnsi" w:cstheme="majorHAnsi"/>
        </w:rPr>
        <w:t>n</w:t>
      </w:r>
      <w:r w:rsidRPr="00AB6E63">
        <w:rPr>
          <w:rFonts w:asciiTheme="majorHAnsi" w:hAnsiTheme="majorHAnsi" w:cstheme="majorHAnsi"/>
        </w:rPr>
        <w:t>nuksien nousuun ja siten se voisi jopa olla pääomamarkkinaunionin tavoitte</w:t>
      </w:r>
      <w:r w:rsidRPr="00AB6E63">
        <w:rPr>
          <w:rFonts w:asciiTheme="majorHAnsi" w:hAnsiTheme="majorHAnsi" w:cstheme="majorHAnsi"/>
        </w:rPr>
        <w:t>i</w:t>
      </w:r>
      <w:r w:rsidRPr="00AB6E63">
        <w:rPr>
          <w:rFonts w:asciiTheme="majorHAnsi" w:hAnsiTheme="majorHAnsi" w:cstheme="majorHAnsi"/>
        </w:rPr>
        <w:t xml:space="preserve">den kanssa ristiriidassa.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Osa rahoitusinstrumenteista, kuten luotolliset tilit ja muut limiittityyppiset raho</w:t>
      </w:r>
      <w:r w:rsidRPr="00AB6E63">
        <w:rPr>
          <w:rFonts w:asciiTheme="majorHAnsi" w:hAnsiTheme="majorHAnsi" w:cstheme="majorHAnsi"/>
        </w:rPr>
        <w:t>i</w:t>
      </w:r>
      <w:r w:rsidRPr="00AB6E63">
        <w:rPr>
          <w:rFonts w:asciiTheme="majorHAnsi" w:hAnsiTheme="majorHAnsi" w:cstheme="majorHAnsi"/>
        </w:rPr>
        <w:t>tusmuodot tulisi rajata rahoitusajan soveltumisen ulkopuolelle siten, että lu</w:t>
      </w:r>
      <w:r w:rsidRPr="00AB6E63">
        <w:rPr>
          <w:rFonts w:asciiTheme="majorHAnsi" w:hAnsiTheme="majorHAnsi" w:cstheme="majorHAnsi"/>
        </w:rPr>
        <w:t>o</w:t>
      </w:r>
      <w:r w:rsidRPr="00AB6E63">
        <w:rPr>
          <w:rFonts w:asciiTheme="majorHAnsi" w:hAnsiTheme="majorHAnsi" w:cstheme="majorHAnsi"/>
        </w:rPr>
        <w:t>tonantajan olisi voitava ta</w:t>
      </w:r>
      <w:r w:rsidR="00AA23A9">
        <w:rPr>
          <w:rFonts w:asciiTheme="majorHAnsi" w:hAnsiTheme="majorHAnsi" w:cstheme="majorHAnsi"/>
        </w:rPr>
        <w:t>r</w:t>
      </w:r>
      <w:r w:rsidRPr="00AB6E63">
        <w:rPr>
          <w:rFonts w:asciiTheme="majorHAnsi" w:hAnsiTheme="majorHAnsi" w:cstheme="majorHAnsi"/>
        </w:rPr>
        <w:t xml:space="preserve">vittaessa sulkea luottorajan käyttäminen. Muussa tapauksessa sääntely voisi merkittävästi vähentää luotonantajien halukkuutta tarjota luotollisia tilejä ja muita joustavia rahoitusmahdollisuuksia.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Direktiivissä tulisi todeta, ettei rauhoitusaikaa sovelleta takaajiin ja vierasve</w:t>
      </w:r>
      <w:r w:rsidRPr="00AB6E63">
        <w:rPr>
          <w:rFonts w:asciiTheme="majorHAnsi" w:hAnsiTheme="majorHAnsi" w:cstheme="majorHAnsi"/>
        </w:rPr>
        <w:t>l</w:t>
      </w:r>
      <w:r w:rsidRPr="00AB6E63">
        <w:rPr>
          <w:rFonts w:asciiTheme="majorHAnsi" w:hAnsiTheme="majorHAnsi" w:cstheme="majorHAnsi"/>
        </w:rPr>
        <w:t>kavakuudenantajiin, vaan tältä osin sääntely jäisi kansalliselle tasolle. Rauho</w:t>
      </w:r>
      <w:r w:rsidRPr="00AB6E63">
        <w:rPr>
          <w:rFonts w:asciiTheme="majorHAnsi" w:hAnsiTheme="majorHAnsi" w:cstheme="majorHAnsi"/>
        </w:rPr>
        <w:t>i</w:t>
      </w:r>
      <w:r w:rsidRPr="00AB6E63">
        <w:rPr>
          <w:rFonts w:asciiTheme="majorHAnsi" w:hAnsiTheme="majorHAnsi" w:cstheme="majorHAnsi"/>
        </w:rPr>
        <w:t>tusajan mahdollinen ulottuminen erityisesti institutionaalisiin takaajiin ja v</w:t>
      </w:r>
      <w:r w:rsidRPr="00AB6E63">
        <w:rPr>
          <w:rFonts w:asciiTheme="majorHAnsi" w:hAnsiTheme="majorHAnsi" w:cstheme="majorHAnsi"/>
        </w:rPr>
        <w:t>a</w:t>
      </w:r>
      <w:r w:rsidRPr="00AB6E63">
        <w:rPr>
          <w:rFonts w:asciiTheme="majorHAnsi" w:hAnsiTheme="majorHAnsi" w:cstheme="majorHAnsi"/>
        </w:rPr>
        <w:t>kuudenantajiin olisi seikka, joka tulisi todennäköisesti vähentämään luotona</w:t>
      </w:r>
      <w:r w:rsidRPr="00AB6E63">
        <w:rPr>
          <w:rFonts w:asciiTheme="majorHAnsi" w:hAnsiTheme="majorHAnsi" w:cstheme="majorHAnsi"/>
        </w:rPr>
        <w:t>n</w:t>
      </w:r>
      <w:r w:rsidRPr="00AB6E63">
        <w:rPr>
          <w:rFonts w:asciiTheme="majorHAnsi" w:hAnsiTheme="majorHAnsi" w:cstheme="majorHAnsi"/>
        </w:rPr>
        <w:t>tajien kiinnostusta erityisesti rajat ylittävään luotonantoon, jos luotonantaja ei voisi tehokkaasti vedota kolmansien antamiin vakuuksiin. Tämä olisi omiaan nostamaan rahoituskustannuksia rahoittajien riskien kasvaessa sekä kasv</w:t>
      </w:r>
      <w:r w:rsidRPr="00AB6E63">
        <w:rPr>
          <w:rFonts w:asciiTheme="majorHAnsi" w:hAnsiTheme="majorHAnsi" w:cstheme="majorHAnsi"/>
        </w:rPr>
        <w:t>a</w:t>
      </w:r>
      <w:r w:rsidRPr="00AB6E63">
        <w:rPr>
          <w:rFonts w:asciiTheme="majorHAnsi" w:hAnsiTheme="majorHAnsi" w:cstheme="majorHAnsi"/>
        </w:rPr>
        <w:t>viin vakuusvaatimuksiin.</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Lisäksi direktiivissä tulisi sallia mahdollisuus vakuusvelkojen erilaiselle koht</w:t>
      </w:r>
      <w:r w:rsidRPr="00AB6E63">
        <w:rPr>
          <w:rFonts w:asciiTheme="majorHAnsi" w:hAnsiTheme="majorHAnsi" w:cstheme="majorHAnsi"/>
        </w:rPr>
        <w:t>e</w:t>
      </w:r>
      <w:r w:rsidRPr="00AB6E63">
        <w:rPr>
          <w:rFonts w:asciiTheme="majorHAnsi" w:hAnsiTheme="majorHAnsi" w:cstheme="majorHAnsi"/>
        </w:rPr>
        <w:t>lulle. Suomessa vakuusvelkojien asema myös saneerausmenettelyssä on vahva, eikä tätä toimivaksi osoittautunutta periaatetta tulesi heikentää sane</w:t>
      </w:r>
      <w:r w:rsidRPr="00AB6E63">
        <w:rPr>
          <w:rFonts w:asciiTheme="majorHAnsi" w:hAnsiTheme="majorHAnsi" w:cstheme="majorHAnsi"/>
        </w:rPr>
        <w:t>e</w:t>
      </w:r>
      <w:r w:rsidRPr="00AB6E63">
        <w:rPr>
          <w:rFonts w:asciiTheme="majorHAnsi" w:hAnsiTheme="majorHAnsi" w:cstheme="majorHAnsi"/>
        </w:rPr>
        <w:t>rausdirektiivin perusteella. Esimerkiksi vakuusvelan koron maksu-velvollisuus tulisi säilyttää jatkossakin. Tältä osin direktiivillä ei tulisi heikentää nykyistä toimivaa järjestelmää.</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Rauhoitusaikaa on Suomessa käytetty valitettavasti myös väärin. On hyvin tyypillistä, että saneerausta haetaan tiettyjen konsulttien avustamana silloin kun velallista kohtaan on jo konkurssihakemus vireillä. Tässä tilanteessa ve</w:t>
      </w:r>
      <w:r w:rsidRPr="00AB6E63">
        <w:rPr>
          <w:rFonts w:asciiTheme="majorHAnsi" w:hAnsiTheme="majorHAnsi" w:cstheme="majorHAnsi"/>
        </w:rPr>
        <w:t>l</w:t>
      </w:r>
      <w:r w:rsidRPr="00AB6E63">
        <w:rPr>
          <w:rFonts w:asciiTheme="majorHAnsi" w:hAnsiTheme="majorHAnsi" w:cstheme="majorHAnsi"/>
        </w:rPr>
        <w:t>kojat yleensä vastustavat saneerausta ja tuomioistuin määrää asian suull</w:t>
      </w:r>
      <w:r w:rsidRPr="00AB6E63">
        <w:rPr>
          <w:rFonts w:asciiTheme="majorHAnsi" w:hAnsiTheme="majorHAnsi" w:cstheme="majorHAnsi"/>
        </w:rPr>
        <w:t>i</w:t>
      </w:r>
      <w:r w:rsidRPr="00AB6E63">
        <w:rPr>
          <w:rFonts w:asciiTheme="majorHAnsi" w:hAnsiTheme="majorHAnsi" w:cstheme="majorHAnsi"/>
        </w:rPr>
        <w:t xml:space="preserve">seen käsittelyyn.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Tämä prosessi kestää yleensä useita kuukausia. Menettelyä pidentää myös velallisen oikeus valitsemaansa asiamieheen, jotka usein ilmoittavat erilaisia esteitä saapua oikeudenkäyntiin oikeuden esittäminä päivinä, jotka sitten p</w:t>
      </w:r>
      <w:r w:rsidRPr="00AB6E63">
        <w:rPr>
          <w:rFonts w:asciiTheme="majorHAnsi" w:hAnsiTheme="majorHAnsi" w:cstheme="majorHAnsi"/>
        </w:rPr>
        <w:t>i</w:t>
      </w:r>
      <w:r w:rsidRPr="00AB6E63">
        <w:rPr>
          <w:rFonts w:asciiTheme="majorHAnsi" w:hAnsiTheme="majorHAnsi" w:cstheme="majorHAnsi"/>
        </w:rPr>
        <w:t>dentävät käsittelyaikaa entisestään. Tänä aikana yritys velkaantuu usein huomattavan paljon niin, että se konkursoituu pian menettelyn aloittamisen jälkeen. Tässä tilanteessa konkurssin jako-osuuksia kertyy usein vain mene</w:t>
      </w:r>
      <w:r w:rsidRPr="00AB6E63">
        <w:rPr>
          <w:rFonts w:asciiTheme="majorHAnsi" w:hAnsiTheme="majorHAnsi" w:cstheme="majorHAnsi"/>
        </w:rPr>
        <w:t>t</w:t>
      </w:r>
      <w:r w:rsidRPr="00AB6E63">
        <w:rPr>
          <w:rFonts w:asciiTheme="majorHAnsi" w:hAnsiTheme="majorHAnsi" w:cstheme="majorHAnsi"/>
        </w:rPr>
        <w:t>telynaikaista parempaa etuoikeutta nauttiville velkojille.</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Olisikin syytä pohtia, että pitäisikö jopa yrityksen tai sen omistajien antaa jo</w:t>
      </w:r>
      <w:r w:rsidRPr="00AB6E63">
        <w:rPr>
          <w:rFonts w:asciiTheme="majorHAnsi" w:hAnsiTheme="majorHAnsi" w:cstheme="majorHAnsi"/>
        </w:rPr>
        <w:t>n</w:t>
      </w:r>
      <w:r w:rsidRPr="00AB6E63">
        <w:rPr>
          <w:rFonts w:asciiTheme="majorHAnsi" w:hAnsiTheme="majorHAnsi" w:cstheme="majorHAnsi"/>
        </w:rPr>
        <w:t>kinlainen takaus tai vakuus sille, että rauhoitusaikaa käytetään oikeasti vilpi</w:t>
      </w:r>
      <w:r w:rsidRPr="00AB6E63">
        <w:rPr>
          <w:rFonts w:asciiTheme="majorHAnsi" w:hAnsiTheme="majorHAnsi" w:cstheme="majorHAnsi"/>
        </w:rPr>
        <w:t>t</w:t>
      </w:r>
      <w:r w:rsidRPr="00AB6E63">
        <w:rPr>
          <w:rFonts w:asciiTheme="majorHAnsi" w:hAnsiTheme="majorHAnsi" w:cstheme="majorHAnsi"/>
        </w:rPr>
        <w:t>tömässä mielessä? Tämä saattaisi estää ns. turhien saneerauksin hakemisen vain ajan pelaamisen vuoksi, mutta sen sanktioimista voidaan tässä vaihee</w:t>
      </w:r>
      <w:r w:rsidRPr="00AB6E63">
        <w:rPr>
          <w:rFonts w:asciiTheme="majorHAnsi" w:hAnsiTheme="majorHAnsi" w:cstheme="majorHAnsi"/>
        </w:rPr>
        <w:t>s</w:t>
      </w:r>
      <w:r w:rsidRPr="00AB6E63">
        <w:rPr>
          <w:rFonts w:asciiTheme="majorHAnsi" w:hAnsiTheme="majorHAnsi" w:cstheme="majorHAnsi"/>
        </w:rPr>
        <w:t>sa pitää lähinnä ajatuksen tasolla ja keskustelun aiheena.</w:t>
      </w:r>
    </w:p>
    <w:p w:rsidR="00AB6E63" w:rsidRPr="00AB6E63" w:rsidRDefault="00AB6E63"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lang w:val="en-US"/>
        </w:rPr>
      </w:pPr>
      <w:r w:rsidRPr="00AB6E63">
        <w:rPr>
          <w:rFonts w:asciiTheme="majorHAnsi" w:hAnsiTheme="majorHAnsi" w:cstheme="majorHAnsi"/>
          <w:lang w:val="en-US"/>
        </w:rPr>
        <w:lastRenderedPageBreak/>
        <w:t>Täytäntöön</w:t>
      </w:r>
      <w:r w:rsidR="00AA23A9">
        <w:rPr>
          <w:rFonts w:asciiTheme="majorHAnsi" w:hAnsiTheme="majorHAnsi" w:cstheme="majorHAnsi"/>
          <w:lang w:val="en-US"/>
        </w:rPr>
        <w:t xml:space="preserve">panon keskeyttäminen (Artikla 7 </w:t>
      </w:r>
      <w:r w:rsidRPr="00AB6E63">
        <w:rPr>
          <w:rFonts w:asciiTheme="majorHAnsi" w:hAnsiTheme="majorHAnsi" w:cstheme="majorHAnsi"/>
          <w:lang w:val="en-US"/>
        </w:rPr>
        <w:t>”Consequenses of the stay of individual enforcement a</w:t>
      </w:r>
      <w:r w:rsidRPr="00AB6E63">
        <w:rPr>
          <w:rFonts w:asciiTheme="majorHAnsi" w:hAnsiTheme="majorHAnsi" w:cstheme="majorHAnsi"/>
          <w:lang w:val="en-US"/>
        </w:rPr>
        <w:t>c</w:t>
      </w:r>
      <w:r w:rsidRPr="00AB6E63">
        <w:rPr>
          <w:rFonts w:asciiTheme="majorHAnsi" w:hAnsiTheme="majorHAnsi" w:cstheme="majorHAnsi"/>
          <w:lang w:val="en-US"/>
        </w:rPr>
        <w:t xml:space="preserve">tions”)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Ehdotuksen mukaan täytäntöönpanokeskeytyksen ollessa voimassa velall</w:t>
      </w:r>
      <w:r w:rsidRPr="00AB6E63">
        <w:rPr>
          <w:rFonts w:asciiTheme="majorHAnsi" w:hAnsiTheme="majorHAnsi" w:cstheme="majorHAnsi"/>
        </w:rPr>
        <w:t>i</w:t>
      </w:r>
      <w:r w:rsidRPr="00AB6E63">
        <w:rPr>
          <w:rFonts w:asciiTheme="majorHAnsi" w:hAnsiTheme="majorHAnsi" w:cstheme="majorHAnsi"/>
        </w:rPr>
        <w:t>sella ei ole velvollisuutta hakeutua maksukyvyttömyysmenettelyyn, eivätkä myöskään velkojat voi hakea velallista konkurssiin, jos keskeyttämismääräys on voimassa kaikkiin velkojiin nähden. Tämä liittyy siis edellä kuvattuun ra</w:t>
      </w:r>
      <w:r w:rsidRPr="00AB6E63">
        <w:rPr>
          <w:rFonts w:asciiTheme="majorHAnsi" w:hAnsiTheme="majorHAnsi" w:cstheme="majorHAnsi"/>
        </w:rPr>
        <w:t>u</w:t>
      </w:r>
      <w:r w:rsidRPr="00AB6E63">
        <w:rPr>
          <w:rFonts w:asciiTheme="majorHAnsi" w:hAnsiTheme="majorHAnsi" w:cstheme="majorHAnsi"/>
        </w:rPr>
        <w:t>hoitusaikaan.</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Ehdotuksessa on myös esitetty ns. ipso facto –ehtojen (saneerauksen- ja konkurssinvaraiset ehdot) ja keskeneräisten sopimusten osalta, että keskey</w:t>
      </w:r>
      <w:r w:rsidRPr="00AB6E63">
        <w:rPr>
          <w:rFonts w:asciiTheme="majorHAnsi" w:hAnsiTheme="majorHAnsi" w:cstheme="majorHAnsi"/>
        </w:rPr>
        <w:t>t</w:t>
      </w:r>
      <w:r w:rsidRPr="00AB6E63">
        <w:rPr>
          <w:rFonts w:asciiTheme="majorHAnsi" w:hAnsiTheme="majorHAnsi" w:cstheme="majorHAnsi"/>
        </w:rPr>
        <w:t>tämispäätöksen ollessa voimassa velkojat eivät voi pidättäytyä omasta suor</w:t>
      </w:r>
      <w:r w:rsidRPr="00AB6E63">
        <w:rPr>
          <w:rFonts w:asciiTheme="majorHAnsi" w:hAnsiTheme="majorHAnsi" w:cstheme="majorHAnsi"/>
        </w:rPr>
        <w:t>i</w:t>
      </w:r>
      <w:r w:rsidRPr="00AB6E63">
        <w:rPr>
          <w:rFonts w:asciiTheme="majorHAnsi" w:hAnsiTheme="majorHAnsi" w:cstheme="majorHAnsi"/>
        </w:rPr>
        <w:t>tuksestaan tai päättää, muuttaa taikka eräännyttää osapuolten välistä sop</w:t>
      </w:r>
      <w:r w:rsidRPr="00AB6E63">
        <w:rPr>
          <w:rFonts w:asciiTheme="majorHAnsi" w:hAnsiTheme="majorHAnsi" w:cstheme="majorHAnsi"/>
        </w:rPr>
        <w:t>i</w:t>
      </w:r>
      <w:r w:rsidRPr="00AB6E63">
        <w:rPr>
          <w:rFonts w:asciiTheme="majorHAnsi" w:hAnsiTheme="majorHAnsi" w:cstheme="majorHAnsi"/>
        </w:rPr>
        <w:t>musta velallisen vahingoksi velallisen saneerausneuvottelujen tai maksuvi</w:t>
      </w:r>
      <w:r w:rsidRPr="00AB6E63">
        <w:rPr>
          <w:rFonts w:asciiTheme="majorHAnsi" w:hAnsiTheme="majorHAnsi" w:cstheme="majorHAnsi"/>
        </w:rPr>
        <w:t>i</w:t>
      </w:r>
      <w:r w:rsidRPr="00AB6E63">
        <w:rPr>
          <w:rFonts w:asciiTheme="majorHAnsi" w:hAnsiTheme="majorHAnsi" w:cstheme="majorHAnsi"/>
        </w:rPr>
        <w:t>västyksen johdosta. Velallisen tulee kuitenkin maksaa täytäntöönpanon ke</w:t>
      </w:r>
      <w:r w:rsidRPr="00AB6E63">
        <w:rPr>
          <w:rFonts w:asciiTheme="majorHAnsi" w:hAnsiTheme="majorHAnsi" w:cstheme="majorHAnsi"/>
        </w:rPr>
        <w:t>s</w:t>
      </w:r>
      <w:r w:rsidRPr="00AB6E63">
        <w:rPr>
          <w:rFonts w:asciiTheme="majorHAnsi" w:hAnsiTheme="majorHAnsi" w:cstheme="majorHAnsi"/>
        </w:rPr>
        <w:t xml:space="preserve">keyttämisen jälkeen syntyvät velat niiden erääntyessä. </w:t>
      </w:r>
    </w:p>
    <w:p w:rsid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 pitää ehdotusta maksukyvyttömyyden varaisten ehtojen pitämistä pätemättömänä kannatettavana, sillä muuten velkojilla olisi mahdollisuus kä</w:t>
      </w:r>
      <w:r w:rsidRPr="00AB6E63">
        <w:rPr>
          <w:rFonts w:asciiTheme="majorHAnsi" w:hAnsiTheme="majorHAnsi" w:cstheme="majorHAnsi"/>
        </w:rPr>
        <w:t>y</w:t>
      </w:r>
      <w:r w:rsidRPr="00AB6E63">
        <w:rPr>
          <w:rFonts w:asciiTheme="majorHAnsi" w:hAnsiTheme="majorHAnsi" w:cstheme="majorHAnsi"/>
        </w:rPr>
        <w:t>tännössä estää velallisen tervehdyttäminen päättämällä sen toiminnan ka</w:t>
      </w:r>
      <w:r w:rsidRPr="00AB6E63">
        <w:rPr>
          <w:rFonts w:asciiTheme="majorHAnsi" w:hAnsiTheme="majorHAnsi" w:cstheme="majorHAnsi"/>
        </w:rPr>
        <w:t>n</w:t>
      </w:r>
      <w:r w:rsidRPr="00AB6E63">
        <w:rPr>
          <w:rFonts w:asciiTheme="majorHAnsi" w:hAnsiTheme="majorHAnsi" w:cstheme="majorHAnsi"/>
        </w:rPr>
        <w:t>nalta keskeiset sopimukset tämän maksuviivästyksen perusteella. Sane</w:t>
      </w:r>
      <w:r w:rsidRPr="00AB6E63">
        <w:rPr>
          <w:rFonts w:asciiTheme="majorHAnsi" w:hAnsiTheme="majorHAnsi" w:cstheme="majorHAnsi"/>
        </w:rPr>
        <w:t>e</w:t>
      </w:r>
      <w:r w:rsidRPr="00AB6E63">
        <w:rPr>
          <w:rFonts w:asciiTheme="majorHAnsi" w:hAnsiTheme="majorHAnsi" w:cstheme="majorHAnsi"/>
        </w:rPr>
        <w:t>rauksenvaraisten ehtojen pätevyys on Suomessa tällä hetkellä jossain määrin epäselvä asia - toisin kuin konkurssinvaraiset ehdot, jotka ovat suoraan lain nojalla pätemättömiä - minkä vuoksi niiden pätevyyttä koskeva selkeyttäm</w:t>
      </w:r>
      <w:r w:rsidRPr="00AB6E63">
        <w:rPr>
          <w:rFonts w:asciiTheme="majorHAnsi" w:hAnsiTheme="majorHAnsi" w:cstheme="majorHAnsi"/>
        </w:rPr>
        <w:t>i</w:t>
      </w:r>
      <w:r w:rsidRPr="00AB6E63">
        <w:rPr>
          <w:rFonts w:asciiTheme="majorHAnsi" w:hAnsiTheme="majorHAnsi" w:cstheme="majorHAnsi"/>
        </w:rPr>
        <w:t xml:space="preserve">nen on kannatettava asia.  </w:t>
      </w:r>
    </w:p>
    <w:p w:rsidR="00AA23A9" w:rsidRPr="00AB6E63" w:rsidRDefault="00AA23A9"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lang w:val="en-US"/>
        </w:rPr>
      </w:pPr>
      <w:r w:rsidRPr="00AB6E63">
        <w:rPr>
          <w:rFonts w:asciiTheme="majorHAnsi" w:hAnsiTheme="majorHAnsi" w:cstheme="majorHAnsi"/>
          <w:lang w:val="en-US"/>
        </w:rPr>
        <w:t xml:space="preserve">Sisältö (Artikla 8 ”Content of restructuring plan”) </w:t>
      </w:r>
    </w:p>
    <w:p w:rsidR="00AB6E63" w:rsidRDefault="00AB6E63" w:rsidP="00AB6E63">
      <w:pPr>
        <w:pStyle w:val="Leipteksti"/>
        <w:jc w:val="both"/>
        <w:rPr>
          <w:rFonts w:asciiTheme="majorHAnsi" w:hAnsiTheme="majorHAnsi" w:cstheme="majorHAnsi"/>
        </w:rPr>
      </w:pPr>
      <w:r w:rsidRPr="00AB6E63">
        <w:rPr>
          <w:rFonts w:asciiTheme="majorHAnsi" w:hAnsiTheme="majorHAnsi" w:cstheme="majorHAnsi"/>
        </w:rPr>
        <w:t>Artikla sisältää mm. saneerausohjelmien sisältöä koskevat vähimmäisvaat</w:t>
      </w:r>
      <w:r w:rsidRPr="00AB6E63">
        <w:rPr>
          <w:rFonts w:asciiTheme="majorHAnsi" w:hAnsiTheme="majorHAnsi" w:cstheme="majorHAnsi"/>
        </w:rPr>
        <w:t>i</w:t>
      </w:r>
      <w:r w:rsidRPr="00AB6E63">
        <w:rPr>
          <w:rFonts w:asciiTheme="majorHAnsi" w:hAnsiTheme="majorHAnsi" w:cstheme="majorHAnsi"/>
        </w:rPr>
        <w:t>mukset. Artikla 17:n 4 -kohta näyttäisi mahdollistavan suojan velkakonversio</w:t>
      </w:r>
      <w:r w:rsidRPr="00AB6E63">
        <w:rPr>
          <w:rFonts w:asciiTheme="majorHAnsi" w:hAnsiTheme="majorHAnsi" w:cstheme="majorHAnsi"/>
        </w:rPr>
        <w:t>l</w:t>
      </w:r>
      <w:r w:rsidRPr="00AB6E63">
        <w:rPr>
          <w:rFonts w:asciiTheme="majorHAnsi" w:hAnsiTheme="majorHAnsi" w:cstheme="majorHAnsi"/>
        </w:rPr>
        <w:t>le omaksi pääomaksi eli osakkeiksi (debt-equity swap). Käsite puuttuu su</w:t>
      </w:r>
      <w:r w:rsidRPr="00AB6E63">
        <w:rPr>
          <w:rFonts w:asciiTheme="majorHAnsi" w:hAnsiTheme="majorHAnsi" w:cstheme="majorHAnsi"/>
        </w:rPr>
        <w:t>o</w:t>
      </w:r>
      <w:r w:rsidRPr="00AB6E63">
        <w:rPr>
          <w:rFonts w:asciiTheme="majorHAnsi" w:hAnsiTheme="majorHAnsi" w:cstheme="majorHAnsi"/>
        </w:rPr>
        <w:t xml:space="preserve">malaisesta yrityssaneerauksesta. Mahdollisuutta muuttaa velka osakkeiksi </w:t>
      </w:r>
      <w:r w:rsidR="00AA23A9">
        <w:rPr>
          <w:rFonts w:asciiTheme="majorHAnsi" w:hAnsiTheme="majorHAnsi" w:cstheme="majorHAnsi"/>
        </w:rPr>
        <w:t>y</w:t>
      </w:r>
      <w:r w:rsidR="00AA23A9">
        <w:rPr>
          <w:rFonts w:asciiTheme="majorHAnsi" w:hAnsiTheme="majorHAnsi" w:cstheme="majorHAnsi"/>
        </w:rPr>
        <w:t>h</w:t>
      </w:r>
      <w:r w:rsidR="00AA23A9">
        <w:rPr>
          <w:rFonts w:asciiTheme="majorHAnsi" w:hAnsiTheme="majorHAnsi" w:cstheme="majorHAnsi"/>
        </w:rPr>
        <w:t xml:space="preserve">tenä saneerauskeinona </w:t>
      </w:r>
      <w:r w:rsidRPr="00AB6E63">
        <w:rPr>
          <w:rFonts w:asciiTheme="majorHAnsi" w:hAnsiTheme="majorHAnsi" w:cstheme="majorHAnsi"/>
        </w:rPr>
        <w:t>olisi hyvä pohtia lisää, sillä Suomessa velan konve</w:t>
      </w:r>
      <w:r w:rsidRPr="00AB6E63">
        <w:rPr>
          <w:rFonts w:asciiTheme="majorHAnsi" w:hAnsiTheme="majorHAnsi" w:cstheme="majorHAnsi"/>
        </w:rPr>
        <w:t>r</w:t>
      </w:r>
      <w:r w:rsidRPr="00AB6E63">
        <w:rPr>
          <w:rFonts w:asciiTheme="majorHAnsi" w:hAnsiTheme="majorHAnsi" w:cstheme="majorHAnsi"/>
        </w:rPr>
        <w:t>sio ei ole mahdollista ilman osakkeenomistajan suostumusta. Käyttöä tälle mekanismille voisi olla esim. pörssiyhtiöissä.</w:t>
      </w:r>
    </w:p>
    <w:p w:rsidR="00AA23A9" w:rsidRPr="00AB6E63" w:rsidRDefault="00AA23A9"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rPr>
      </w:pPr>
      <w:r w:rsidRPr="00AB6E63">
        <w:rPr>
          <w:rFonts w:asciiTheme="majorHAnsi" w:hAnsiTheme="majorHAnsi" w:cstheme="majorHAnsi"/>
        </w:rPr>
        <w:t xml:space="preserve">Ryhmäpakkovahvistaminen (Artikla 11 (”Cross-class cram-down”) </w:t>
      </w:r>
    </w:p>
    <w:p w:rsid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Finnveran näkemyksen mukaan ehdotuksen ryhmäpakkovahvistamisen ede</w:t>
      </w:r>
      <w:r w:rsidRPr="00AB6E63">
        <w:rPr>
          <w:rFonts w:asciiTheme="majorHAnsi" w:hAnsiTheme="majorHAnsi" w:cstheme="majorHAnsi"/>
        </w:rPr>
        <w:t>l</w:t>
      </w:r>
      <w:r w:rsidRPr="00AB6E63">
        <w:rPr>
          <w:rFonts w:asciiTheme="majorHAnsi" w:hAnsiTheme="majorHAnsi" w:cstheme="majorHAnsi"/>
        </w:rPr>
        <w:t>lytykset ovat lähtökohtaisesti perusteltuja, sillä on tärkeää, että velkojat eivät voi estää sellaisen saneerausohjelman vahvistamista, mikä täyttää sane</w:t>
      </w:r>
      <w:r w:rsidRPr="00AB6E63">
        <w:rPr>
          <w:rFonts w:asciiTheme="majorHAnsi" w:hAnsiTheme="majorHAnsi" w:cstheme="majorHAnsi"/>
        </w:rPr>
        <w:t>e</w:t>
      </w:r>
      <w:r w:rsidRPr="00AB6E63">
        <w:rPr>
          <w:rFonts w:asciiTheme="majorHAnsi" w:hAnsiTheme="majorHAnsi" w:cstheme="majorHAnsi"/>
        </w:rPr>
        <w:t>rausohjelmalta edellytetyt vaatimukset, eikä se loukkaa vastustavien velkojien oikeutettuja etuja. Tällä voitaisiin estää yhden velkojatahon erimielisyyden a</w:t>
      </w:r>
      <w:r w:rsidRPr="00AB6E63">
        <w:rPr>
          <w:rFonts w:asciiTheme="majorHAnsi" w:hAnsiTheme="majorHAnsi" w:cstheme="majorHAnsi"/>
        </w:rPr>
        <w:t>i</w:t>
      </w:r>
      <w:r w:rsidRPr="00AB6E63">
        <w:rPr>
          <w:rFonts w:asciiTheme="majorHAnsi" w:hAnsiTheme="majorHAnsi" w:cstheme="majorHAnsi"/>
        </w:rPr>
        <w:t>heuttama ohjelman hylkääminen.</w:t>
      </w:r>
    </w:p>
    <w:p w:rsidR="00AA23A9" w:rsidRDefault="00AA23A9" w:rsidP="00AB6E63">
      <w:pPr>
        <w:pStyle w:val="Leipteksti"/>
        <w:jc w:val="both"/>
        <w:rPr>
          <w:rFonts w:asciiTheme="majorHAnsi" w:hAnsiTheme="majorHAnsi" w:cstheme="majorHAnsi"/>
        </w:rPr>
      </w:pPr>
    </w:p>
    <w:p w:rsidR="00AA23A9" w:rsidRPr="00AB6E63" w:rsidRDefault="00AA23A9" w:rsidP="00AB6E63">
      <w:pPr>
        <w:pStyle w:val="Leipteksti"/>
        <w:jc w:val="both"/>
        <w:rPr>
          <w:rFonts w:asciiTheme="majorHAnsi" w:hAnsiTheme="majorHAnsi" w:cstheme="majorHAnsi"/>
        </w:rPr>
      </w:pPr>
    </w:p>
    <w:p w:rsidR="00AA23A9" w:rsidRDefault="00AB6E63" w:rsidP="00AA23A9">
      <w:pPr>
        <w:pStyle w:val="Leipteksti"/>
        <w:ind w:left="0"/>
        <w:jc w:val="both"/>
        <w:rPr>
          <w:rFonts w:asciiTheme="majorHAnsi" w:hAnsiTheme="majorHAnsi" w:cstheme="majorHAnsi"/>
        </w:rPr>
      </w:pPr>
      <w:r w:rsidRPr="00AB6E63">
        <w:rPr>
          <w:rFonts w:asciiTheme="majorHAnsi" w:hAnsiTheme="majorHAnsi" w:cstheme="majorHAnsi"/>
        </w:rPr>
        <w:lastRenderedPageBreak/>
        <w:t>Arvonmääritys (Artikla 13 ”Valuation by the judicial or administrative authority”)</w:t>
      </w:r>
    </w:p>
    <w:p w:rsidR="00AB6E63" w:rsidRDefault="00AA23A9" w:rsidP="00AB6E63">
      <w:pPr>
        <w:pStyle w:val="Leipteksti"/>
        <w:jc w:val="both"/>
        <w:rPr>
          <w:rFonts w:asciiTheme="majorHAnsi" w:hAnsiTheme="majorHAnsi" w:cstheme="majorHAnsi"/>
        </w:rPr>
      </w:pPr>
      <w:r>
        <w:rPr>
          <w:rFonts w:asciiTheme="majorHAnsi" w:hAnsiTheme="majorHAnsi" w:cstheme="majorHAnsi"/>
        </w:rPr>
        <w:t>Artikla</w:t>
      </w:r>
      <w:r w:rsidR="00AB6E63" w:rsidRPr="00AB6E63">
        <w:rPr>
          <w:rFonts w:asciiTheme="majorHAnsi" w:hAnsiTheme="majorHAnsi" w:cstheme="majorHAnsi"/>
        </w:rPr>
        <w:t xml:space="preserve"> sisältää säännökset yrityksen arvon määrityksen osalta. Finnvera ka</w:t>
      </w:r>
      <w:r w:rsidR="00AB6E63" w:rsidRPr="00AB6E63">
        <w:rPr>
          <w:rFonts w:asciiTheme="majorHAnsi" w:hAnsiTheme="majorHAnsi" w:cstheme="majorHAnsi"/>
        </w:rPr>
        <w:t>t</w:t>
      </w:r>
      <w:r w:rsidR="00AB6E63" w:rsidRPr="00AB6E63">
        <w:rPr>
          <w:rFonts w:asciiTheme="majorHAnsi" w:hAnsiTheme="majorHAnsi" w:cstheme="majorHAnsi"/>
        </w:rPr>
        <w:t xml:space="preserve">soo, että pääsääntöisesti arvonmäärityksessä tulisi käyttää going concern </w:t>
      </w:r>
      <w:r w:rsidRPr="00AB6E63">
        <w:rPr>
          <w:rFonts w:asciiTheme="majorHAnsi" w:hAnsiTheme="majorHAnsi" w:cstheme="majorHAnsi"/>
        </w:rPr>
        <w:t>– arvoa</w:t>
      </w:r>
      <w:r w:rsidR="00AB6E63" w:rsidRPr="00AB6E63">
        <w:rPr>
          <w:rFonts w:asciiTheme="majorHAnsi" w:hAnsiTheme="majorHAnsi" w:cstheme="majorHAnsi"/>
        </w:rPr>
        <w:t>, mutta tiettyjen liiketoimintaan kuulumattomien omaisuuserien arvost</w:t>
      </w:r>
      <w:r w:rsidR="00AB6E63" w:rsidRPr="00AB6E63">
        <w:rPr>
          <w:rFonts w:asciiTheme="majorHAnsi" w:hAnsiTheme="majorHAnsi" w:cstheme="majorHAnsi"/>
        </w:rPr>
        <w:t>a</w:t>
      </w:r>
      <w:r w:rsidR="00AB6E63" w:rsidRPr="00AB6E63">
        <w:rPr>
          <w:rFonts w:asciiTheme="majorHAnsi" w:hAnsiTheme="majorHAnsi" w:cstheme="majorHAnsi"/>
        </w:rPr>
        <w:t>misen tulisi tehdä lähtökohtaisesti likvidaatioarvoon perustuen. Finnvera ka</w:t>
      </w:r>
      <w:r w:rsidR="00AB6E63" w:rsidRPr="00AB6E63">
        <w:rPr>
          <w:rFonts w:asciiTheme="majorHAnsi" w:hAnsiTheme="majorHAnsi" w:cstheme="majorHAnsi"/>
        </w:rPr>
        <w:t>n</w:t>
      </w:r>
      <w:r w:rsidR="00AB6E63" w:rsidRPr="00AB6E63">
        <w:rPr>
          <w:rFonts w:asciiTheme="majorHAnsi" w:hAnsiTheme="majorHAnsi" w:cstheme="majorHAnsi"/>
        </w:rPr>
        <w:t>nattaa sitä, että mikäli yrityksen arvon määrityksestä tulee riitaa, niin sitä ko</w:t>
      </w:r>
      <w:r w:rsidR="00AB6E63" w:rsidRPr="00AB6E63">
        <w:rPr>
          <w:rFonts w:asciiTheme="majorHAnsi" w:hAnsiTheme="majorHAnsi" w:cstheme="majorHAnsi"/>
        </w:rPr>
        <w:t>s</w:t>
      </w:r>
      <w:r w:rsidR="00AB6E63" w:rsidRPr="00AB6E63">
        <w:rPr>
          <w:rFonts w:asciiTheme="majorHAnsi" w:hAnsiTheme="majorHAnsi" w:cstheme="majorHAnsi"/>
        </w:rPr>
        <w:t xml:space="preserve">keva erimielisyys on asianmukaisesti ratkaistavissa tuomioistuimessa. </w:t>
      </w:r>
    </w:p>
    <w:p w:rsidR="00AA23A9" w:rsidRDefault="00AA23A9"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lang w:val="en-US"/>
        </w:rPr>
      </w:pPr>
      <w:r w:rsidRPr="00AB6E63">
        <w:rPr>
          <w:rFonts w:asciiTheme="majorHAnsi" w:hAnsiTheme="majorHAnsi" w:cstheme="majorHAnsi"/>
          <w:lang w:val="en-US"/>
        </w:rPr>
        <w:t xml:space="preserve">Uusi rahoitus (Artikla 16 “Protection for new finance and interim finance”)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Ehdotus sisältää jäsenvaltioille asetetun velvollisuuden varmistaa, että sane</w:t>
      </w:r>
      <w:r w:rsidRPr="00AB6E63">
        <w:rPr>
          <w:rFonts w:asciiTheme="majorHAnsi" w:hAnsiTheme="majorHAnsi" w:cstheme="majorHAnsi"/>
        </w:rPr>
        <w:t>e</w:t>
      </w:r>
      <w:r w:rsidRPr="00AB6E63">
        <w:rPr>
          <w:rFonts w:asciiTheme="majorHAnsi" w:hAnsiTheme="majorHAnsi" w:cstheme="majorHAnsi"/>
        </w:rPr>
        <w:t>rausmenettelyyn liittyvän uuden rahoituksen ja väliaikaisen rahoituksen as</w:t>
      </w:r>
      <w:r w:rsidRPr="00AB6E63">
        <w:rPr>
          <w:rFonts w:asciiTheme="majorHAnsi" w:hAnsiTheme="majorHAnsi" w:cstheme="majorHAnsi"/>
        </w:rPr>
        <w:t>e</w:t>
      </w:r>
      <w:r w:rsidRPr="00AB6E63">
        <w:rPr>
          <w:rFonts w:asciiTheme="majorHAnsi" w:hAnsiTheme="majorHAnsi" w:cstheme="majorHAnsi"/>
        </w:rPr>
        <w:t>ma turvataan ja sen käyttämiseen kannustetaan. Uusi rahoitus koskee sane</w:t>
      </w:r>
      <w:r w:rsidRPr="00AB6E63">
        <w:rPr>
          <w:rFonts w:asciiTheme="majorHAnsi" w:hAnsiTheme="majorHAnsi" w:cstheme="majorHAnsi"/>
        </w:rPr>
        <w:t>e</w:t>
      </w:r>
      <w:r w:rsidRPr="00AB6E63">
        <w:rPr>
          <w:rFonts w:asciiTheme="majorHAnsi" w:hAnsiTheme="majorHAnsi" w:cstheme="majorHAnsi"/>
        </w:rPr>
        <w:t>rausohjelman toteuttamiseen liittyvää rahoitusta ja väliaikainen rahoitus taas rahoitusta saneerausmenettelyn ajalle aina saneerausohjelman vahvistam</w:t>
      </w:r>
      <w:r w:rsidRPr="00AB6E63">
        <w:rPr>
          <w:rFonts w:asciiTheme="majorHAnsi" w:hAnsiTheme="majorHAnsi" w:cstheme="majorHAnsi"/>
        </w:rPr>
        <w:t>i</w:t>
      </w:r>
      <w:r w:rsidRPr="00AB6E63">
        <w:rPr>
          <w:rFonts w:asciiTheme="majorHAnsi" w:hAnsiTheme="majorHAnsi" w:cstheme="majorHAnsi"/>
        </w:rPr>
        <w:t>seen saakka. Tällaista rahoitusta ei tulisi katsoa mitättömäksi tai pätemätt</w:t>
      </w:r>
      <w:r w:rsidRPr="00AB6E63">
        <w:rPr>
          <w:rFonts w:asciiTheme="majorHAnsi" w:hAnsiTheme="majorHAnsi" w:cstheme="majorHAnsi"/>
        </w:rPr>
        <w:t>ö</w:t>
      </w:r>
      <w:r w:rsidRPr="00AB6E63">
        <w:rPr>
          <w:rFonts w:asciiTheme="majorHAnsi" w:hAnsiTheme="majorHAnsi" w:cstheme="majorHAnsi"/>
        </w:rPr>
        <w:t>mäksi mahdollisessa jälkikonkurssissa edellyttäen, että tämä rahoitus on jä</w:t>
      </w:r>
      <w:r w:rsidRPr="00AB6E63">
        <w:rPr>
          <w:rFonts w:asciiTheme="majorHAnsi" w:hAnsiTheme="majorHAnsi" w:cstheme="majorHAnsi"/>
        </w:rPr>
        <w:t>r</w:t>
      </w:r>
      <w:r w:rsidRPr="00AB6E63">
        <w:rPr>
          <w:rFonts w:asciiTheme="majorHAnsi" w:hAnsiTheme="majorHAnsi" w:cstheme="majorHAnsi"/>
        </w:rPr>
        <w:t>jestetty vilpittömässä mielessä. Edelleen jäsenvaltiot voivat säätää tällaisen uuden tai väliaikaisen rahoituksen etuoikeudesta suhteessa muihin velkojiin vähintään siten, että uusi tai väliaikainen rahoitus nauttii etuoikeutta suhtee</w:t>
      </w:r>
      <w:r w:rsidRPr="00AB6E63">
        <w:rPr>
          <w:rFonts w:asciiTheme="majorHAnsi" w:hAnsiTheme="majorHAnsi" w:cstheme="majorHAnsi"/>
        </w:rPr>
        <w:t>s</w:t>
      </w:r>
      <w:r w:rsidRPr="00AB6E63">
        <w:rPr>
          <w:rFonts w:asciiTheme="majorHAnsi" w:hAnsiTheme="majorHAnsi" w:cstheme="majorHAnsi"/>
        </w:rPr>
        <w:t>sa tavallisiin vakuudettomiin velkojiin.</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 pitää ehdotusta kannatettavana ja toteaa olevan hyvä asia, että e</w:t>
      </w:r>
      <w:r w:rsidRPr="00AB6E63">
        <w:rPr>
          <w:rFonts w:asciiTheme="majorHAnsi" w:hAnsiTheme="majorHAnsi" w:cstheme="majorHAnsi"/>
        </w:rPr>
        <w:t>h</w:t>
      </w:r>
      <w:r w:rsidRPr="00AB6E63">
        <w:rPr>
          <w:rFonts w:asciiTheme="majorHAnsi" w:hAnsiTheme="majorHAnsi" w:cstheme="majorHAnsi"/>
        </w:rPr>
        <w:t>dotuksessa otetaan kantaa uuden tai väliaikaisen rahoituksen pätevyyteen jälkikonkurssissa. Asiassa tulee erityisesti kuitenkin korostaa olemassa olev</w:t>
      </w:r>
      <w:r w:rsidRPr="00AB6E63">
        <w:rPr>
          <w:rFonts w:asciiTheme="majorHAnsi" w:hAnsiTheme="majorHAnsi" w:cstheme="majorHAnsi"/>
        </w:rPr>
        <w:t>i</w:t>
      </w:r>
      <w:r w:rsidRPr="00AB6E63">
        <w:rPr>
          <w:rFonts w:asciiTheme="majorHAnsi" w:hAnsiTheme="majorHAnsi" w:cstheme="majorHAnsi"/>
        </w:rPr>
        <w:t>en velkojien asemaa ja vilpillistä mieltä. Esimerkiksi yrityskiinnityksen haltijan asemaa huonontaa merkittävästi menettelyn aikaisen rahoituksen etusija. Epäasianmukaisesti muiden velkojien asemaa heikentävän rahoituksen ei t</w:t>
      </w:r>
      <w:r w:rsidRPr="00AB6E63">
        <w:rPr>
          <w:rFonts w:asciiTheme="majorHAnsi" w:hAnsiTheme="majorHAnsi" w:cstheme="majorHAnsi"/>
        </w:rPr>
        <w:t>u</w:t>
      </w:r>
      <w:r w:rsidRPr="00AB6E63">
        <w:rPr>
          <w:rFonts w:asciiTheme="majorHAnsi" w:hAnsiTheme="majorHAnsi" w:cstheme="majorHAnsi"/>
        </w:rPr>
        <w:t xml:space="preserve">lisi nauttia tätä etuoikeutta. </w:t>
      </w:r>
    </w:p>
    <w:p w:rsidR="00AB6E63" w:rsidRPr="00AB6E63" w:rsidRDefault="00AB6E63"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lang w:val="en-US"/>
        </w:rPr>
      </w:pPr>
      <w:r w:rsidRPr="00AB6E63">
        <w:rPr>
          <w:rFonts w:asciiTheme="majorHAnsi" w:hAnsiTheme="majorHAnsi" w:cstheme="majorHAnsi"/>
          <w:lang w:val="en-US"/>
        </w:rPr>
        <w:t xml:space="preserve">Johdon vastuu (Artikla 18 “Duties of directors”)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Artiklassa käsitellään velallisyrityksen johdon vastuuta koskevia velvoitteita maksukyvyttömyyden uhkaa koskevassa tilanteessa. Säännös sisältää vela</w:t>
      </w:r>
      <w:r w:rsidRPr="00AB6E63">
        <w:rPr>
          <w:rFonts w:asciiTheme="majorHAnsi" w:hAnsiTheme="majorHAnsi" w:cstheme="majorHAnsi"/>
        </w:rPr>
        <w:t>l</w:t>
      </w:r>
      <w:r w:rsidRPr="00AB6E63">
        <w:rPr>
          <w:rFonts w:asciiTheme="majorHAnsi" w:hAnsiTheme="majorHAnsi" w:cstheme="majorHAnsi"/>
        </w:rPr>
        <w:t>lisyrityksen johdolle asetettavan yleisen velvollisuuden rajoittaa yhtiön sido</w:t>
      </w:r>
      <w:r w:rsidRPr="00AB6E63">
        <w:rPr>
          <w:rFonts w:asciiTheme="majorHAnsi" w:hAnsiTheme="majorHAnsi" w:cstheme="majorHAnsi"/>
        </w:rPr>
        <w:t>s</w:t>
      </w:r>
      <w:r w:rsidRPr="00AB6E63">
        <w:rPr>
          <w:rFonts w:asciiTheme="majorHAnsi" w:hAnsiTheme="majorHAnsi" w:cstheme="majorHAnsi"/>
        </w:rPr>
        <w:t>ryhmien, kuten velkojien, työntekijöiden, osakkeenomistajien ja muiden tah</w:t>
      </w:r>
      <w:r w:rsidRPr="00AB6E63">
        <w:rPr>
          <w:rFonts w:asciiTheme="majorHAnsi" w:hAnsiTheme="majorHAnsi" w:cstheme="majorHAnsi"/>
        </w:rPr>
        <w:t>o</w:t>
      </w:r>
      <w:r w:rsidRPr="00AB6E63">
        <w:rPr>
          <w:rFonts w:asciiTheme="majorHAnsi" w:hAnsiTheme="majorHAnsi" w:cstheme="majorHAnsi"/>
        </w:rPr>
        <w:t>jen vahingot maksukyvyttömyystilanteessa sekä tekemään riittävät toimenp</w:t>
      </w:r>
      <w:r w:rsidRPr="00AB6E63">
        <w:rPr>
          <w:rFonts w:asciiTheme="majorHAnsi" w:hAnsiTheme="majorHAnsi" w:cstheme="majorHAnsi"/>
        </w:rPr>
        <w:t>i</w:t>
      </w:r>
      <w:r w:rsidRPr="00AB6E63">
        <w:rPr>
          <w:rFonts w:asciiTheme="majorHAnsi" w:hAnsiTheme="majorHAnsi" w:cstheme="majorHAnsi"/>
        </w:rPr>
        <w:t xml:space="preserve">teet konkurssin välttämiseksi.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Kyseisen säännöksen tavoitteena on edistää velallisyritysten hakeutumista ajoissa saneerausmenettelyyn, kun yrityksen liiketoiminta on vielä elinkelpoi</w:t>
      </w:r>
      <w:r w:rsidRPr="00AB6E63">
        <w:rPr>
          <w:rFonts w:asciiTheme="majorHAnsi" w:hAnsiTheme="majorHAnsi" w:cstheme="majorHAnsi"/>
        </w:rPr>
        <w:t>s</w:t>
      </w:r>
      <w:r w:rsidRPr="00AB6E63">
        <w:rPr>
          <w:rFonts w:asciiTheme="majorHAnsi" w:hAnsiTheme="majorHAnsi" w:cstheme="majorHAnsi"/>
        </w:rPr>
        <w:t>ta. Tämä tavoite on kannatettava, koska se edesauttaa velallisyrityksen vara</w:t>
      </w:r>
      <w:r w:rsidRPr="00AB6E63">
        <w:rPr>
          <w:rFonts w:asciiTheme="majorHAnsi" w:hAnsiTheme="majorHAnsi" w:cstheme="majorHAnsi"/>
        </w:rPr>
        <w:t>l</w:t>
      </w:r>
      <w:r w:rsidRPr="00AB6E63">
        <w:rPr>
          <w:rFonts w:asciiTheme="majorHAnsi" w:hAnsiTheme="majorHAnsi" w:cstheme="majorHAnsi"/>
        </w:rPr>
        <w:t>lisuuden arvon säilymistä ja parantaa siten velkojille tulevien suoritusten mä</w:t>
      </w:r>
      <w:r w:rsidRPr="00AB6E63">
        <w:rPr>
          <w:rFonts w:asciiTheme="majorHAnsi" w:hAnsiTheme="majorHAnsi" w:cstheme="majorHAnsi"/>
        </w:rPr>
        <w:t>ä</w:t>
      </w:r>
      <w:r w:rsidRPr="00AB6E63">
        <w:rPr>
          <w:rFonts w:asciiTheme="majorHAnsi" w:hAnsiTheme="majorHAnsi" w:cstheme="majorHAnsi"/>
        </w:rPr>
        <w:t xml:space="preserve">rää sekä turvaa osakkeenomistajien arvon ja työpaikat.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lastRenderedPageBreak/>
        <w:t>Finnveran näkemyksen mukaan ehdotettu säännös on ongelmallinen, koska eri sidosryhmien intressit eivät välttämättä ole yhdenmukaisia maksukyvytt</w:t>
      </w:r>
      <w:r w:rsidRPr="00AB6E63">
        <w:rPr>
          <w:rFonts w:asciiTheme="majorHAnsi" w:hAnsiTheme="majorHAnsi" w:cstheme="majorHAnsi"/>
        </w:rPr>
        <w:t>ö</w:t>
      </w:r>
      <w:r w:rsidRPr="00AB6E63">
        <w:rPr>
          <w:rFonts w:asciiTheme="majorHAnsi" w:hAnsiTheme="majorHAnsi" w:cstheme="majorHAnsi"/>
        </w:rPr>
        <w:t>myystilanteen yhteydessä, mikä saattaa johtaa lisääntyviin vahingonkorvau</w:t>
      </w:r>
      <w:r w:rsidRPr="00AB6E63">
        <w:rPr>
          <w:rFonts w:asciiTheme="majorHAnsi" w:hAnsiTheme="majorHAnsi" w:cstheme="majorHAnsi"/>
        </w:rPr>
        <w:t>s</w:t>
      </w:r>
      <w:r w:rsidRPr="00AB6E63">
        <w:rPr>
          <w:rFonts w:asciiTheme="majorHAnsi" w:hAnsiTheme="majorHAnsi" w:cstheme="majorHAnsi"/>
        </w:rPr>
        <w:t xml:space="preserve">vaatimusten esittämisiin velallisyrityksen johtoa kohtaan.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 xml:space="preserve">Edellä esitetyn lisäksi säännöksen velvoitteet voivat johtaa myös siihen, että velallisyritysten johto hakee elinkelvottomia yrityksiä saneerausmenettelyyn, vaikka siihen ei olisi edellytyksiä.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Kuten edellä rauhoitusaikaa koskevissa kommenteissa todettiin, tämä johtaa puolestaan siihen, että velkojille – erityisesti yrityskiinnitysvelkojille - jaettavien varojen määrä laskee, kun varoja käytetään epäonnistuneeseen sane</w:t>
      </w:r>
      <w:r w:rsidRPr="00AB6E63">
        <w:rPr>
          <w:rFonts w:asciiTheme="majorHAnsi" w:hAnsiTheme="majorHAnsi" w:cstheme="majorHAnsi"/>
        </w:rPr>
        <w:t>e</w:t>
      </w:r>
      <w:r w:rsidRPr="00AB6E63">
        <w:rPr>
          <w:rFonts w:asciiTheme="majorHAnsi" w:hAnsiTheme="majorHAnsi" w:cstheme="majorHAnsi"/>
        </w:rPr>
        <w:t xml:space="preserve">rausyritykseen, joka päättyy jälkikonkurssiin.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Vahva velkojansuoja lienee yksi keskeinen tekijä ehdotuksen tavoitteiden t</w:t>
      </w:r>
      <w:r w:rsidRPr="00AB6E63">
        <w:rPr>
          <w:rFonts w:asciiTheme="majorHAnsi" w:hAnsiTheme="majorHAnsi" w:cstheme="majorHAnsi"/>
        </w:rPr>
        <w:t>o</w:t>
      </w:r>
      <w:r w:rsidRPr="00AB6E63">
        <w:rPr>
          <w:rFonts w:asciiTheme="majorHAnsi" w:hAnsiTheme="majorHAnsi" w:cstheme="majorHAnsi"/>
        </w:rPr>
        <w:t>teuttamisen kannalta. Mikäli velallisyritysten johdon velvollisuudet johtavat tarpeettomiin saneerausyrityksiin ja velkojille jaettavien varojen vähenem</w:t>
      </w:r>
      <w:r w:rsidRPr="00AB6E63">
        <w:rPr>
          <w:rFonts w:asciiTheme="majorHAnsi" w:hAnsiTheme="majorHAnsi" w:cstheme="majorHAnsi"/>
        </w:rPr>
        <w:t>i</w:t>
      </w:r>
      <w:r w:rsidRPr="00AB6E63">
        <w:rPr>
          <w:rFonts w:asciiTheme="majorHAnsi" w:hAnsiTheme="majorHAnsi" w:cstheme="majorHAnsi"/>
        </w:rPr>
        <w:t>seen, niin sitä ei voida pitää toivottavana. Kyseisen säännöksen osalta voisi olla hyvä miettiä tarkennuksia, joiden avulla voitaisiin ohjata yrityksen johtoa hakeutumaan pikemminkin konkurssiin mahdollisimman pian, mikäli yritysto</w:t>
      </w:r>
      <w:r w:rsidRPr="00AB6E63">
        <w:rPr>
          <w:rFonts w:asciiTheme="majorHAnsi" w:hAnsiTheme="majorHAnsi" w:cstheme="majorHAnsi"/>
        </w:rPr>
        <w:t>i</w:t>
      </w:r>
      <w:r w:rsidRPr="00AB6E63">
        <w:rPr>
          <w:rFonts w:asciiTheme="majorHAnsi" w:hAnsiTheme="majorHAnsi" w:cstheme="majorHAnsi"/>
        </w:rPr>
        <w:t xml:space="preserve">mintaa ei voida pitää objektiivisesti arvioiden elinkelpoisena. </w:t>
      </w:r>
    </w:p>
    <w:p w:rsidR="00AB6E63" w:rsidRPr="00AB6E63" w:rsidRDefault="00AB6E63"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lang w:val="en-US"/>
        </w:rPr>
      </w:pPr>
      <w:r w:rsidRPr="00AB6E63">
        <w:rPr>
          <w:rFonts w:asciiTheme="majorHAnsi" w:hAnsiTheme="majorHAnsi" w:cstheme="majorHAnsi"/>
          <w:lang w:val="en-US"/>
        </w:rPr>
        <w:t>Koulutus (Artikla</w:t>
      </w:r>
      <w:r w:rsidR="00AA23A9">
        <w:rPr>
          <w:rFonts w:asciiTheme="majorHAnsi" w:hAnsiTheme="majorHAnsi" w:cstheme="majorHAnsi"/>
          <w:lang w:val="en-US"/>
        </w:rPr>
        <w:t xml:space="preserve"> </w:t>
      </w:r>
      <w:r w:rsidRPr="00AB6E63">
        <w:rPr>
          <w:rFonts w:asciiTheme="majorHAnsi" w:hAnsiTheme="majorHAnsi" w:cstheme="majorHAnsi"/>
          <w:lang w:val="en-US"/>
        </w:rPr>
        <w:t>24 ”Judicial and administrative authorities” ja artikla 25 “Practioners in the field of r</w:t>
      </w:r>
      <w:r w:rsidRPr="00AB6E63">
        <w:rPr>
          <w:rFonts w:asciiTheme="majorHAnsi" w:hAnsiTheme="majorHAnsi" w:cstheme="majorHAnsi"/>
          <w:lang w:val="en-US"/>
        </w:rPr>
        <w:t>e</w:t>
      </w:r>
      <w:r w:rsidRPr="00AB6E63">
        <w:rPr>
          <w:rFonts w:asciiTheme="majorHAnsi" w:hAnsiTheme="majorHAnsi" w:cstheme="majorHAnsi"/>
          <w:lang w:val="en-US"/>
        </w:rPr>
        <w:t>structuring, insolvency and second chance”)</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Jäsenvaltiot velvoitetaan ehdotuksessa järjestämään maksukyvyttömyysasio</w:t>
      </w:r>
      <w:r w:rsidRPr="00AB6E63">
        <w:rPr>
          <w:rFonts w:asciiTheme="majorHAnsi" w:hAnsiTheme="majorHAnsi" w:cstheme="majorHAnsi"/>
        </w:rPr>
        <w:t>i</w:t>
      </w:r>
      <w:r w:rsidRPr="00AB6E63">
        <w:rPr>
          <w:rFonts w:asciiTheme="majorHAnsi" w:hAnsiTheme="majorHAnsi" w:cstheme="majorHAnsi"/>
        </w:rPr>
        <w:t>ta hoitavien tuomareiden, viranomaisten ja muiden tahojen riittävä perus- ja jatkokoulutus. Saman säännöksen 2-kohdassa jäsenvaltioiden tulee varmi</w:t>
      </w:r>
      <w:r w:rsidRPr="00AB6E63">
        <w:rPr>
          <w:rFonts w:asciiTheme="majorHAnsi" w:hAnsiTheme="majorHAnsi" w:cstheme="majorHAnsi"/>
        </w:rPr>
        <w:t>s</w:t>
      </w:r>
      <w:r w:rsidRPr="00AB6E63">
        <w:rPr>
          <w:rFonts w:asciiTheme="majorHAnsi" w:hAnsiTheme="majorHAnsi" w:cstheme="majorHAnsi"/>
        </w:rPr>
        <w:t>taa, että maksukyvyttömyysmenettelyihin liittyvät asiat käsitellään viranomai</w:t>
      </w:r>
      <w:r w:rsidRPr="00AB6E63">
        <w:rPr>
          <w:rFonts w:asciiTheme="majorHAnsi" w:hAnsiTheme="majorHAnsi" w:cstheme="majorHAnsi"/>
        </w:rPr>
        <w:t>s</w:t>
      </w:r>
      <w:r w:rsidRPr="00AB6E63">
        <w:rPr>
          <w:rFonts w:asciiTheme="majorHAnsi" w:hAnsiTheme="majorHAnsi" w:cstheme="majorHAnsi"/>
        </w:rPr>
        <w:t>ten puolelta tehokkaasti, ja että asiaa käsittelevät viran-omaiset ovat erikoi</w:t>
      </w:r>
      <w:r w:rsidRPr="00AB6E63">
        <w:rPr>
          <w:rFonts w:asciiTheme="majorHAnsi" w:hAnsiTheme="majorHAnsi" w:cstheme="majorHAnsi"/>
        </w:rPr>
        <w:t>s</w:t>
      </w:r>
      <w:r w:rsidRPr="00AB6E63">
        <w:rPr>
          <w:rFonts w:asciiTheme="majorHAnsi" w:hAnsiTheme="majorHAnsi" w:cstheme="majorHAnsi"/>
        </w:rPr>
        <w:t xml:space="preserve">tuneita näihin asioihin.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 pitää ehdotusta kannatettavana. Tuomioistuimet järjestävät oma-aloitteisesti koulutusta asiaan liittyen. Lisäksi useat eri tahot järjestävät Su</w:t>
      </w:r>
      <w:r w:rsidRPr="00AB6E63">
        <w:rPr>
          <w:rFonts w:asciiTheme="majorHAnsi" w:hAnsiTheme="majorHAnsi" w:cstheme="majorHAnsi"/>
        </w:rPr>
        <w:t>o</w:t>
      </w:r>
      <w:r w:rsidRPr="00AB6E63">
        <w:rPr>
          <w:rFonts w:asciiTheme="majorHAnsi" w:hAnsiTheme="majorHAnsi" w:cstheme="majorHAnsi"/>
        </w:rPr>
        <w:t>messa hyvin korkeatasoista koulutusta. Osa toimijoista on kaupallisia, osa koulutuksesta on rajatulle intressitaholle ja esimerkiksi Insolvenssioikeudell</w:t>
      </w:r>
      <w:r w:rsidRPr="00AB6E63">
        <w:rPr>
          <w:rFonts w:asciiTheme="majorHAnsi" w:hAnsiTheme="majorHAnsi" w:cstheme="majorHAnsi"/>
        </w:rPr>
        <w:t>i</w:t>
      </w:r>
      <w:r w:rsidRPr="00AB6E63">
        <w:rPr>
          <w:rFonts w:asciiTheme="majorHAnsi" w:hAnsiTheme="majorHAnsi" w:cstheme="majorHAnsi"/>
        </w:rPr>
        <w:t>sen Yhdistyksen koulutus on avointa kaikille jäsenille ammattiryhmään ka</w:t>
      </w:r>
      <w:r w:rsidRPr="00AB6E63">
        <w:rPr>
          <w:rFonts w:asciiTheme="majorHAnsi" w:hAnsiTheme="majorHAnsi" w:cstheme="majorHAnsi"/>
        </w:rPr>
        <w:t>t</w:t>
      </w:r>
      <w:r w:rsidRPr="00AB6E63">
        <w:rPr>
          <w:rFonts w:asciiTheme="majorHAnsi" w:hAnsiTheme="majorHAnsi" w:cstheme="majorHAnsi"/>
        </w:rPr>
        <w:t xml:space="preserve">somatta. Maksukyvyttömyysasiat vaativat erityisosaamista, minkä vuoksi on perusteltua, että erityisesti niitä asioita ratkaisevien tahojen asianmukainen koulutus varmistetaan erikseen. </w:t>
      </w:r>
    </w:p>
    <w:p w:rsidR="00AB6E63" w:rsidRDefault="00AB6E63" w:rsidP="00AB6E63">
      <w:pPr>
        <w:pStyle w:val="Leipteksti"/>
        <w:jc w:val="both"/>
        <w:rPr>
          <w:rFonts w:asciiTheme="majorHAnsi" w:hAnsiTheme="majorHAnsi" w:cstheme="majorHAnsi"/>
        </w:rPr>
      </w:pPr>
      <w:r w:rsidRPr="00AB6E63">
        <w:rPr>
          <w:rFonts w:asciiTheme="majorHAnsi" w:hAnsiTheme="majorHAnsi" w:cstheme="majorHAnsi"/>
        </w:rPr>
        <w:t>Lisäksi Konkurssiasiain neuvottelukunta on laatinut lisäksi 16 hyvää pesä</w:t>
      </w:r>
      <w:r w:rsidRPr="00AB6E63">
        <w:rPr>
          <w:rFonts w:asciiTheme="majorHAnsi" w:hAnsiTheme="majorHAnsi" w:cstheme="majorHAnsi"/>
        </w:rPr>
        <w:t>n</w:t>
      </w:r>
      <w:r w:rsidRPr="00AB6E63">
        <w:rPr>
          <w:rFonts w:asciiTheme="majorHAnsi" w:hAnsiTheme="majorHAnsi" w:cstheme="majorHAnsi"/>
        </w:rPr>
        <w:t>hoitotapaa koskevaa suositusta pesänhoitajille ja kaksi suositusta yrity</w:t>
      </w:r>
      <w:r w:rsidRPr="00AB6E63">
        <w:rPr>
          <w:rFonts w:asciiTheme="majorHAnsi" w:hAnsiTheme="majorHAnsi" w:cstheme="majorHAnsi"/>
        </w:rPr>
        <w:t>s</w:t>
      </w:r>
      <w:r w:rsidRPr="00AB6E63">
        <w:rPr>
          <w:rFonts w:asciiTheme="majorHAnsi" w:hAnsiTheme="majorHAnsi" w:cstheme="majorHAnsi"/>
        </w:rPr>
        <w:t>saneerausmenettelyn selvittäjälle sekä julkaissut useita kannanottoa konkur</w:t>
      </w:r>
      <w:r w:rsidRPr="00AB6E63">
        <w:rPr>
          <w:rFonts w:asciiTheme="majorHAnsi" w:hAnsiTheme="majorHAnsi" w:cstheme="majorHAnsi"/>
        </w:rPr>
        <w:t>s</w:t>
      </w:r>
      <w:r w:rsidRPr="00AB6E63">
        <w:rPr>
          <w:rFonts w:asciiTheme="majorHAnsi" w:hAnsiTheme="majorHAnsi" w:cstheme="majorHAnsi"/>
        </w:rPr>
        <w:t xml:space="preserve">si- ja yrityssaneerausmenettelyihin liittyen. </w:t>
      </w:r>
    </w:p>
    <w:p w:rsidR="00AA23A9" w:rsidRPr="00AB6E63" w:rsidRDefault="00AA23A9" w:rsidP="00AB6E63">
      <w:pPr>
        <w:pStyle w:val="Leipteksti"/>
        <w:jc w:val="both"/>
        <w:rPr>
          <w:rFonts w:asciiTheme="majorHAnsi" w:hAnsiTheme="majorHAnsi" w:cstheme="majorHAnsi"/>
        </w:rPr>
      </w:pPr>
    </w:p>
    <w:p w:rsidR="00AB6E63" w:rsidRPr="00AB6E63" w:rsidRDefault="00AB6E63" w:rsidP="00AA23A9">
      <w:pPr>
        <w:pStyle w:val="Leipteksti"/>
        <w:ind w:left="0"/>
        <w:jc w:val="both"/>
        <w:rPr>
          <w:rFonts w:asciiTheme="majorHAnsi" w:hAnsiTheme="majorHAnsi" w:cstheme="majorHAnsi"/>
          <w:lang w:val="en-US"/>
        </w:rPr>
      </w:pPr>
      <w:r w:rsidRPr="00AB6E63">
        <w:rPr>
          <w:rFonts w:asciiTheme="majorHAnsi" w:hAnsiTheme="majorHAnsi" w:cstheme="majorHAnsi"/>
          <w:lang w:val="en-US"/>
        </w:rPr>
        <w:lastRenderedPageBreak/>
        <w:t>Määräykset nimittämisessä (Artikla 26 “Appointment of practioners in the field of restructuring, insolve</w:t>
      </w:r>
      <w:r w:rsidRPr="00AB6E63">
        <w:rPr>
          <w:rFonts w:asciiTheme="majorHAnsi" w:hAnsiTheme="majorHAnsi" w:cstheme="majorHAnsi"/>
          <w:lang w:val="en-US"/>
        </w:rPr>
        <w:t>n</w:t>
      </w:r>
      <w:r w:rsidRPr="00AB6E63">
        <w:rPr>
          <w:rFonts w:asciiTheme="majorHAnsi" w:hAnsiTheme="majorHAnsi" w:cstheme="majorHAnsi"/>
          <w:lang w:val="en-US"/>
        </w:rPr>
        <w:t xml:space="preserve">cy and second chance”)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 xml:space="preserve">Artikla sisältää määräykset pesänhoitajien ja selvittäjien nimittämisestä. Säännöksen mukaan pesänhoitajien ja selvittäjien valinta tulee olla avoin ja selkeä, mikäli viranomainen valitsee ja nimittää kyseisen tahon. Lisäksi rajat ylittävissä maksukyvyttömyysmenettelyissä tulee huomioida nimitettävän henkilön kielitaito, osaaminen ja resurssit. </w:t>
      </w:r>
    </w:p>
    <w:p w:rsidR="00AB6E63" w:rsidRP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 pitää ehdotusta perusteltuna ja kannatettavana. On ensiarvoisen tärkeää, että viran-omaisten puolelta tehtävät pesänhoitajien ja selvittäjien nimitykset tapahtuvat läpinäkyvästi ja selkein perustein. Rajat ylittävissä ma</w:t>
      </w:r>
      <w:r w:rsidRPr="00AB6E63">
        <w:rPr>
          <w:rFonts w:asciiTheme="majorHAnsi" w:hAnsiTheme="majorHAnsi" w:cstheme="majorHAnsi"/>
        </w:rPr>
        <w:t>k</w:t>
      </w:r>
      <w:r w:rsidRPr="00AB6E63">
        <w:rPr>
          <w:rFonts w:asciiTheme="majorHAnsi" w:hAnsiTheme="majorHAnsi" w:cstheme="majorHAnsi"/>
        </w:rPr>
        <w:t xml:space="preserve">sukyvyttömyysmenettelyissä pesänhoitajien ja selvittäjien kielitaidolle ja osaamiselle on myös annettava keskeinen merkitys.  </w:t>
      </w:r>
    </w:p>
    <w:p w:rsidR="00AB6E63" w:rsidRDefault="00AB6E63" w:rsidP="00AB6E63">
      <w:pPr>
        <w:pStyle w:val="Leipteksti"/>
        <w:jc w:val="both"/>
        <w:rPr>
          <w:rFonts w:asciiTheme="majorHAnsi" w:hAnsiTheme="majorHAnsi" w:cstheme="majorHAnsi"/>
        </w:rPr>
      </w:pPr>
      <w:r w:rsidRPr="00AB6E63">
        <w:rPr>
          <w:rFonts w:asciiTheme="majorHAnsi" w:hAnsiTheme="majorHAnsi" w:cstheme="majorHAnsi"/>
        </w:rPr>
        <w:t>Finnvera ehdottaa, että samat edellytykset ulotettaisiin myös niihin sane</w:t>
      </w:r>
      <w:r w:rsidRPr="00AB6E63">
        <w:rPr>
          <w:rFonts w:asciiTheme="majorHAnsi" w:hAnsiTheme="majorHAnsi" w:cstheme="majorHAnsi"/>
        </w:rPr>
        <w:t>e</w:t>
      </w:r>
      <w:r w:rsidRPr="00AB6E63">
        <w:rPr>
          <w:rFonts w:asciiTheme="majorHAnsi" w:hAnsiTheme="majorHAnsi" w:cstheme="majorHAnsi"/>
        </w:rPr>
        <w:t>rausprosessissa toimivaan tahoihin, joiden toiminalle ei tarvita tuomioistuimen määräystä. Esimerkkinä tästä olisi saneeraushakemuksia tekevät konsultit. Heidän osaamisen parantamisella voitaisiin välttää turhat saneerausmenett</w:t>
      </w:r>
      <w:r w:rsidRPr="00AB6E63">
        <w:rPr>
          <w:rFonts w:asciiTheme="majorHAnsi" w:hAnsiTheme="majorHAnsi" w:cstheme="majorHAnsi"/>
        </w:rPr>
        <w:t>e</w:t>
      </w:r>
      <w:r w:rsidRPr="00AB6E63">
        <w:rPr>
          <w:rFonts w:asciiTheme="majorHAnsi" w:hAnsiTheme="majorHAnsi" w:cstheme="majorHAnsi"/>
        </w:rPr>
        <w:t>lyt.</w:t>
      </w:r>
    </w:p>
    <w:p w:rsidR="00AA23A9" w:rsidRPr="00AB6E63" w:rsidRDefault="00AA23A9" w:rsidP="00AB6E63">
      <w:pPr>
        <w:pStyle w:val="Leipteksti"/>
        <w:jc w:val="both"/>
        <w:rPr>
          <w:rFonts w:asciiTheme="majorHAnsi" w:hAnsiTheme="majorHAnsi" w:cstheme="majorHAnsi"/>
        </w:rPr>
      </w:pPr>
    </w:p>
    <w:p w:rsidR="00BF5CCC" w:rsidRPr="00AB6E63" w:rsidRDefault="00AA23A9" w:rsidP="00C02EA2">
      <w:pPr>
        <w:pStyle w:val="Leipteksti"/>
        <w:tabs>
          <w:tab w:val="left" w:pos="2552"/>
        </w:tabs>
        <w:ind w:left="2552" w:hanging="2552"/>
        <w:jc w:val="both"/>
        <w:rPr>
          <w:rFonts w:asciiTheme="majorHAnsi" w:hAnsiTheme="majorHAnsi" w:cstheme="majorHAnsi"/>
        </w:rPr>
      </w:pPr>
      <w:r>
        <w:rPr>
          <w:rFonts w:asciiTheme="majorHAnsi" w:hAnsiTheme="majorHAnsi" w:cstheme="majorHAnsi"/>
        </w:rPr>
        <w:t>Lopuksi</w:t>
      </w:r>
      <w:r>
        <w:rPr>
          <w:rFonts w:asciiTheme="majorHAnsi" w:hAnsiTheme="majorHAnsi" w:cstheme="majorHAnsi"/>
        </w:rPr>
        <w:tab/>
        <w:t>Finnvera voi tarkentaa</w:t>
      </w:r>
      <w:r w:rsidR="00C02EA2">
        <w:rPr>
          <w:rFonts w:asciiTheme="majorHAnsi" w:hAnsiTheme="majorHAnsi" w:cstheme="majorHAnsi"/>
        </w:rPr>
        <w:t xml:space="preserve"> tai</w:t>
      </w:r>
      <w:r>
        <w:rPr>
          <w:rFonts w:asciiTheme="majorHAnsi" w:hAnsiTheme="majorHAnsi" w:cstheme="majorHAnsi"/>
        </w:rPr>
        <w:t xml:space="preserve"> </w:t>
      </w:r>
      <w:r w:rsidR="00C02EA2">
        <w:rPr>
          <w:rFonts w:asciiTheme="majorHAnsi" w:hAnsiTheme="majorHAnsi" w:cstheme="majorHAnsi"/>
        </w:rPr>
        <w:t>täydentää lausuntoaan, mikäli tämä katsotaan ta</w:t>
      </w:r>
      <w:r w:rsidR="00C02EA2">
        <w:rPr>
          <w:rFonts w:asciiTheme="majorHAnsi" w:hAnsiTheme="majorHAnsi" w:cstheme="majorHAnsi"/>
        </w:rPr>
        <w:t>r</w:t>
      </w:r>
      <w:r w:rsidR="00C02EA2">
        <w:rPr>
          <w:rFonts w:asciiTheme="majorHAnsi" w:hAnsiTheme="majorHAnsi" w:cstheme="majorHAnsi"/>
        </w:rPr>
        <w:t>peelliseksi direktiivin myöhemmässä valmistelussa.</w:t>
      </w:r>
    </w:p>
    <w:p w:rsidR="00966C10" w:rsidRDefault="00966C10" w:rsidP="00AB6E63">
      <w:pPr>
        <w:pStyle w:val="Leipteksti"/>
        <w:jc w:val="both"/>
        <w:rPr>
          <w:rFonts w:asciiTheme="majorHAnsi" w:hAnsiTheme="majorHAnsi" w:cstheme="majorHAnsi"/>
        </w:rPr>
      </w:pPr>
    </w:p>
    <w:p w:rsidR="00C02EA2" w:rsidRDefault="00C02EA2" w:rsidP="00AB6E63">
      <w:pPr>
        <w:pStyle w:val="Leipteksti"/>
        <w:jc w:val="both"/>
        <w:rPr>
          <w:rFonts w:asciiTheme="majorHAnsi" w:hAnsiTheme="majorHAnsi" w:cstheme="majorHAnsi"/>
        </w:rPr>
      </w:pPr>
      <w:r>
        <w:rPr>
          <w:rFonts w:asciiTheme="majorHAnsi" w:hAnsiTheme="majorHAnsi" w:cstheme="majorHAnsi"/>
        </w:rPr>
        <w:t>Oulussa, 23. päivänä joulukuuta 2016</w:t>
      </w:r>
    </w:p>
    <w:p w:rsidR="00C02EA2" w:rsidRPr="00AB6E63" w:rsidRDefault="00C02EA2" w:rsidP="00AB6E63">
      <w:pPr>
        <w:pStyle w:val="Leipteksti"/>
        <w:jc w:val="both"/>
        <w:rPr>
          <w:rFonts w:asciiTheme="majorHAnsi" w:hAnsiTheme="majorHAnsi" w:cstheme="majorHAnsi"/>
        </w:rPr>
      </w:pPr>
    </w:p>
    <w:p w:rsidR="00966C10" w:rsidRPr="00AB6E63" w:rsidRDefault="00966C10" w:rsidP="00AB6E63">
      <w:pPr>
        <w:pStyle w:val="Eivli"/>
        <w:jc w:val="both"/>
        <w:rPr>
          <w:rFonts w:asciiTheme="majorHAnsi" w:hAnsiTheme="majorHAnsi" w:cstheme="majorHAnsi"/>
          <w:b/>
        </w:rPr>
      </w:pPr>
      <w:r w:rsidRPr="00AB6E63">
        <w:rPr>
          <w:rFonts w:asciiTheme="majorHAnsi" w:hAnsiTheme="majorHAnsi" w:cstheme="majorHAnsi"/>
          <w:b/>
        </w:rPr>
        <w:t>Finnvera Oyj</w:t>
      </w:r>
    </w:p>
    <w:p w:rsidR="00966C10" w:rsidRPr="00AB6E63" w:rsidRDefault="007D28A7" w:rsidP="00AB6E63">
      <w:pPr>
        <w:pStyle w:val="Eivli"/>
        <w:jc w:val="both"/>
        <w:rPr>
          <w:rFonts w:asciiTheme="majorHAnsi" w:hAnsiTheme="majorHAnsi" w:cstheme="majorHAnsi"/>
        </w:rPr>
      </w:pPr>
      <w:r w:rsidRPr="00AB6E63">
        <w:rPr>
          <w:rFonts w:asciiTheme="majorHAnsi" w:hAnsiTheme="majorHAnsi" w:cstheme="majorHAnsi"/>
        </w:rPr>
        <w:t>Lakiasiat ja hallinto</w:t>
      </w:r>
    </w:p>
    <w:p w:rsidR="00966C10" w:rsidRPr="00AB6E63" w:rsidRDefault="00966C10" w:rsidP="00AB6E63">
      <w:pPr>
        <w:pStyle w:val="Eivli"/>
        <w:jc w:val="both"/>
        <w:rPr>
          <w:rFonts w:asciiTheme="majorHAnsi" w:hAnsiTheme="majorHAnsi" w:cstheme="majorHAnsi"/>
        </w:rPr>
      </w:pPr>
    </w:p>
    <w:p w:rsidR="00966C10" w:rsidRPr="00AB6E63" w:rsidRDefault="00966C10" w:rsidP="00AB6E63">
      <w:pPr>
        <w:pStyle w:val="Eivli"/>
        <w:jc w:val="both"/>
        <w:rPr>
          <w:rFonts w:asciiTheme="majorHAnsi" w:hAnsiTheme="majorHAnsi" w:cstheme="majorHAnsi"/>
        </w:rPr>
      </w:pPr>
    </w:p>
    <w:p w:rsidR="00966C10" w:rsidRPr="00AB6E63" w:rsidRDefault="007D28A7" w:rsidP="00AB6E63">
      <w:pPr>
        <w:pStyle w:val="Eivli"/>
        <w:jc w:val="both"/>
        <w:rPr>
          <w:rFonts w:asciiTheme="majorHAnsi" w:hAnsiTheme="majorHAnsi" w:cstheme="majorHAnsi"/>
        </w:rPr>
      </w:pPr>
      <w:r w:rsidRPr="00AB6E63">
        <w:rPr>
          <w:rFonts w:asciiTheme="majorHAnsi" w:hAnsiTheme="majorHAnsi" w:cstheme="majorHAnsi"/>
        </w:rPr>
        <w:t>Olli</w:t>
      </w:r>
      <w:r w:rsidR="00930FB1" w:rsidRPr="00AB6E63">
        <w:rPr>
          <w:rFonts w:asciiTheme="majorHAnsi" w:hAnsiTheme="majorHAnsi" w:cstheme="majorHAnsi"/>
        </w:rPr>
        <w:t xml:space="preserve"> </w:t>
      </w:r>
      <w:r w:rsidRPr="00AB6E63">
        <w:rPr>
          <w:rFonts w:asciiTheme="majorHAnsi" w:hAnsiTheme="majorHAnsi" w:cstheme="majorHAnsi"/>
        </w:rPr>
        <w:t>Rantanen</w:t>
      </w:r>
    </w:p>
    <w:p w:rsidR="00966C10" w:rsidRPr="00AB6E63" w:rsidRDefault="00AA23A9" w:rsidP="00AB6E63">
      <w:pPr>
        <w:pStyle w:val="Eivli"/>
        <w:jc w:val="both"/>
        <w:rPr>
          <w:rFonts w:asciiTheme="majorHAnsi" w:hAnsiTheme="majorHAnsi" w:cstheme="majorHAnsi"/>
        </w:rPr>
      </w:pPr>
      <w:r>
        <w:rPr>
          <w:rFonts w:asciiTheme="majorHAnsi" w:hAnsiTheme="majorHAnsi" w:cstheme="majorHAnsi"/>
        </w:rPr>
        <w:t>t</w:t>
      </w:r>
      <w:r w:rsidR="007D28A7" w:rsidRPr="00AB6E63">
        <w:rPr>
          <w:rFonts w:asciiTheme="majorHAnsi" w:hAnsiTheme="majorHAnsi" w:cstheme="majorHAnsi"/>
        </w:rPr>
        <w:t>iimipäällikkö</w:t>
      </w:r>
      <w:r>
        <w:rPr>
          <w:rFonts w:asciiTheme="majorHAnsi" w:hAnsiTheme="majorHAnsi" w:cstheme="majorHAnsi"/>
        </w:rPr>
        <w:t>, lakimies</w:t>
      </w:r>
    </w:p>
    <w:p w:rsidR="00966C10" w:rsidRPr="00AB6E63" w:rsidRDefault="00966C10" w:rsidP="00AB6E63">
      <w:pPr>
        <w:pStyle w:val="Eivli"/>
        <w:jc w:val="both"/>
        <w:rPr>
          <w:rFonts w:asciiTheme="majorHAnsi" w:hAnsiTheme="majorHAnsi" w:cstheme="majorHAnsi"/>
        </w:rPr>
      </w:pPr>
    </w:p>
    <w:tbl>
      <w:tblPr>
        <w:tblStyle w:val="Eireunaviivaa"/>
        <w:tblW w:w="0" w:type="auto"/>
        <w:tblLayout w:type="fixed"/>
        <w:tblCellMar>
          <w:left w:w="0" w:type="dxa"/>
        </w:tblCellMar>
        <w:tblLook w:val="04A0" w:firstRow="1" w:lastRow="0" w:firstColumn="1" w:lastColumn="0" w:noHBand="0" w:noVBand="1"/>
      </w:tblPr>
      <w:tblGrid>
        <w:gridCol w:w="2608"/>
        <w:gridCol w:w="7471"/>
      </w:tblGrid>
      <w:tr w:rsidR="00966C10" w:rsidRPr="00AB6E63" w:rsidTr="002A4A58">
        <w:tc>
          <w:tcPr>
            <w:tcW w:w="2608" w:type="dxa"/>
          </w:tcPr>
          <w:p w:rsidR="00966C10" w:rsidRPr="00AB6E63" w:rsidRDefault="00966C10" w:rsidP="00AB6E63">
            <w:pPr>
              <w:jc w:val="both"/>
              <w:rPr>
                <w:rFonts w:asciiTheme="majorHAnsi" w:hAnsiTheme="majorHAnsi" w:cstheme="majorHAnsi"/>
              </w:rPr>
            </w:pPr>
          </w:p>
        </w:tc>
        <w:tc>
          <w:tcPr>
            <w:tcW w:w="7471" w:type="dxa"/>
          </w:tcPr>
          <w:p w:rsidR="00966C10" w:rsidRPr="00AB6E63" w:rsidRDefault="00966C10" w:rsidP="00AB6E63">
            <w:pPr>
              <w:jc w:val="both"/>
              <w:rPr>
                <w:rFonts w:asciiTheme="majorHAnsi" w:hAnsiTheme="majorHAnsi" w:cstheme="majorHAnsi"/>
              </w:rPr>
            </w:pPr>
          </w:p>
        </w:tc>
      </w:tr>
    </w:tbl>
    <w:p w:rsidR="006045CD" w:rsidRPr="00AB6E63" w:rsidRDefault="006045CD" w:rsidP="00AB6E63">
      <w:pPr>
        <w:jc w:val="both"/>
        <w:rPr>
          <w:rFonts w:asciiTheme="majorHAnsi" w:hAnsiTheme="majorHAnsi" w:cstheme="majorHAnsi"/>
        </w:rPr>
      </w:pPr>
    </w:p>
    <w:sectPr w:rsidR="006045CD" w:rsidRPr="00AB6E63" w:rsidSect="00A75E8E">
      <w:headerReference w:type="default" r:id="rId8"/>
      <w:footerReference w:type="default" r:id="rId9"/>
      <w:pgSz w:w="11906" w:h="16838" w:code="9"/>
      <w:pgMar w:top="2155" w:right="567" w:bottom="1871"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A7" w:rsidRDefault="007D28A7" w:rsidP="00321D8F">
      <w:r>
        <w:separator/>
      </w:r>
    </w:p>
  </w:endnote>
  <w:endnote w:type="continuationSeparator" w:id="0">
    <w:p w:rsidR="007D28A7" w:rsidRDefault="007D28A7" w:rsidP="0032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432" w:type="dxa"/>
      <w:tblLayout w:type="fixed"/>
      <w:tblCellMar>
        <w:left w:w="0" w:type="dxa"/>
      </w:tblCellMar>
      <w:tblLook w:val="04A0" w:firstRow="1" w:lastRow="0" w:firstColumn="1" w:lastColumn="0" w:noHBand="0" w:noVBand="1"/>
    </w:tblPr>
    <w:tblGrid>
      <w:gridCol w:w="3005"/>
      <w:gridCol w:w="2222"/>
      <w:gridCol w:w="2609"/>
      <w:gridCol w:w="2596"/>
    </w:tblGrid>
    <w:tr w:rsidR="00D94EAA" w:rsidRPr="00DB2FD2" w:rsidTr="002A4A58">
      <w:tc>
        <w:tcPr>
          <w:tcW w:w="3005" w:type="dxa"/>
        </w:tcPr>
        <w:p w:rsidR="00D94EAA" w:rsidRPr="00DB2FD2" w:rsidRDefault="001467B4" w:rsidP="00B21B8D">
          <w:pPr>
            <w:pStyle w:val="Alatunniste"/>
            <w:rPr>
              <w:b/>
            </w:rPr>
          </w:pPr>
          <w:r w:rsidRPr="00DB2FD2">
            <w:rPr>
              <w:b/>
            </w:rPr>
            <w:t>Finnvera</w:t>
          </w:r>
          <w:r w:rsidR="00B516E8" w:rsidRPr="00DB2FD2">
            <w:rPr>
              <w:b/>
            </w:rPr>
            <w:t xml:space="preserve"> Oyj</w:t>
          </w:r>
        </w:p>
      </w:tc>
      <w:tc>
        <w:tcPr>
          <w:tcW w:w="2222" w:type="dxa"/>
        </w:tcPr>
        <w:p w:rsidR="00D94EAA" w:rsidRPr="00DB2FD2" w:rsidRDefault="00D94EAA" w:rsidP="00B21B8D">
          <w:pPr>
            <w:pStyle w:val="Alatunniste"/>
          </w:pPr>
        </w:p>
      </w:tc>
      <w:tc>
        <w:tcPr>
          <w:tcW w:w="2609" w:type="dxa"/>
        </w:tcPr>
        <w:p w:rsidR="00D94EAA" w:rsidRPr="00DB2FD2" w:rsidRDefault="00B516E8" w:rsidP="00B21B8D">
          <w:pPr>
            <w:pStyle w:val="Alatunniste"/>
            <w:rPr>
              <w:b/>
            </w:rPr>
          </w:pPr>
          <w:r w:rsidRPr="00DB2FD2">
            <w:rPr>
              <w:b/>
            </w:rPr>
            <w:t>Pääkonttorit</w:t>
          </w:r>
        </w:p>
      </w:tc>
      <w:tc>
        <w:tcPr>
          <w:tcW w:w="2596" w:type="dxa"/>
        </w:tcPr>
        <w:p w:rsidR="00D94EAA" w:rsidRPr="00DB2FD2" w:rsidRDefault="00D94EAA" w:rsidP="00B21B8D">
          <w:pPr>
            <w:pStyle w:val="Alatunniste"/>
          </w:pPr>
        </w:p>
      </w:tc>
    </w:tr>
    <w:tr w:rsidR="00D94EAA" w:rsidRPr="00DB2FD2" w:rsidTr="002A4A58">
      <w:tc>
        <w:tcPr>
          <w:tcW w:w="3005" w:type="dxa"/>
        </w:tcPr>
        <w:p w:rsidR="00D94EAA" w:rsidRPr="00DB2FD2" w:rsidRDefault="007D28A7" w:rsidP="00B516E8">
          <w:pPr>
            <w:pStyle w:val="Alatunniste"/>
            <w:tabs>
              <w:tab w:val="left" w:pos="2608"/>
              <w:tab w:val="left" w:pos="5216"/>
              <w:tab w:val="left" w:pos="7825"/>
            </w:tabs>
          </w:pPr>
          <w:r>
            <w:t>Lakiasiat ja hallinto</w:t>
          </w:r>
        </w:p>
      </w:tc>
      <w:tc>
        <w:tcPr>
          <w:tcW w:w="2222" w:type="dxa"/>
        </w:tcPr>
        <w:p w:rsidR="00D94EAA" w:rsidRPr="00DB2FD2" w:rsidRDefault="00B516E8" w:rsidP="00DB2FD2">
          <w:pPr>
            <w:pStyle w:val="Alatunniste"/>
            <w:tabs>
              <w:tab w:val="left" w:pos="2608"/>
              <w:tab w:val="left" w:pos="5216"/>
              <w:tab w:val="left" w:pos="7825"/>
            </w:tabs>
          </w:pPr>
          <w:r w:rsidRPr="00DB2FD2">
            <w:t xml:space="preserve">Puhelin </w:t>
          </w:r>
          <w:r w:rsidR="007D28A7">
            <w:t>029 460 2494</w:t>
          </w:r>
        </w:p>
      </w:tc>
      <w:tc>
        <w:tcPr>
          <w:tcW w:w="2609" w:type="dxa"/>
        </w:tcPr>
        <w:p w:rsidR="00D94EAA" w:rsidRPr="00DB2FD2" w:rsidRDefault="00B516E8" w:rsidP="00555223">
          <w:pPr>
            <w:pStyle w:val="Alatunniste"/>
          </w:pPr>
          <w:r w:rsidRPr="00DB2FD2">
            <w:t>PL 1010  (</w:t>
          </w:r>
          <w:r w:rsidR="00555223">
            <w:t>Porkkalankatu 1</w:t>
          </w:r>
          <w:r w:rsidRPr="00DB2FD2">
            <w:t>)</w:t>
          </w:r>
        </w:p>
      </w:tc>
      <w:tc>
        <w:tcPr>
          <w:tcW w:w="2596" w:type="dxa"/>
        </w:tcPr>
        <w:p w:rsidR="00D94EAA" w:rsidRPr="00DB2FD2" w:rsidRDefault="00B516E8" w:rsidP="00B21B8D">
          <w:pPr>
            <w:pStyle w:val="Alatunniste"/>
          </w:pPr>
          <w:r w:rsidRPr="00DB2FD2">
            <w:t>Kotipaikka  Kuopio</w:t>
          </w:r>
        </w:p>
      </w:tc>
    </w:tr>
    <w:tr w:rsidR="00D94EAA" w:rsidRPr="00DB2FD2" w:rsidTr="002A4A58">
      <w:tc>
        <w:tcPr>
          <w:tcW w:w="3005" w:type="dxa"/>
        </w:tcPr>
        <w:p w:rsidR="00D94EAA" w:rsidRPr="00DB2FD2" w:rsidRDefault="007D28A7" w:rsidP="00B516E8">
          <w:pPr>
            <w:pStyle w:val="Alatunniste"/>
            <w:tabs>
              <w:tab w:val="left" w:pos="2608"/>
              <w:tab w:val="left" w:pos="5216"/>
              <w:tab w:val="left" w:pos="7825"/>
            </w:tabs>
          </w:pPr>
          <w:r>
            <w:t>Sepänkatu 20</w:t>
          </w:r>
        </w:p>
      </w:tc>
      <w:tc>
        <w:tcPr>
          <w:tcW w:w="2222" w:type="dxa"/>
        </w:tcPr>
        <w:p w:rsidR="00D94EAA" w:rsidRPr="00DB2FD2" w:rsidRDefault="00D94EAA" w:rsidP="00B21B8D">
          <w:pPr>
            <w:pStyle w:val="Alatunniste"/>
          </w:pPr>
        </w:p>
      </w:tc>
      <w:tc>
        <w:tcPr>
          <w:tcW w:w="2609" w:type="dxa"/>
        </w:tcPr>
        <w:p w:rsidR="00D94EAA" w:rsidRPr="00DB2FD2" w:rsidRDefault="00B516E8" w:rsidP="00555223">
          <w:pPr>
            <w:pStyle w:val="Alatunniste"/>
          </w:pPr>
          <w:r w:rsidRPr="00DB2FD2">
            <w:t>001</w:t>
          </w:r>
          <w:r w:rsidR="00B2638D">
            <w:t>01</w:t>
          </w:r>
          <w:r w:rsidRPr="00DB2FD2">
            <w:t xml:space="preserve">  Helsinki</w:t>
          </w:r>
        </w:p>
      </w:tc>
      <w:tc>
        <w:tcPr>
          <w:tcW w:w="2596" w:type="dxa"/>
        </w:tcPr>
        <w:p w:rsidR="00D94EAA" w:rsidRPr="00DB2FD2" w:rsidRDefault="00B516E8" w:rsidP="00B21B8D">
          <w:pPr>
            <w:pStyle w:val="Alatunniste"/>
          </w:pPr>
          <w:r w:rsidRPr="00DB2FD2">
            <w:t>Y-tunnus  1484332-4</w:t>
          </w:r>
        </w:p>
      </w:tc>
    </w:tr>
    <w:tr w:rsidR="00D94EAA" w:rsidRPr="00DB2FD2" w:rsidTr="002A4A58">
      <w:tc>
        <w:tcPr>
          <w:tcW w:w="3005" w:type="dxa"/>
        </w:tcPr>
        <w:p w:rsidR="00D94EAA" w:rsidRPr="00DB2FD2" w:rsidRDefault="007D28A7" w:rsidP="00B516E8">
          <w:pPr>
            <w:pStyle w:val="Alatunniste"/>
            <w:tabs>
              <w:tab w:val="left" w:pos="2608"/>
              <w:tab w:val="left" w:pos="5216"/>
              <w:tab w:val="left" w:pos="7825"/>
            </w:tabs>
          </w:pPr>
          <w:r>
            <w:t>90100</w:t>
          </w:r>
          <w:r w:rsidR="00B516E8" w:rsidRPr="00DB2FD2">
            <w:t xml:space="preserve"> </w:t>
          </w:r>
          <w:r>
            <w:t>Oulu</w:t>
          </w:r>
        </w:p>
      </w:tc>
      <w:tc>
        <w:tcPr>
          <w:tcW w:w="2222" w:type="dxa"/>
        </w:tcPr>
        <w:p w:rsidR="00D94EAA" w:rsidRPr="00DB2FD2" w:rsidRDefault="00EB3E6D" w:rsidP="00EB3E6D">
          <w:pPr>
            <w:pStyle w:val="Alatunniste"/>
            <w:tabs>
              <w:tab w:val="left" w:pos="2608"/>
              <w:tab w:val="left" w:pos="5216"/>
              <w:tab w:val="left" w:pos="7825"/>
            </w:tabs>
          </w:pPr>
          <w:r>
            <w:t>Vaihde</w:t>
          </w:r>
          <w:r w:rsidR="00B516E8" w:rsidRPr="00DB2FD2">
            <w:t xml:space="preserve"> </w:t>
          </w:r>
          <w:r>
            <w:t>029 460 11</w:t>
          </w:r>
        </w:p>
      </w:tc>
      <w:tc>
        <w:tcPr>
          <w:tcW w:w="2609" w:type="dxa"/>
        </w:tcPr>
        <w:p w:rsidR="00D94EAA" w:rsidRPr="00DB2FD2" w:rsidRDefault="00B516E8" w:rsidP="00B21B8D">
          <w:pPr>
            <w:pStyle w:val="Alatunniste"/>
          </w:pPr>
          <w:r w:rsidRPr="00DB2FD2">
            <w:t>PL 1127  (</w:t>
          </w:r>
          <w:r w:rsidR="00B17FF1">
            <w:t>Kallanranta 11</w:t>
          </w:r>
          <w:r w:rsidRPr="00DB2FD2">
            <w:t>)</w:t>
          </w:r>
        </w:p>
      </w:tc>
      <w:tc>
        <w:tcPr>
          <w:tcW w:w="2596" w:type="dxa"/>
        </w:tcPr>
        <w:p w:rsidR="00D94EAA" w:rsidRPr="00DB2FD2" w:rsidRDefault="00B516E8" w:rsidP="00B21B8D">
          <w:pPr>
            <w:pStyle w:val="Alatunniste"/>
          </w:pPr>
          <w:r w:rsidRPr="00DB2FD2">
            <w:t>Sähköposti</w:t>
          </w:r>
        </w:p>
      </w:tc>
    </w:tr>
    <w:tr w:rsidR="00B516E8" w:rsidRPr="00DB2FD2" w:rsidTr="002A4A58">
      <w:tc>
        <w:tcPr>
          <w:tcW w:w="3005" w:type="dxa"/>
        </w:tcPr>
        <w:p w:rsidR="00B516E8" w:rsidRPr="00DB2FD2" w:rsidRDefault="00EB3E6D" w:rsidP="00B516E8">
          <w:pPr>
            <w:pStyle w:val="Alatunniste"/>
            <w:tabs>
              <w:tab w:val="left" w:pos="2608"/>
              <w:tab w:val="left" w:pos="5216"/>
              <w:tab w:val="left" w:pos="7825"/>
            </w:tabs>
          </w:pPr>
          <w:r w:rsidRPr="00EB3E6D">
            <w:t>www.finnvera.fi</w:t>
          </w:r>
        </w:p>
      </w:tc>
      <w:tc>
        <w:tcPr>
          <w:tcW w:w="2222" w:type="dxa"/>
        </w:tcPr>
        <w:p w:rsidR="00B516E8" w:rsidRPr="00DB2FD2" w:rsidRDefault="00B516E8" w:rsidP="00B516E8">
          <w:pPr>
            <w:pStyle w:val="Alatunniste"/>
            <w:tabs>
              <w:tab w:val="left" w:pos="2608"/>
              <w:tab w:val="left" w:pos="5216"/>
              <w:tab w:val="left" w:pos="7825"/>
            </w:tabs>
          </w:pPr>
        </w:p>
      </w:tc>
      <w:tc>
        <w:tcPr>
          <w:tcW w:w="2609" w:type="dxa"/>
        </w:tcPr>
        <w:p w:rsidR="00B516E8" w:rsidRPr="00DB2FD2" w:rsidRDefault="00197501" w:rsidP="00B21B8D">
          <w:pPr>
            <w:pStyle w:val="Alatunniste"/>
          </w:pPr>
          <w:r>
            <w:t>70111  Kuopio</w:t>
          </w:r>
        </w:p>
      </w:tc>
      <w:tc>
        <w:tcPr>
          <w:tcW w:w="2596" w:type="dxa"/>
        </w:tcPr>
        <w:p w:rsidR="00B516E8" w:rsidRPr="00DB2FD2" w:rsidRDefault="00B516E8" w:rsidP="00B21B8D">
          <w:pPr>
            <w:pStyle w:val="Alatunniste"/>
          </w:pPr>
          <w:r w:rsidRPr="00DB2FD2">
            <w:t>etunimi.sukunimi@finnvera.fi</w:t>
          </w:r>
        </w:p>
      </w:tc>
    </w:tr>
  </w:tbl>
  <w:p w:rsidR="00536F5D" w:rsidRPr="00DB2FD2" w:rsidRDefault="00536F5D" w:rsidP="00D94EA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A7" w:rsidRDefault="007D28A7" w:rsidP="00321D8F">
      <w:r>
        <w:separator/>
      </w:r>
    </w:p>
  </w:footnote>
  <w:footnote w:type="continuationSeparator" w:id="0">
    <w:p w:rsidR="007D28A7" w:rsidRDefault="007D28A7" w:rsidP="0032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5000" w:type="pct"/>
      <w:tblInd w:w="-108" w:type="dxa"/>
      <w:tblCellMar>
        <w:left w:w="0" w:type="dxa"/>
        <w:right w:w="0" w:type="dxa"/>
      </w:tblCellMar>
      <w:tblLook w:val="04A0" w:firstRow="1" w:lastRow="0" w:firstColumn="1" w:lastColumn="0" w:noHBand="0" w:noVBand="1"/>
    </w:tblPr>
    <w:tblGrid>
      <w:gridCol w:w="92"/>
      <w:gridCol w:w="5421"/>
      <w:gridCol w:w="2453"/>
      <w:gridCol w:w="1227"/>
      <w:gridCol w:w="1012"/>
    </w:tblGrid>
    <w:tr w:rsidR="00170499" w:rsidRPr="00625CC6" w:rsidTr="00202DBA">
      <w:trPr>
        <w:trHeight w:hRule="exact" w:val="113"/>
      </w:trPr>
      <w:tc>
        <w:tcPr>
          <w:tcW w:w="2701" w:type="pct"/>
          <w:gridSpan w:val="2"/>
          <w:vMerge w:val="restart"/>
        </w:tcPr>
        <w:p w:rsidR="00170499" w:rsidRPr="007D129B" w:rsidRDefault="00170499" w:rsidP="00202DBA">
          <w:pPr>
            <w:pStyle w:val="Yltunniste"/>
            <w:rPr>
              <w:b/>
              <w:lang w:eastAsia="fi-FI"/>
            </w:rPr>
          </w:pPr>
          <w:r>
            <w:rPr>
              <w:b/>
              <w:lang w:eastAsia="fi-FI"/>
            </w:rPr>
            <w:drawing>
              <wp:inline distT="0" distB="0" distL="0" distR="0" wp14:anchorId="2A7C188C" wp14:editId="75C66A74">
                <wp:extent cx="1574534" cy="3528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tes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534" cy="352800"/>
                        </a:xfrm>
                        <a:prstGeom prst="rect">
                          <a:avLst/>
                        </a:prstGeom>
                      </pic:spPr>
                    </pic:pic>
                  </a:graphicData>
                </a:graphic>
              </wp:inline>
            </w:drawing>
          </w:r>
        </w:p>
      </w:tc>
      <w:tc>
        <w:tcPr>
          <w:tcW w:w="1202" w:type="pct"/>
        </w:tcPr>
        <w:p w:rsidR="00170499" w:rsidRPr="00C654C4" w:rsidRDefault="00170499" w:rsidP="00202DBA">
          <w:pPr>
            <w:pStyle w:val="Yltunniste"/>
            <w:rPr>
              <w:b/>
            </w:rPr>
          </w:pPr>
        </w:p>
      </w:tc>
      <w:tc>
        <w:tcPr>
          <w:tcW w:w="601" w:type="pct"/>
        </w:tcPr>
        <w:p w:rsidR="00170499" w:rsidRPr="00625CC6" w:rsidRDefault="00170499" w:rsidP="00202DBA">
          <w:pPr>
            <w:pStyle w:val="Yltunniste"/>
          </w:pPr>
        </w:p>
      </w:tc>
      <w:tc>
        <w:tcPr>
          <w:tcW w:w="496" w:type="pct"/>
        </w:tcPr>
        <w:p w:rsidR="00170499" w:rsidRDefault="00170499" w:rsidP="00202DBA">
          <w:pPr>
            <w:pStyle w:val="Yltunniste"/>
            <w:jc w:val="right"/>
          </w:pPr>
        </w:p>
      </w:tc>
    </w:tr>
    <w:tr w:rsidR="00170499" w:rsidRPr="00625CC6" w:rsidTr="00202DBA">
      <w:tc>
        <w:tcPr>
          <w:tcW w:w="2701" w:type="pct"/>
          <w:gridSpan w:val="2"/>
          <w:vMerge/>
        </w:tcPr>
        <w:p w:rsidR="00170499" w:rsidRPr="00C43144" w:rsidRDefault="00170499" w:rsidP="00202DBA">
          <w:pPr>
            <w:pStyle w:val="Yltunniste"/>
          </w:pPr>
        </w:p>
      </w:tc>
      <w:tc>
        <w:tcPr>
          <w:tcW w:w="1202" w:type="pct"/>
        </w:tcPr>
        <w:p w:rsidR="00170499" w:rsidRPr="00C654C4" w:rsidRDefault="00170499" w:rsidP="00202DBA">
          <w:pPr>
            <w:pStyle w:val="Yltunniste"/>
            <w:rPr>
              <w:b/>
            </w:rPr>
          </w:pPr>
        </w:p>
      </w:tc>
      <w:tc>
        <w:tcPr>
          <w:tcW w:w="601" w:type="pct"/>
        </w:tcPr>
        <w:p w:rsidR="00170499" w:rsidRPr="00625CC6" w:rsidRDefault="00170499" w:rsidP="00202DBA">
          <w:pPr>
            <w:pStyle w:val="Yltunniste"/>
          </w:pPr>
        </w:p>
      </w:tc>
      <w:tc>
        <w:tcPr>
          <w:tcW w:w="496" w:type="pct"/>
        </w:tcPr>
        <w:p w:rsidR="00170499" w:rsidRPr="00625CC6" w:rsidRDefault="00170499" w:rsidP="00202DBA">
          <w:pPr>
            <w:pStyle w:val="Yltunniste"/>
            <w:jc w:val="right"/>
          </w:pPr>
          <w:r>
            <w:fldChar w:fldCharType="begin"/>
          </w:r>
          <w:r>
            <w:instrText>PAGE   \* MERGEFORMAT</w:instrText>
          </w:r>
          <w:r>
            <w:fldChar w:fldCharType="separate"/>
          </w:r>
          <w:r w:rsidR="005F488D">
            <w:t>1</w:t>
          </w:r>
          <w:r>
            <w:fldChar w:fldCharType="end"/>
          </w:r>
          <w:r>
            <w:t xml:space="preserve"> (</w:t>
          </w:r>
          <w:r>
            <w:fldChar w:fldCharType="begin"/>
          </w:r>
          <w:r>
            <w:instrText xml:space="preserve"> NUMPAGES  \# "0" \* Arabic  \* MERGEFORMAT </w:instrText>
          </w:r>
          <w:r>
            <w:fldChar w:fldCharType="separate"/>
          </w:r>
          <w:r w:rsidR="005F488D">
            <w:t>7</w:t>
          </w:r>
          <w:r>
            <w:fldChar w:fldCharType="end"/>
          </w:r>
          <w:r>
            <w:t>)</w:t>
          </w:r>
        </w:p>
      </w:tc>
    </w:tr>
    <w:tr w:rsidR="00170499" w:rsidRPr="00625CC6" w:rsidTr="00202DBA">
      <w:tc>
        <w:tcPr>
          <w:tcW w:w="2701" w:type="pct"/>
          <w:gridSpan w:val="2"/>
          <w:vMerge/>
        </w:tcPr>
        <w:p w:rsidR="00170499" w:rsidRPr="00625CC6" w:rsidRDefault="00170499" w:rsidP="00202DBA">
          <w:pPr>
            <w:pStyle w:val="Yltunniste"/>
          </w:pPr>
        </w:p>
      </w:tc>
      <w:tc>
        <w:tcPr>
          <w:tcW w:w="1202" w:type="pct"/>
        </w:tcPr>
        <w:p w:rsidR="00170499" w:rsidRPr="00C654C4" w:rsidRDefault="00170499" w:rsidP="00202DBA">
          <w:pPr>
            <w:pStyle w:val="Yltunniste"/>
          </w:pPr>
        </w:p>
      </w:tc>
      <w:tc>
        <w:tcPr>
          <w:tcW w:w="601" w:type="pct"/>
        </w:tcPr>
        <w:p w:rsidR="00170499" w:rsidRPr="00625CC6" w:rsidRDefault="00170499" w:rsidP="00202DBA">
          <w:pPr>
            <w:pStyle w:val="Yltunniste"/>
          </w:pPr>
        </w:p>
      </w:tc>
      <w:tc>
        <w:tcPr>
          <w:tcW w:w="496" w:type="pct"/>
        </w:tcPr>
        <w:p w:rsidR="00170499" w:rsidRPr="00625CC6" w:rsidRDefault="00170499" w:rsidP="00202DBA">
          <w:pPr>
            <w:pStyle w:val="Yltunniste"/>
          </w:pPr>
        </w:p>
      </w:tc>
    </w:tr>
    <w:tr w:rsidR="00170499" w:rsidRPr="00625CC6" w:rsidTr="00202DBA">
      <w:tc>
        <w:tcPr>
          <w:tcW w:w="45" w:type="pct"/>
        </w:tcPr>
        <w:p w:rsidR="00170499" w:rsidRPr="00625CC6" w:rsidRDefault="00170499" w:rsidP="00202DBA">
          <w:pPr>
            <w:pStyle w:val="Yltunniste"/>
          </w:pPr>
        </w:p>
      </w:tc>
      <w:tc>
        <w:tcPr>
          <w:tcW w:w="2656" w:type="pct"/>
        </w:tcPr>
        <w:p w:rsidR="00170499" w:rsidRPr="00625CC6" w:rsidRDefault="007D28A7" w:rsidP="00202DBA">
          <w:pPr>
            <w:pStyle w:val="Yltunniste"/>
          </w:pPr>
          <w:r>
            <w:t>Lakiasiat ja hallinto</w:t>
          </w:r>
        </w:p>
      </w:tc>
      <w:tc>
        <w:tcPr>
          <w:tcW w:w="1202" w:type="pct"/>
        </w:tcPr>
        <w:p w:rsidR="00170499" w:rsidRPr="00625CC6" w:rsidRDefault="00170499" w:rsidP="00202DBA">
          <w:pPr>
            <w:pStyle w:val="Yltunniste"/>
          </w:pPr>
        </w:p>
      </w:tc>
      <w:tc>
        <w:tcPr>
          <w:tcW w:w="601" w:type="pct"/>
        </w:tcPr>
        <w:p w:rsidR="00170499" w:rsidRPr="00625CC6" w:rsidRDefault="00170499" w:rsidP="00202DBA">
          <w:pPr>
            <w:pStyle w:val="Yltunniste"/>
          </w:pPr>
        </w:p>
      </w:tc>
      <w:tc>
        <w:tcPr>
          <w:tcW w:w="496" w:type="pct"/>
        </w:tcPr>
        <w:p w:rsidR="00170499" w:rsidRPr="00625CC6" w:rsidRDefault="00170499" w:rsidP="00202DBA">
          <w:pPr>
            <w:pStyle w:val="Yltunniste"/>
          </w:pPr>
        </w:p>
      </w:tc>
    </w:tr>
    <w:tr w:rsidR="00170499" w:rsidRPr="00625CC6" w:rsidTr="00202DBA">
      <w:tc>
        <w:tcPr>
          <w:tcW w:w="45" w:type="pct"/>
        </w:tcPr>
        <w:p w:rsidR="00170499" w:rsidRPr="00625CC6" w:rsidRDefault="00170499" w:rsidP="00202DBA">
          <w:pPr>
            <w:pStyle w:val="Yltunniste"/>
          </w:pPr>
        </w:p>
      </w:tc>
      <w:tc>
        <w:tcPr>
          <w:tcW w:w="2656" w:type="pct"/>
        </w:tcPr>
        <w:p w:rsidR="00170499" w:rsidRPr="00625CC6" w:rsidRDefault="007D28A7" w:rsidP="00202DBA">
          <w:pPr>
            <w:pStyle w:val="Yltunniste"/>
          </w:pPr>
          <w:r>
            <w:t>Olli</w:t>
          </w:r>
          <w:r w:rsidR="00170499">
            <w:t xml:space="preserve"> </w:t>
          </w:r>
          <w:r>
            <w:t>Rantanen</w:t>
          </w:r>
        </w:p>
      </w:tc>
      <w:tc>
        <w:tcPr>
          <w:tcW w:w="1202" w:type="pct"/>
        </w:tcPr>
        <w:p w:rsidR="00170499" w:rsidRPr="00625CC6" w:rsidRDefault="00170499" w:rsidP="005519FD">
          <w:pPr>
            <w:pStyle w:val="Yltunniste"/>
          </w:pPr>
        </w:p>
      </w:tc>
      <w:tc>
        <w:tcPr>
          <w:tcW w:w="601" w:type="pct"/>
        </w:tcPr>
        <w:p w:rsidR="00170499" w:rsidRPr="00625CC6" w:rsidRDefault="00170499" w:rsidP="00202DBA">
          <w:pPr>
            <w:pStyle w:val="Yltunniste"/>
          </w:pPr>
        </w:p>
      </w:tc>
      <w:tc>
        <w:tcPr>
          <w:tcW w:w="496" w:type="pct"/>
        </w:tcPr>
        <w:p w:rsidR="00170499" w:rsidRPr="00625CC6" w:rsidRDefault="00170499" w:rsidP="00202DBA">
          <w:pPr>
            <w:pStyle w:val="Yltunniste"/>
          </w:pPr>
        </w:p>
      </w:tc>
    </w:tr>
  </w:tbl>
  <w:p w:rsidR="00282BBA" w:rsidRDefault="00282BBA" w:rsidP="00282BB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A94"/>
    <w:multiLevelType w:val="multilevel"/>
    <w:tmpl w:val="4C0AA23C"/>
    <w:numStyleLink w:val="Luettelonumero"/>
  </w:abstractNum>
  <w:abstractNum w:abstractNumId="1">
    <w:nsid w:val="1AF720C0"/>
    <w:multiLevelType w:val="multilevel"/>
    <w:tmpl w:val="73FAB30C"/>
    <w:styleLink w:val="Otsikkonumerot"/>
    <w:lvl w:ilvl="0">
      <w:start w:val="1"/>
      <w:numFmt w:val="decimal"/>
      <w:lvlText w:val="%1"/>
      <w:lvlJc w:val="left"/>
      <w:pPr>
        <w:ind w:left="567" w:hanging="567"/>
      </w:pPr>
      <w:rPr>
        <w:rFonts w:hint="default"/>
      </w:rPr>
    </w:lvl>
    <w:lvl w:ilvl="1">
      <w:start w:val="1"/>
      <w:numFmt w:val="decimal"/>
      <w:suff w:val="space"/>
      <w:lvlText w:val="%1.%2"/>
      <w:lvlJc w:val="left"/>
      <w:pPr>
        <w:ind w:left="2608" w:firstLine="0"/>
      </w:pPr>
      <w:rPr>
        <w:rFonts w:hint="default"/>
      </w:rPr>
    </w:lvl>
    <w:lvl w:ilvl="2">
      <w:start w:val="1"/>
      <w:numFmt w:val="decimal"/>
      <w:suff w:val="space"/>
      <w:lvlText w:val="%1.%2.%3"/>
      <w:lvlJc w:val="left"/>
      <w:pPr>
        <w:ind w:left="2608" w:firstLine="0"/>
      </w:pPr>
      <w:rPr>
        <w:rFonts w:hint="default"/>
      </w:rPr>
    </w:lvl>
    <w:lvl w:ilvl="3">
      <w:start w:val="1"/>
      <w:numFmt w:val="decimal"/>
      <w:suff w:val="space"/>
      <w:lvlText w:val="%1.%2.%3.%4"/>
      <w:lvlJc w:val="left"/>
      <w:pPr>
        <w:ind w:left="2608" w:firstLine="0"/>
      </w:pPr>
      <w:rPr>
        <w:rFonts w:hint="default"/>
      </w:rPr>
    </w:lvl>
    <w:lvl w:ilvl="4">
      <w:start w:val="1"/>
      <w:numFmt w:val="decimal"/>
      <w:suff w:val="space"/>
      <w:lvlText w:val="%1.%2.%3.%4.%5"/>
      <w:lvlJc w:val="left"/>
      <w:pPr>
        <w:ind w:left="2608" w:firstLine="0"/>
      </w:pPr>
      <w:rPr>
        <w:rFonts w:hint="default"/>
      </w:rPr>
    </w:lvl>
    <w:lvl w:ilvl="5">
      <w:start w:val="1"/>
      <w:numFmt w:val="decimal"/>
      <w:suff w:val="space"/>
      <w:lvlText w:val="%1.%2.%3.%4.%5.%6"/>
      <w:lvlJc w:val="left"/>
      <w:pPr>
        <w:ind w:left="2608" w:firstLine="0"/>
      </w:pPr>
      <w:rPr>
        <w:rFonts w:hint="default"/>
      </w:rPr>
    </w:lvl>
    <w:lvl w:ilvl="6">
      <w:start w:val="1"/>
      <w:numFmt w:val="decimal"/>
      <w:suff w:val="space"/>
      <w:lvlText w:val="%1.%2.%3.%4.%5.%6.%7"/>
      <w:lvlJc w:val="left"/>
      <w:pPr>
        <w:ind w:left="2608" w:firstLine="0"/>
      </w:pPr>
      <w:rPr>
        <w:rFonts w:hint="default"/>
      </w:rPr>
    </w:lvl>
    <w:lvl w:ilvl="7">
      <w:start w:val="1"/>
      <w:numFmt w:val="decimal"/>
      <w:suff w:val="space"/>
      <w:lvlText w:val="%1.%2.%3.%4.%5.%6.%7.%8"/>
      <w:lvlJc w:val="left"/>
      <w:pPr>
        <w:ind w:left="2608" w:firstLine="0"/>
      </w:pPr>
      <w:rPr>
        <w:rFonts w:hint="default"/>
      </w:rPr>
    </w:lvl>
    <w:lvl w:ilvl="8">
      <w:start w:val="1"/>
      <w:numFmt w:val="decimal"/>
      <w:suff w:val="space"/>
      <w:lvlText w:val="%1.%2.%3.%4.%5.%6.%7.%8.%9"/>
      <w:lvlJc w:val="left"/>
      <w:pPr>
        <w:ind w:left="2608" w:firstLine="0"/>
      </w:pPr>
      <w:rPr>
        <w:rFonts w:hint="default"/>
      </w:rPr>
    </w:lvl>
  </w:abstractNum>
  <w:abstractNum w:abstractNumId="2">
    <w:nsid w:val="1D620232"/>
    <w:multiLevelType w:val="multilevel"/>
    <w:tmpl w:val="29F2AF12"/>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3">
    <w:nsid w:val="31402C06"/>
    <w:multiLevelType w:val="multilevel"/>
    <w:tmpl w:val="4C0AA23C"/>
    <w:styleLink w:val="Luettelonumero"/>
    <w:lvl w:ilvl="0">
      <w:start w:val="1"/>
      <w:numFmt w:val="decimal"/>
      <w:pStyle w:val="Numeroituluettelo"/>
      <w:lvlText w:val="%1"/>
      <w:lvlJc w:val="left"/>
      <w:pPr>
        <w:ind w:left="3005" w:hanging="397"/>
      </w:pPr>
      <w:rPr>
        <w:rFonts w:hint="default"/>
      </w:rPr>
    </w:lvl>
    <w:lvl w:ilvl="1">
      <w:start w:val="1"/>
      <w:numFmt w:val="decimal"/>
      <w:suff w:val="space"/>
      <w:lvlText w:val="%1.%2"/>
      <w:lvlJc w:val="left"/>
      <w:pPr>
        <w:ind w:left="3005" w:firstLine="0"/>
      </w:pPr>
      <w:rPr>
        <w:rFonts w:hint="default"/>
      </w:rPr>
    </w:lvl>
    <w:lvl w:ilvl="2">
      <w:start w:val="1"/>
      <w:numFmt w:val="decimal"/>
      <w:suff w:val="space"/>
      <w:lvlText w:val="%1.%2.%3"/>
      <w:lvlJc w:val="left"/>
      <w:pPr>
        <w:ind w:left="3402" w:firstLine="0"/>
      </w:pPr>
      <w:rPr>
        <w:rFonts w:hint="default"/>
      </w:rPr>
    </w:lvl>
    <w:lvl w:ilvl="3">
      <w:start w:val="1"/>
      <w:numFmt w:val="decimal"/>
      <w:suff w:val="space"/>
      <w:lvlText w:val="%1.%2.%3.%4"/>
      <w:lvlJc w:val="left"/>
      <w:pPr>
        <w:ind w:left="3799" w:firstLine="0"/>
      </w:pPr>
      <w:rPr>
        <w:rFonts w:hint="default"/>
      </w:rPr>
    </w:lvl>
    <w:lvl w:ilvl="4">
      <w:start w:val="1"/>
      <w:numFmt w:val="decimal"/>
      <w:suff w:val="space"/>
      <w:lvlText w:val="%1.%2.%3.%4.%5"/>
      <w:lvlJc w:val="left"/>
      <w:pPr>
        <w:ind w:left="4196" w:firstLine="0"/>
      </w:pPr>
      <w:rPr>
        <w:rFonts w:hint="default"/>
      </w:rPr>
    </w:lvl>
    <w:lvl w:ilvl="5">
      <w:start w:val="1"/>
      <w:numFmt w:val="decimal"/>
      <w:suff w:val="space"/>
      <w:lvlText w:val="%1.%2.%3.%4.%5.%6"/>
      <w:lvlJc w:val="left"/>
      <w:pPr>
        <w:ind w:left="4593" w:firstLine="0"/>
      </w:pPr>
      <w:rPr>
        <w:rFonts w:hint="default"/>
      </w:rPr>
    </w:lvl>
    <w:lvl w:ilvl="6">
      <w:start w:val="1"/>
      <w:numFmt w:val="decimal"/>
      <w:suff w:val="space"/>
      <w:lvlText w:val="%1.%2.%3.%4.%5.%6.%7"/>
      <w:lvlJc w:val="left"/>
      <w:pPr>
        <w:ind w:left="4990" w:firstLine="0"/>
      </w:pPr>
      <w:rPr>
        <w:rFonts w:hint="default"/>
      </w:rPr>
    </w:lvl>
    <w:lvl w:ilvl="7">
      <w:start w:val="1"/>
      <w:numFmt w:val="decimal"/>
      <w:suff w:val="space"/>
      <w:lvlText w:val="%1.%2.%3.%4.%5.%6.%7.%8"/>
      <w:lvlJc w:val="left"/>
      <w:pPr>
        <w:ind w:left="5387" w:firstLine="0"/>
      </w:pPr>
      <w:rPr>
        <w:rFonts w:hint="default"/>
      </w:rPr>
    </w:lvl>
    <w:lvl w:ilvl="8">
      <w:start w:val="1"/>
      <w:numFmt w:val="decimal"/>
      <w:suff w:val="space"/>
      <w:lvlText w:val="%1.%2.%3.%4.%5.%6.%7.%8.%9"/>
      <w:lvlJc w:val="left"/>
      <w:pPr>
        <w:ind w:left="5783" w:firstLine="1"/>
      </w:pPr>
      <w:rPr>
        <w:rFonts w:hint="default"/>
      </w:rPr>
    </w:lvl>
  </w:abstractNum>
  <w:abstractNum w:abstractNumId="4">
    <w:nsid w:val="31A00592"/>
    <w:multiLevelType w:val="multilevel"/>
    <w:tmpl w:val="73FAB30C"/>
    <w:numStyleLink w:val="Otsikkonumerot"/>
  </w:abstractNum>
  <w:abstractNum w:abstractNumId="5">
    <w:nsid w:val="33336A5D"/>
    <w:multiLevelType w:val="multilevel"/>
    <w:tmpl w:val="632277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47844"/>
    <w:multiLevelType w:val="multilevel"/>
    <w:tmpl w:val="6AAE28B6"/>
    <w:lvl w:ilvl="0">
      <w:start w:val="1"/>
      <w:numFmt w:val="decimal"/>
      <w:lvlText w:val="%1"/>
      <w:lvlJc w:val="left"/>
      <w:pPr>
        <w:ind w:left="567" w:hanging="567"/>
      </w:pPr>
      <w:rPr>
        <w:rFonts w:hint="default"/>
      </w:rPr>
    </w:lvl>
    <w:lvl w:ilvl="1">
      <w:start w:val="1"/>
      <w:numFmt w:val="decimal"/>
      <w:suff w:val="space"/>
      <w:lvlText w:val="%1.%2"/>
      <w:lvlJc w:val="left"/>
      <w:pPr>
        <w:ind w:left="2608" w:firstLine="0"/>
      </w:pPr>
      <w:rPr>
        <w:rFonts w:hint="default"/>
      </w:rPr>
    </w:lvl>
    <w:lvl w:ilvl="2">
      <w:start w:val="1"/>
      <w:numFmt w:val="decimal"/>
      <w:suff w:val="space"/>
      <w:lvlText w:val="%1.%2.%3"/>
      <w:lvlJc w:val="left"/>
      <w:pPr>
        <w:ind w:left="2608" w:firstLine="0"/>
      </w:pPr>
      <w:rPr>
        <w:rFonts w:hint="default"/>
      </w:rPr>
    </w:lvl>
    <w:lvl w:ilvl="3">
      <w:start w:val="1"/>
      <w:numFmt w:val="decimal"/>
      <w:suff w:val="space"/>
      <w:lvlText w:val="%1.%2.%3.%4"/>
      <w:lvlJc w:val="left"/>
      <w:pPr>
        <w:ind w:left="2608" w:firstLine="0"/>
      </w:pPr>
      <w:rPr>
        <w:rFonts w:hint="default"/>
      </w:rPr>
    </w:lvl>
    <w:lvl w:ilvl="4">
      <w:start w:val="1"/>
      <w:numFmt w:val="decimal"/>
      <w:suff w:val="space"/>
      <w:lvlText w:val="%1.%2.%3.%4.%5"/>
      <w:lvlJc w:val="left"/>
      <w:pPr>
        <w:ind w:left="2608" w:firstLine="0"/>
      </w:pPr>
      <w:rPr>
        <w:rFonts w:hint="default"/>
      </w:rPr>
    </w:lvl>
    <w:lvl w:ilvl="5">
      <w:start w:val="1"/>
      <w:numFmt w:val="decimal"/>
      <w:suff w:val="space"/>
      <w:lvlText w:val="%1.%2.%3.%4.%5.%6"/>
      <w:lvlJc w:val="left"/>
      <w:pPr>
        <w:ind w:left="2608" w:firstLine="0"/>
      </w:pPr>
      <w:rPr>
        <w:rFonts w:hint="default"/>
      </w:rPr>
    </w:lvl>
    <w:lvl w:ilvl="6">
      <w:start w:val="1"/>
      <w:numFmt w:val="decimal"/>
      <w:suff w:val="space"/>
      <w:lvlText w:val="%1.%2.%3.%4.%5.%6.%7"/>
      <w:lvlJc w:val="left"/>
      <w:pPr>
        <w:ind w:left="2608" w:firstLine="0"/>
      </w:pPr>
      <w:rPr>
        <w:rFonts w:hint="default"/>
      </w:rPr>
    </w:lvl>
    <w:lvl w:ilvl="7">
      <w:start w:val="1"/>
      <w:numFmt w:val="decimal"/>
      <w:suff w:val="space"/>
      <w:lvlText w:val="%1.%2.%3.%4.%5.%6.%7.%8"/>
      <w:lvlJc w:val="left"/>
      <w:pPr>
        <w:ind w:left="2608" w:firstLine="0"/>
      </w:pPr>
      <w:rPr>
        <w:rFonts w:hint="default"/>
      </w:rPr>
    </w:lvl>
    <w:lvl w:ilvl="8">
      <w:start w:val="1"/>
      <w:numFmt w:val="decimal"/>
      <w:suff w:val="space"/>
      <w:lvlText w:val="%1.%2.%3.%4.%5.%6.%7.%8.%9"/>
      <w:lvlJc w:val="left"/>
      <w:pPr>
        <w:ind w:left="2608" w:firstLine="0"/>
      </w:pPr>
      <w:rPr>
        <w:rFonts w:hint="default"/>
      </w:rPr>
    </w:lvl>
  </w:abstractNum>
  <w:abstractNum w:abstractNumId="7">
    <w:nsid w:val="3A3665C2"/>
    <w:multiLevelType w:val="multilevel"/>
    <w:tmpl w:val="73FAB30C"/>
    <w:numStyleLink w:val="Otsikkonumerot"/>
  </w:abstractNum>
  <w:abstractNum w:abstractNumId="8">
    <w:nsid w:val="42B1323D"/>
    <w:multiLevelType w:val="multilevel"/>
    <w:tmpl w:val="73FAB30C"/>
    <w:numStyleLink w:val="Otsikkonumerot"/>
  </w:abstractNum>
  <w:abstractNum w:abstractNumId="9">
    <w:nsid w:val="791D161E"/>
    <w:multiLevelType w:val="multilevel"/>
    <w:tmpl w:val="73FAB30C"/>
    <w:numStyleLink w:val="Otsikkonumerot"/>
  </w:abstractNum>
  <w:num w:numId="1">
    <w:abstractNumId w:val="2"/>
  </w:num>
  <w:num w:numId="2">
    <w:abstractNumId w:val="3"/>
  </w:num>
  <w:num w:numId="3">
    <w:abstractNumId w:val="1"/>
  </w:num>
  <w:num w:numId="4">
    <w:abstractNumId w:val="2"/>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7"/>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revisionView w:inkAnnotation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A7"/>
    <w:rsid w:val="0000381B"/>
    <w:rsid w:val="00035C90"/>
    <w:rsid w:val="000547E1"/>
    <w:rsid w:val="00066746"/>
    <w:rsid w:val="000A3138"/>
    <w:rsid w:val="000A3DEA"/>
    <w:rsid w:val="000C3DC0"/>
    <w:rsid w:val="000C51D8"/>
    <w:rsid w:val="000D01F4"/>
    <w:rsid w:val="000F0366"/>
    <w:rsid w:val="00102088"/>
    <w:rsid w:val="00120DB3"/>
    <w:rsid w:val="00141444"/>
    <w:rsid w:val="001467B4"/>
    <w:rsid w:val="00147B86"/>
    <w:rsid w:val="00155D00"/>
    <w:rsid w:val="00170499"/>
    <w:rsid w:val="00175D1F"/>
    <w:rsid w:val="00196E72"/>
    <w:rsid w:val="00197501"/>
    <w:rsid w:val="001A107E"/>
    <w:rsid w:val="001D5F4A"/>
    <w:rsid w:val="001E11BF"/>
    <w:rsid w:val="001F7B6D"/>
    <w:rsid w:val="002142E5"/>
    <w:rsid w:val="00245E9E"/>
    <w:rsid w:val="00282BBA"/>
    <w:rsid w:val="00297AAE"/>
    <w:rsid w:val="002A4A58"/>
    <w:rsid w:val="002B7E3E"/>
    <w:rsid w:val="002D3C37"/>
    <w:rsid w:val="002D7052"/>
    <w:rsid w:val="00302F7A"/>
    <w:rsid w:val="00321D8F"/>
    <w:rsid w:val="003232EF"/>
    <w:rsid w:val="00323F4D"/>
    <w:rsid w:val="00366C31"/>
    <w:rsid w:val="003A3C81"/>
    <w:rsid w:val="003C150F"/>
    <w:rsid w:val="003D630C"/>
    <w:rsid w:val="003D6947"/>
    <w:rsid w:val="003E51D8"/>
    <w:rsid w:val="003F08F5"/>
    <w:rsid w:val="003F46A2"/>
    <w:rsid w:val="004079D6"/>
    <w:rsid w:val="0043358D"/>
    <w:rsid w:val="00440D28"/>
    <w:rsid w:val="00477888"/>
    <w:rsid w:val="0049726F"/>
    <w:rsid w:val="004A6F8C"/>
    <w:rsid w:val="004B3534"/>
    <w:rsid w:val="004E4EF0"/>
    <w:rsid w:val="00536F5D"/>
    <w:rsid w:val="005519FD"/>
    <w:rsid w:val="00555223"/>
    <w:rsid w:val="00585548"/>
    <w:rsid w:val="005A258F"/>
    <w:rsid w:val="005B3887"/>
    <w:rsid w:val="005C14CF"/>
    <w:rsid w:val="005D48E1"/>
    <w:rsid w:val="005E0D3D"/>
    <w:rsid w:val="005F488D"/>
    <w:rsid w:val="006045CD"/>
    <w:rsid w:val="00625CC6"/>
    <w:rsid w:val="00632318"/>
    <w:rsid w:val="00637E41"/>
    <w:rsid w:val="00673045"/>
    <w:rsid w:val="00677739"/>
    <w:rsid w:val="006813AF"/>
    <w:rsid w:val="006B084D"/>
    <w:rsid w:val="006C24DE"/>
    <w:rsid w:val="00704940"/>
    <w:rsid w:val="00737FBB"/>
    <w:rsid w:val="007425D2"/>
    <w:rsid w:val="00742A37"/>
    <w:rsid w:val="0074757D"/>
    <w:rsid w:val="00753A47"/>
    <w:rsid w:val="00787260"/>
    <w:rsid w:val="00792B74"/>
    <w:rsid w:val="007B55E5"/>
    <w:rsid w:val="007B61DA"/>
    <w:rsid w:val="007D28A7"/>
    <w:rsid w:val="007E5454"/>
    <w:rsid w:val="0084165C"/>
    <w:rsid w:val="00891580"/>
    <w:rsid w:val="008A5C71"/>
    <w:rsid w:val="008B73E1"/>
    <w:rsid w:val="00907799"/>
    <w:rsid w:val="009110A3"/>
    <w:rsid w:val="00930FB1"/>
    <w:rsid w:val="00966C10"/>
    <w:rsid w:val="009A18F1"/>
    <w:rsid w:val="009B524D"/>
    <w:rsid w:val="009E2683"/>
    <w:rsid w:val="009E61A8"/>
    <w:rsid w:val="009F6CC0"/>
    <w:rsid w:val="009F6F2F"/>
    <w:rsid w:val="00A04F49"/>
    <w:rsid w:val="00A34B29"/>
    <w:rsid w:val="00A52D6F"/>
    <w:rsid w:val="00A75E8E"/>
    <w:rsid w:val="00A921FB"/>
    <w:rsid w:val="00AA23A9"/>
    <w:rsid w:val="00AB6E63"/>
    <w:rsid w:val="00AC15DD"/>
    <w:rsid w:val="00AE5F05"/>
    <w:rsid w:val="00AE7126"/>
    <w:rsid w:val="00AF6E89"/>
    <w:rsid w:val="00B07349"/>
    <w:rsid w:val="00B17FF1"/>
    <w:rsid w:val="00B2638D"/>
    <w:rsid w:val="00B32948"/>
    <w:rsid w:val="00B516E8"/>
    <w:rsid w:val="00B6641D"/>
    <w:rsid w:val="00B70BAF"/>
    <w:rsid w:val="00B858D3"/>
    <w:rsid w:val="00BE118E"/>
    <w:rsid w:val="00BF5CCC"/>
    <w:rsid w:val="00C02EA2"/>
    <w:rsid w:val="00C15ADD"/>
    <w:rsid w:val="00C21448"/>
    <w:rsid w:val="00C2784C"/>
    <w:rsid w:val="00C3320C"/>
    <w:rsid w:val="00C36438"/>
    <w:rsid w:val="00C43144"/>
    <w:rsid w:val="00C45B56"/>
    <w:rsid w:val="00C654C4"/>
    <w:rsid w:val="00C852B4"/>
    <w:rsid w:val="00CB358D"/>
    <w:rsid w:val="00D033FD"/>
    <w:rsid w:val="00D15EC6"/>
    <w:rsid w:val="00D3459D"/>
    <w:rsid w:val="00D34EFE"/>
    <w:rsid w:val="00D9180C"/>
    <w:rsid w:val="00D94EAA"/>
    <w:rsid w:val="00DA695D"/>
    <w:rsid w:val="00DB2FD2"/>
    <w:rsid w:val="00DE16A9"/>
    <w:rsid w:val="00DE523B"/>
    <w:rsid w:val="00E13F7D"/>
    <w:rsid w:val="00E25206"/>
    <w:rsid w:val="00E25C20"/>
    <w:rsid w:val="00E55983"/>
    <w:rsid w:val="00E83450"/>
    <w:rsid w:val="00E86B3C"/>
    <w:rsid w:val="00E9183B"/>
    <w:rsid w:val="00EA1919"/>
    <w:rsid w:val="00EB3E6D"/>
    <w:rsid w:val="00EE1150"/>
    <w:rsid w:val="00EE2A36"/>
    <w:rsid w:val="00EF00A4"/>
    <w:rsid w:val="00EF44AF"/>
    <w:rsid w:val="00F03A94"/>
    <w:rsid w:val="00F06584"/>
    <w:rsid w:val="00F372AE"/>
    <w:rsid w:val="00F75BF5"/>
    <w:rsid w:val="00F84CB8"/>
    <w:rsid w:val="00F91F2E"/>
    <w:rsid w:val="00FA2945"/>
    <w:rsid w:val="00FC6857"/>
    <w:rsid w:val="00FD13A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39" w:unhideWhenUsed="1"/>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uiPriority="59"/>
    <w:lsdException w:name="Table Theme"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latentStyles>
  <w:style w:type="paragraph" w:default="1" w:styleId="Normaali">
    <w:name w:val="Normal"/>
    <w:qFormat/>
    <w:rsid w:val="00DA695D"/>
  </w:style>
  <w:style w:type="paragraph" w:styleId="Otsikko1">
    <w:name w:val="heading 1"/>
    <w:basedOn w:val="Normaali"/>
    <w:next w:val="Leipteksti"/>
    <w:link w:val="Otsikko1Char"/>
    <w:uiPriority w:val="9"/>
    <w:qFormat/>
    <w:rsid w:val="00B07349"/>
    <w:pPr>
      <w:keepNext/>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BF5CCC"/>
    <w:pPr>
      <w:keepNext/>
      <w:spacing w:after="220"/>
      <w:ind w:left="2608"/>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BF5CCC"/>
    <w:pPr>
      <w:keepNext/>
      <w:spacing w:after="220"/>
      <w:ind w:left="2608"/>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F5CCC"/>
    <w:pPr>
      <w:keepNext/>
      <w:spacing w:after="220"/>
      <w:ind w:left="2608"/>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F5CCC"/>
    <w:pPr>
      <w:keepNext/>
      <w:spacing w:after="220"/>
      <w:ind w:left="2608"/>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F5CCC"/>
    <w:pPr>
      <w:keepNext/>
      <w:spacing w:after="220"/>
      <w:ind w:left="2608"/>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F5CCC"/>
    <w:pPr>
      <w:keepNext/>
      <w:spacing w:after="220"/>
      <w:ind w:left="2608"/>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F5CCC"/>
    <w:pPr>
      <w:keepNext/>
      <w:spacing w:after="220"/>
      <w:ind w:left="2608"/>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F5CCC"/>
    <w:pPr>
      <w:keepNext/>
      <w:spacing w:after="220"/>
      <w:ind w:left="2608"/>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0C51D8"/>
    <w:pPr>
      <w:ind w:left="2608"/>
    </w:pPr>
  </w:style>
  <w:style w:type="character" w:customStyle="1" w:styleId="Otsikko1Char">
    <w:name w:val="Otsikko 1 Char"/>
    <w:basedOn w:val="Kappaleenoletusfontti"/>
    <w:link w:val="Otsikko1"/>
    <w:uiPriority w:val="9"/>
    <w:rsid w:val="00C21448"/>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F5CCC"/>
    <w:rPr>
      <w:rFonts w:asciiTheme="majorHAnsi" w:eastAsiaTheme="majorEastAsia" w:hAnsiTheme="majorHAnsi" w:cstheme="majorBidi"/>
      <w:bCs/>
      <w:szCs w:val="26"/>
    </w:rPr>
  </w:style>
  <w:style w:type="paragraph" w:styleId="Leipteksti">
    <w:name w:val="Body Text"/>
    <w:basedOn w:val="Normaali"/>
    <w:link w:val="LeiptekstiChar"/>
    <w:uiPriority w:val="1"/>
    <w:qFormat/>
    <w:rsid w:val="000C51D8"/>
    <w:pPr>
      <w:spacing w:after="220"/>
      <w:ind w:left="2608"/>
    </w:pPr>
  </w:style>
  <w:style w:type="character" w:customStyle="1" w:styleId="LeiptekstiChar">
    <w:name w:val="Leipäteksti Char"/>
    <w:basedOn w:val="Kappaleenoletusfontti"/>
    <w:link w:val="Leipteksti"/>
    <w:uiPriority w:val="1"/>
    <w:rsid w:val="000C51D8"/>
  </w:style>
  <w:style w:type="character" w:customStyle="1" w:styleId="Otsikko3Char">
    <w:name w:val="Otsikko 3 Char"/>
    <w:basedOn w:val="Kappaleenoletusfontti"/>
    <w:link w:val="Otsikko3"/>
    <w:uiPriority w:val="9"/>
    <w:rsid w:val="00BF5CCC"/>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BF5CCC"/>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BF5CCC"/>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BF5CC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BF5CCC"/>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BF5CC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BF5CCC"/>
    <w:rPr>
      <w:rFonts w:asciiTheme="majorHAnsi" w:eastAsiaTheme="majorEastAsia" w:hAnsiTheme="majorHAnsi" w:cstheme="majorBidi"/>
      <w:iCs/>
      <w:szCs w:val="20"/>
    </w:rPr>
  </w:style>
  <w:style w:type="paragraph" w:styleId="Otsikko">
    <w:name w:val="Title"/>
    <w:basedOn w:val="Normaali"/>
    <w:next w:val="Leipteksti"/>
    <w:link w:val="OtsikkoChar"/>
    <w:uiPriority w:val="10"/>
    <w:qFormat/>
    <w:rsid w:val="000C51D8"/>
    <w:pPr>
      <w:spacing w:after="22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0C51D8"/>
    <w:rPr>
      <w:rFonts w:asciiTheme="majorHAnsi" w:eastAsiaTheme="majorEastAsia" w:hAnsiTheme="majorHAnsi" w:cstheme="majorHAnsi"/>
      <w:b/>
      <w:sz w:val="28"/>
      <w:szCs w:val="52"/>
    </w:rPr>
  </w:style>
  <w:style w:type="numbering" w:customStyle="1" w:styleId="Luettelomerkit">
    <w:name w:val="Luettelomerkit"/>
    <w:uiPriority w:val="99"/>
    <w:rsid w:val="00BE118E"/>
    <w:pPr>
      <w:numPr>
        <w:numId w:val="1"/>
      </w:numPr>
    </w:pPr>
  </w:style>
  <w:style w:type="paragraph" w:styleId="Numeroituluettelo">
    <w:name w:val="List Number"/>
    <w:basedOn w:val="Normaali"/>
    <w:uiPriority w:val="99"/>
    <w:qFormat/>
    <w:rsid w:val="000C51D8"/>
    <w:pPr>
      <w:numPr>
        <w:numId w:val="5"/>
      </w:numPr>
      <w:spacing w:after="220"/>
      <w:contextualSpacing/>
    </w:pPr>
  </w:style>
  <w:style w:type="paragraph" w:styleId="Merkittyluettelo">
    <w:name w:val="List Bullet"/>
    <w:basedOn w:val="Normaali"/>
    <w:uiPriority w:val="99"/>
    <w:qFormat/>
    <w:rsid w:val="000C51D8"/>
    <w:pPr>
      <w:numPr>
        <w:numId w:val="4"/>
      </w:numPr>
      <w:spacing w:after="220"/>
      <w:contextualSpacing/>
    </w:pPr>
  </w:style>
  <w:style w:type="numbering" w:customStyle="1" w:styleId="Luettelonumero">
    <w:name w:val="Luettelonumero"/>
    <w:uiPriority w:val="99"/>
    <w:rsid w:val="00BE118E"/>
    <w:pPr>
      <w:numPr>
        <w:numId w:val="2"/>
      </w:numPr>
    </w:pPr>
  </w:style>
  <w:style w:type="numbering" w:customStyle="1" w:styleId="Otsikkonumerot">
    <w:name w:val="Otsikkonumerot"/>
    <w:uiPriority w:val="99"/>
    <w:rsid w:val="00C21448"/>
    <w:pPr>
      <w:numPr>
        <w:numId w:val="3"/>
      </w:numPr>
    </w:pPr>
  </w:style>
  <w:style w:type="paragraph" w:styleId="Seliteteksti">
    <w:name w:val="Balloon Text"/>
    <w:basedOn w:val="Normaali"/>
    <w:link w:val="SelitetekstiChar"/>
    <w:uiPriority w:val="99"/>
    <w:semiHidden/>
    <w:unhideWhenUsed/>
    <w:rsid w:val="00321D8F"/>
    <w:rPr>
      <w:rFonts w:ascii="Tahoma" w:hAnsi="Tahoma" w:cs="Tahoma"/>
      <w:sz w:val="16"/>
      <w:szCs w:val="16"/>
    </w:rPr>
  </w:style>
  <w:style w:type="paragraph" w:styleId="Sisluet8">
    <w:name w:val="toc 8"/>
    <w:basedOn w:val="Normaali"/>
    <w:next w:val="Normaali"/>
    <w:autoRedefine/>
    <w:uiPriority w:val="39"/>
    <w:rsid w:val="009E61A8"/>
    <w:pPr>
      <w:spacing w:after="100"/>
    </w:pPr>
  </w:style>
  <w:style w:type="character" w:customStyle="1" w:styleId="SelitetekstiChar">
    <w:name w:val="Seliteteksti Char"/>
    <w:basedOn w:val="Kappaleenoletusfontti"/>
    <w:link w:val="Seliteteksti"/>
    <w:uiPriority w:val="99"/>
    <w:semiHidden/>
    <w:rsid w:val="00321D8F"/>
    <w:rPr>
      <w:rFonts w:ascii="Tahoma" w:hAnsi="Tahoma" w:cs="Tahoma"/>
      <w:sz w:val="16"/>
      <w:szCs w:val="16"/>
    </w:rPr>
  </w:style>
  <w:style w:type="paragraph" w:styleId="Yltunniste">
    <w:name w:val="header"/>
    <w:basedOn w:val="Normaali"/>
    <w:link w:val="YltunnisteChar"/>
    <w:uiPriority w:val="99"/>
    <w:unhideWhenUsed/>
    <w:rsid w:val="00625CC6"/>
    <w:rPr>
      <w:noProof/>
    </w:rPr>
  </w:style>
  <w:style w:type="character" w:customStyle="1" w:styleId="YltunnisteChar">
    <w:name w:val="Ylätunniste Char"/>
    <w:basedOn w:val="Kappaleenoletusfontti"/>
    <w:link w:val="Yltunniste"/>
    <w:uiPriority w:val="99"/>
    <w:rsid w:val="00625CC6"/>
    <w:rPr>
      <w:noProof/>
    </w:rPr>
  </w:style>
  <w:style w:type="paragraph" w:styleId="Alatunniste">
    <w:name w:val="footer"/>
    <w:basedOn w:val="Normaali"/>
    <w:link w:val="AlatunnisteChar"/>
    <w:uiPriority w:val="99"/>
    <w:unhideWhenUsed/>
    <w:rsid w:val="001467B4"/>
    <w:rPr>
      <w:noProof/>
      <w:sz w:val="16"/>
    </w:rPr>
  </w:style>
  <w:style w:type="character" w:customStyle="1" w:styleId="AlatunnisteChar">
    <w:name w:val="Alatunniste Char"/>
    <w:basedOn w:val="Kappaleenoletusfontti"/>
    <w:link w:val="Alatunniste"/>
    <w:uiPriority w:val="99"/>
    <w:rsid w:val="001467B4"/>
    <w:rPr>
      <w:noProof/>
      <w:sz w:val="16"/>
    </w:rPr>
  </w:style>
  <w:style w:type="table" w:styleId="TaulukkoRuudukko">
    <w:name w:val="Table Grid"/>
    <w:basedOn w:val="Normaalitaulukko"/>
    <w:uiPriority w:val="59"/>
    <w:rsid w:val="003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21D8F"/>
    <w:tblPr/>
  </w:style>
  <w:style w:type="character" w:styleId="Paikkamerkkiteksti">
    <w:name w:val="Placeholder Text"/>
    <w:basedOn w:val="Kappaleenoletusfontti"/>
    <w:uiPriority w:val="99"/>
    <w:rsid w:val="00625CC6"/>
    <w:rPr>
      <w:color w:val="auto"/>
    </w:rPr>
  </w:style>
  <w:style w:type="paragraph" w:customStyle="1" w:styleId="Riippuvasisennys">
    <w:name w:val="Riippuva sisennys"/>
    <w:basedOn w:val="Leipteksti"/>
    <w:next w:val="Leipteksti"/>
    <w:link w:val="RiippuvasisennysChar"/>
    <w:uiPriority w:val="11"/>
    <w:qFormat/>
    <w:rsid w:val="000C51D8"/>
    <w:pPr>
      <w:ind w:hanging="2608"/>
    </w:pPr>
  </w:style>
  <w:style w:type="paragraph" w:styleId="Sisllysluettelonotsikko">
    <w:name w:val="TOC Heading"/>
    <w:basedOn w:val="Otsikko1"/>
    <w:next w:val="Normaali"/>
    <w:uiPriority w:val="39"/>
    <w:rsid w:val="00F84CB8"/>
    <w:pPr>
      <w:keepLines/>
      <w:outlineLvl w:val="9"/>
    </w:pPr>
  </w:style>
  <w:style w:type="character" w:customStyle="1" w:styleId="RiippuvasisennysChar">
    <w:name w:val="Riippuva sisennys Char"/>
    <w:basedOn w:val="LeiptekstiChar"/>
    <w:link w:val="Riippuvasisennys"/>
    <w:uiPriority w:val="11"/>
    <w:rsid w:val="000C5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39" w:unhideWhenUsed="1"/>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uiPriority="59"/>
    <w:lsdException w:name="Table Theme"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latentStyles>
  <w:style w:type="paragraph" w:default="1" w:styleId="Normaali">
    <w:name w:val="Normal"/>
    <w:qFormat/>
    <w:rsid w:val="00DA695D"/>
  </w:style>
  <w:style w:type="paragraph" w:styleId="Otsikko1">
    <w:name w:val="heading 1"/>
    <w:basedOn w:val="Normaali"/>
    <w:next w:val="Leipteksti"/>
    <w:link w:val="Otsikko1Char"/>
    <w:uiPriority w:val="9"/>
    <w:qFormat/>
    <w:rsid w:val="00B07349"/>
    <w:pPr>
      <w:keepNext/>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BF5CCC"/>
    <w:pPr>
      <w:keepNext/>
      <w:spacing w:after="220"/>
      <w:ind w:left="2608"/>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BF5CCC"/>
    <w:pPr>
      <w:keepNext/>
      <w:spacing w:after="220"/>
      <w:ind w:left="2608"/>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F5CCC"/>
    <w:pPr>
      <w:keepNext/>
      <w:spacing w:after="220"/>
      <w:ind w:left="2608"/>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F5CCC"/>
    <w:pPr>
      <w:keepNext/>
      <w:spacing w:after="220"/>
      <w:ind w:left="2608"/>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F5CCC"/>
    <w:pPr>
      <w:keepNext/>
      <w:spacing w:after="220"/>
      <w:ind w:left="2608"/>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F5CCC"/>
    <w:pPr>
      <w:keepNext/>
      <w:spacing w:after="220"/>
      <w:ind w:left="2608"/>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F5CCC"/>
    <w:pPr>
      <w:keepNext/>
      <w:spacing w:after="220"/>
      <w:ind w:left="2608"/>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F5CCC"/>
    <w:pPr>
      <w:keepNext/>
      <w:spacing w:after="220"/>
      <w:ind w:left="2608"/>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0C51D8"/>
    <w:pPr>
      <w:ind w:left="2608"/>
    </w:pPr>
  </w:style>
  <w:style w:type="character" w:customStyle="1" w:styleId="Otsikko1Char">
    <w:name w:val="Otsikko 1 Char"/>
    <w:basedOn w:val="Kappaleenoletusfontti"/>
    <w:link w:val="Otsikko1"/>
    <w:uiPriority w:val="9"/>
    <w:rsid w:val="00C21448"/>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F5CCC"/>
    <w:rPr>
      <w:rFonts w:asciiTheme="majorHAnsi" w:eastAsiaTheme="majorEastAsia" w:hAnsiTheme="majorHAnsi" w:cstheme="majorBidi"/>
      <w:bCs/>
      <w:szCs w:val="26"/>
    </w:rPr>
  </w:style>
  <w:style w:type="paragraph" w:styleId="Leipteksti">
    <w:name w:val="Body Text"/>
    <w:basedOn w:val="Normaali"/>
    <w:link w:val="LeiptekstiChar"/>
    <w:uiPriority w:val="1"/>
    <w:qFormat/>
    <w:rsid w:val="000C51D8"/>
    <w:pPr>
      <w:spacing w:after="220"/>
      <w:ind w:left="2608"/>
    </w:pPr>
  </w:style>
  <w:style w:type="character" w:customStyle="1" w:styleId="LeiptekstiChar">
    <w:name w:val="Leipäteksti Char"/>
    <w:basedOn w:val="Kappaleenoletusfontti"/>
    <w:link w:val="Leipteksti"/>
    <w:uiPriority w:val="1"/>
    <w:rsid w:val="000C51D8"/>
  </w:style>
  <w:style w:type="character" w:customStyle="1" w:styleId="Otsikko3Char">
    <w:name w:val="Otsikko 3 Char"/>
    <w:basedOn w:val="Kappaleenoletusfontti"/>
    <w:link w:val="Otsikko3"/>
    <w:uiPriority w:val="9"/>
    <w:rsid w:val="00BF5CCC"/>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BF5CCC"/>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BF5CCC"/>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BF5CC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BF5CCC"/>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BF5CC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BF5CCC"/>
    <w:rPr>
      <w:rFonts w:asciiTheme="majorHAnsi" w:eastAsiaTheme="majorEastAsia" w:hAnsiTheme="majorHAnsi" w:cstheme="majorBidi"/>
      <w:iCs/>
      <w:szCs w:val="20"/>
    </w:rPr>
  </w:style>
  <w:style w:type="paragraph" w:styleId="Otsikko">
    <w:name w:val="Title"/>
    <w:basedOn w:val="Normaali"/>
    <w:next w:val="Leipteksti"/>
    <w:link w:val="OtsikkoChar"/>
    <w:uiPriority w:val="10"/>
    <w:qFormat/>
    <w:rsid w:val="000C51D8"/>
    <w:pPr>
      <w:spacing w:after="22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0C51D8"/>
    <w:rPr>
      <w:rFonts w:asciiTheme="majorHAnsi" w:eastAsiaTheme="majorEastAsia" w:hAnsiTheme="majorHAnsi" w:cstheme="majorHAnsi"/>
      <w:b/>
      <w:sz w:val="28"/>
      <w:szCs w:val="52"/>
    </w:rPr>
  </w:style>
  <w:style w:type="numbering" w:customStyle="1" w:styleId="Luettelomerkit">
    <w:name w:val="Luettelomerkit"/>
    <w:uiPriority w:val="99"/>
    <w:rsid w:val="00BE118E"/>
    <w:pPr>
      <w:numPr>
        <w:numId w:val="1"/>
      </w:numPr>
    </w:pPr>
  </w:style>
  <w:style w:type="paragraph" w:styleId="Numeroituluettelo">
    <w:name w:val="List Number"/>
    <w:basedOn w:val="Normaali"/>
    <w:uiPriority w:val="99"/>
    <w:qFormat/>
    <w:rsid w:val="000C51D8"/>
    <w:pPr>
      <w:numPr>
        <w:numId w:val="5"/>
      </w:numPr>
      <w:spacing w:after="220"/>
      <w:contextualSpacing/>
    </w:pPr>
  </w:style>
  <w:style w:type="paragraph" w:styleId="Merkittyluettelo">
    <w:name w:val="List Bullet"/>
    <w:basedOn w:val="Normaali"/>
    <w:uiPriority w:val="99"/>
    <w:qFormat/>
    <w:rsid w:val="000C51D8"/>
    <w:pPr>
      <w:numPr>
        <w:numId w:val="4"/>
      </w:numPr>
      <w:spacing w:after="220"/>
      <w:contextualSpacing/>
    </w:pPr>
  </w:style>
  <w:style w:type="numbering" w:customStyle="1" w:styleId="Luettelonumero">
    <w:name w:val="Luettelonumero"/>
    <w:uiPriority w:val="99"/>
    <w:rsid w:val="00BE118E"/>
    <w:pPr>
      <w:numPr>
        <w:numId w:val="2"/>
      </w:numPr>
    </w:pPr>
  </w:style>
  <w:style w:type="numbering" w:customStyle="1" w:styleId="Otsikkonumerot">
    <w:name w:val="Otsikkonumerot"/>
    <w:uiPriority w:val="99"/>
    <w:rsid w:val="00C21448"/>
    <w:pPr>
      <w:numPr>
        <w:numId w:val="3"/>
      </w:numPr>
    </w:pPr>
  </w:style>
  <w:style w:type="paragraph" w:styleId="Seliteteksti">
    <w:name w:val="Balloon Text"/>
    <w:basedOn w:val="Normaali"/>
    <w:link w:val="SelitetekstiChar"/>
    <w:uiPriority w:val="99"/>
    <w:semiHidden/>
    <w:unhideWhenUsed/>
    <w:rsid w:val="00321D8F"/>
    <w:rPr>
      <w:rFonts w:ascii="Tahoma" w:hAnsi="Tahoma" w:cs="Tahoma"/>
      <w:sz w:val="16"/>
      <w:szCs w:val="16"/>
    </w:rPr>
  </w:style>
  <w:style w:type="paragraph" w:styleId="Sisluet8">
    <w:name w:val="toc 8"/>
    <w:basedOn w:val="Normaali"/>
    <w:next w:val="Normaali"/>
    <w:autoRedefine/>
    <w:uiPriority w:val="39"/>
    <w:rsid w:val="009E61A8"/>
    <w:pPr>
      <w:spacing w:after="100"/>
    </w:pPr>
  </w:style>
  <w:style w:type="character" w:customStyle="1" w:styleId="SelitetekstiChar">
    <w:name w:val="Seliteteksti Char"/>
    <w:basedOn w:val="Kappaleenoletusfontti"/>
    <w:link w:val="Seliteteksti"/>
    <w:uiPriority w:val="99"/>
    <w:semiHidden/>
    <w:rsid w:val="00321D8F"/>
    <w:rPr>
      <w:rFonts w:ascii="Tahoma" w:hAnsi="Tahoma" w:cs="Tahoma"/>
      <w:sz w:val="16"/>
      <w:szCs w:val="16"/>
    </w:rPr>
  </w:style>
  <w:style w:type="paragraph" w:styleId="Yltunniste">
    <w:name w:val="header"/>
    <w:basedOn w:val="Normaali"/>
    <w:link w:val="YltunnisteChar"/>
    <w:uiPriority w:val="99"/>
    <w:unhideWhenUsed/>
    <w:rsid w:val="00625CC6"/>
    <w:rPr>
      <w:noProof/>
    </w:rPr>
  </w:style>
  <w:style w:type="character" w:customStyle="1" w:styleId="YltunnisteChar">
    <w:name w:val="Ylätunniste Char"/>
    <w:basedOn w:val="Kappaleenoletusfontti"/>
    <w:link w:val="Yltunniste"/>
    <w:uiPriority w:val="99"/>
    <w:rsid w:val="00625CC6"/>
    <w:rPr>
      <w:noProof/>
    </w:rPr>
  </w:style>
  <w:style w:type="paragraph" w:styleId="Alatunniste">
    <w:name w:val="footer"/>
    <w:basedOn w:val="Normaali"/>
    <w:link w:val="AlatunnisteChar"/>
    <w:uiPriority w:val="99"/>
    <w:unhideWhenUsed/>
    <w:rsid w:val="001467B4"/>
    <w:rPr>
      <w:noProof/>
      <w:sz w:val="16"/>
    </w:rPr>
  </w:style>
  <w:style w:type="character" w:customStyle="1" w:styleId="AlatunnisteChar">
    <w:name w:val="Alatunniste Char"/>
    <w:basedOn w:val="Kappaleenoletusfontti"/>
    <w:link w:val="Alatunniste"/>
    <w:uiPriority w:val="99"/>
    <w:rsid w:val="001467B4"/>
    <w:rPr>
      <w:noProof/>
      <w:sz w:val="16"/>
    </w:rPr>
  </w:style>
  <w:style w:type="table" w:styleId="TaulukkoRuudukko">
    <w:name w:val="Table Grid"/>
    <w:basedOn w:val="Normaalitaulukko"/>
    <w:uiPriority w:val="59"/>
    <w:rsid w:val="003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21D8F"/>
    <w:tblPr/>
  </w:style>
  <w:style w:type="character" w:styleId="Paikkamerkkiteksti">
    <w:name w:val="Placeholder Text"/>
    <w:basedOn w:val="Kappaleenoletusfontti"/>
    <w:uiPriority w:val="99"/>
    <w:rsid w:val="00625CC6"/>
    <w:rPr>
      <w:color w:val="auto"/>
    </w:rPr>
  </w:style>
  <w:style w:type="paragraph" w:customStyle="1" w:styleId="Riippuvasisennys">
    <w:name w:val="Riippuva sisennys"/>
    <w:basedOn w:val="Leipteksti"/>
    <w:next w:val="Leipteksti"/>
    <w:link w:val="RiippuvasisennysChar"/>
    <w:uiPriority w:val="11"/>
    <w:qFormat/>
    <w:rsid w:val="000C51D8"/>
    <w:pPr>
      <w:ind w:hanging="2608"/>
    </w:pPr>
  </w:style>
  <w:style w:type="paragraph" w:styleId="Sisllysluettelonotsikko">
    <w:name w:val="TOC Heading"/>
    <w:basedOn w:val="Otsikko1"/>
    <w:next w:val="Normaali"/>
    <w:uiPriority w:val="39"/>
    <w:rsid w:val="00F84CB8"/>
    <w:pPr>
      <w:keepLines/>
      <w:outlineLvl w:val="9"/>
    </w:pPr>
  </w:style>
  <w:style w:type="character" w:customStyle="1" w:styleId="RiippuvasisennysChar">
    <w:name w:val="Riippuva sisennys Char"/>
    <w:basedOn w:val="LeiptekstiChar"/>
    <w:link w:val="Riippuvasisennys"/>
    <w:uiPriority w:val="11"/>
    <w:rsid w:val="000C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Templates\Finnvera\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12D5ECB1584BD0BF84BEEDA8F944BA"/>
        <w:category>
          <w:name w:val="Yleiset"/>
          <w:gallery w:val="placeholder"/>
        </w:category>
        <w:types>
          <w:type w:val="bbPlcHdr"/>
        </w:types>
        <w:behaviors>
          <w:behavior w:val="content"/>
        </w:behaviors>
        <w:guid w:val="{3E2607E6-CB6A-4BCC-A6B7-EC88645287B9}"/>
      </w:docPartPr>
      <w:docPartBody>
        <w:p w:rsidR="00622F92" w:rsidRDefault="00622F92">
          <w:pPr>
            <w:pStyle w:val="4E12D5ECB1584BD0BF84BEEDA8F944BA"/>
          </w:pPr>
          <w:r>
            <w:rPr>
              <w:rStyle w:val="Paikkamerkkiteksti"/>
            </w:rPr>
            <w:t>[Pääo</w:t>
          </w:r>
          <w:r w:rsidRPr="00827D34">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92"/>
    <w:rsid w:val="00622F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ABA0A9B7D7A043C4B4161166586AA642">
    <w:name w:val="ABA0A9B7D7A043C4B4161166586AA642"/>
  </w:style>
  <w:style w:type="paragraph" w:customStyle="1" w:styleId="7E488898236D40F09110E39048F1C7B1">
    <w:name w:val="7E488898236D40F09110E39048F1C7B1"/>
  </w:style>
  <w:style w:type="paragraph" w:customStyle="1" w:styleId="AD2B4A05D9864B9598C339AA6FBAF78C">
    <w:name w:val="AD2B4A05D9864B9598C339AA6FBAF78C"/>
  </w:style>
  <w:style w:type="paragraph" w:customStyle="1" w:styleId="7A92CD98EDFD43CCA299D007ECEC3C5B">
    <w:name w:val="7A92CD98EDFD43CCA299D007ECEC3C5B"/>
  </w:style>
  <w:style w:type="paragraph" w:customStyle="1" w:styleId="4E12D5ECB1584BD0BF84BEEDA8F944BA">
    <w:name w:val="4E12D5ECB1584BD0BF84BEEDA8F944BA"/>
  </w:style>
  <w:style w:type="paragraph" w:customStyle="1" w:styleId="3FA383C7EA854C98ADDFCA1738458C28">
    <w:name w:val="3FA383C7EA854C98ADDFCA1738458C28"/>
  </w:style>
  <w:style w:type="paragraph" w:customStyle="1" w:styleId="3B8CBFDA5D4B41008F5A94E857AE7EC5">
    <w:name w:val="3B8CBFDA5D4B41008F5A94E857AE7EC5"/>
  </w:style>
  <w:style w:type="paragraph" w:customStyle="1" w:styleId="352D4D2FEFA24BD9B11A2CFA211E07E7">
    <w:name w:val="352D4D2FEFA24BD9B11A2CFA211E07E7"/>
  </w:style>
  <w:style w:type="paragraph" w:customStyle="1" w:styleId="98DBC61BF75B41B3A3F72C995F670449">
    <w:name w:val="98DBC61BF75B41B3A3F72C995F670449"/>
  </w:style>
  <w:style w:type="paragraph" w:customStyle="1" w:styleId="553ADF864229489E945E6706418F552F">
    <w:name w:val="553ADF864229489E945E6706418F552F"/>
  </w:style>
  <w:style w:type="paragraph" w:customStyle="1" w:styleId="0FBE793C71E84101B6AB61FB6BC27A51">
    <w:name w:val="0FBE793C71E84101B6AB61FB6BC27A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ABA0A9B7D7A043C4B4161166586AA642">
    <w:name w:val="ABA0A9B7D7A043C4B4161166586AA642"/>
  </w:style>
  <w:style w:type="paragraph" w:customStyle="1" w:styleId="7E488898236D40F09110E39048F1C7B1">
    <w:name w:val="7E488898236D40F09110E39048F1C7B1"/>
  </w:style>
  <w:style w:type="paragraph" w:customStyle="1" w:styleId="AD2B4A05D9864B9598C339AA6FBAF78C">
    <w:name w:val="AD2B4A05D9864B9598C339AA6FBAF78C"/>
  </w:style>
  <w:style w:type="paragraph" w:customStyle="1" w:styleId="7A92CD98EDFD43CCA299D007ECEC3C5B">
    <w:name w:val="7A92CD98EDFD43CCA299D007ECEC3C5B"/>
  </w:style>
  <w:style w:type="paragraph" w:customStyle="1" w:styleId="4E12D5ECB1584BD0BF84BEEDA8F944BA">
    <w:name w:val="4E12D5ECB1584BD0BF84BEEDA8F944BA"/>
  </w:style>
  <w:style w:type="paragraph" w:customStyle="1" w:styleId="3FA383C7EA854C98ADDFCA1738458C28">
    <w:name w:val="3FA383C7EA854C98ADDFCA1738458C28"/>
  </w:style>
  <w:style w:type="paragraph" w:customStyle="1" w:styleId="3B8CBFDA5D4B41008F5A94E857AE7EC5">
    <w:name w:val="3B8CBFDA5D4B41008F5A94E857AE7EC5"/>
  </w:style>
  <w:style w:type="paragraph" w:customStyle="1" w:styleId="352D4D2FEFA24BD9B11A2CFA211E07E7">
    <w:name w:val="352D4D2FEFA24BD9B11A2CFA211E07E7"/>
  </w:style>
  <w:style w:type="paragraph" w:customStyle="1" w:styleId="98DBC61BF75B41B3A3F72C995F670449">
    <w:name w:val="98DBC61BF75B41B3A3F72C995F670449"/>
  </w:style>
  <w:style w:type="paragraph" w:customStyle="1" w:styleId="553ADF864229489E945E6706418F552F">
    <w:name w:val="553ADF864229489E945E6706418F552F"/>
  </w:style>
  <w:style w:type="paragraph" w:customStyle="1" w:styleId="0FBE793C71E84101B6AB61FB6BC27A51">
    <w:name w:val="0FBE793C71E84101B6AB61FB6BC27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innvera">
  <a:themeElements>
    <a:clrScheme name="Finnvera">
      <a:dk1>
        <a:sysClr val="windowText" lastClr="000000"/>
      </a:dk1>
      <a:lt1>
        <a:sysClr val="window" lastClr="FFFFFF"/>
      </a:lt1>
      <a:dk2>
        <a:srgbClr val="383838"/>
      </a:dk2>
      <a:lt2>
        <a:srgbClr val="7E7E7E"/>
      </a:lt2>
      <a:accent1>
        <a:srgbClr val="0000FF"/>
      </a:accent1>
      <a:accent2>
        <a:srgbClr val="00C0FF"/>
      </a:accent2>
      <a:accent3>
        <a:srgbClr val="00A800"/>
      </a:accent3>
      <a:accent4>
        <a:srgbClr val="D3E000"/>
      </a:accent4>
      <a:accent5>
        <a:srgbClr val="D63805"/>
      </a:accent5>
      <a:accent6>
        <a:srgbClr val="F80077"/>
      </a:accent6>
      <a:hlink>
        <a:srgbClr val="0000FF"/>
      </a:hlink>
      <a:folHlink>
        <a:srgbClr val="00C0FF"/>
      </a:folHlink>
    </a:clrScheme>
    <a:fontScheme name="Finnv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Kirje.dotx</Template>
  <TotalTime>1</TotalTime>
  <Pages>7</Pages>
  <Words>1920</Words>
  <Characters>15556</Characters>
  <Application>Microsoft Office Word</Application>
  <DocSecurity>4</DocSecurity>
  <Lines>129</Lines>
  <Paragraphs>34</Paragraphs>
  <ScaleCrop>false</ScaleCrop>
  <HeadingPairs>
    <vt:vector size="2" baseType="variant">
      <vt:variant>
        <vt:lpstr>Otsikko</vt:lpstr>
      </vt:variant>
      <vt:variant>
        <vt:i4>1</vt:i4>
      </vt:variant>
    </vt:vector>
  </HeadingPairs>
  <TitlesOfParts>
    <vt:vector size="1" baseType="lpstr">
      <vt:lpstr>FINNVERA OYJ:N LAUSUNTO, JOKA KOSKEE KOMISSION MAKSUKYVYTTÖMYYSLAIN-SÄÄDÄNTÖJEN HARMONISOINTIA KÄSITTELEVÄÄ DIREKTIIVIEHDOTUSTA 2016/0359 (COD)</vt:lpstr>
    </vt:vector>
  </TitlesOfParts>
  <Company>Finnvera</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FINNVERA OYJ:N LAUSUNTO, JOKA KOSKEE KOMISSION MAKSUKYVYTTÖMYYSLAIN-SÄÄDÄNTÖJEN HARMONISOINTIA KÄSITTELEVÄÄ DIREKTIIVIEHDOTUSTA 2016/0359 (COD)</dc:title>
  <dc:creator>Rantanen Olli</dc:creator>
  <cp:lastModifiedBy>Luomala Irene</cp:lastModifiedBy>
  <cp:revision>2</cp:revision>
  <dcterms:created xsi:type="dcterms:W3CDTF">2016-12-23T13:33:00Z</dcterms:created>
  <dcterms:modified xsi:type="dcterms:W3CDTF">2016-12-23T13:33:00Z</dcterms:modified>
</cp:coreProperties>
</file>