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E9" w:rsidRDefault="00430009">
      <w:bookmarkStart w:id="0" w:name="_GoBack"/>
      <w:bookmarkEnd w:id="0"/>
    </w:p>
    <w:p w:rsidR="006E1FE9" w:rsidRDefault="00430009">
      <w:r>
        <w:t>Oikeusministeriö</w:t>
      </w:r>
    </w:p>
    <w:p w:rsidR="006E1FE9" w:rsidRDefault="00430009">
      <w:r>
        <w:t>Kriminaalipoliittinen osasto</w:t>
      </w:r>
    </w:p>
    <w:p w:rsidR="006E1FE9" w:rsidRDefault="00430009"/>
    <w:p w:rsidR="006E1FE9" w:rsidRDefault="00430009">
      <w:hyperlink r:id="rId10" w:history="1">
        <w:r w:rsidRPr="00C444C3">
          <w:rPr>
            <w:rStyle w:val="Hyperlinkki"/>
          </w:rPr>
          <w:t>oikeusministerio@om.fi</w:t>
        </w:r>
      </w:hyperlink>
    </w:p>
    <w:p w:rsidR="006E1FE9" w:rsidRDefault="00430009"/>
    <w:p w:rsidR="006E1FE9" w:rsidRDefault="00430009"/>
    <w:p w:rsidR="006E1FE9" w:rsidRDefault="00430009"/>
    <w:tbl>
      <w:tblPr>
        <w:tblW w:w="735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  <w:gridCol w:w="4717"/>
      </w:tblGrid>
      <w:tr w:rsidR="00046B7C" w:rsidTr="006E1FE9">
        <w:trPr>
          <w:gridAfter w:val="1"/>
          <w:wAfter w:w="4717" w:type="dxa"/>
          <w:trHeight w:val="2143"/>
        </w:trPr>
        <w:tc>
          <w:tcPr>
            <w:tcW w:w="9923" w:type="dxa"/>
          </w:tcPr>
          <w:p w:rsidR="006E1FE9" w:rsidRPr="00BF7EEB" w:rsidRDefault="00430009" w:rsidP="006E1FE9">
            <w:pPr>
              <w:autoSpaceDE w:val="0"/>
              <w:autoSpaceDN w:val="0"/>
              <w:adjustRightInd w:val="0"/>
              <w:rPr>
                <w:rFonts w:cs="Arial"/>
              </w:rPr>
            </w:pPr>
            <w:bookmarkStart w:id="1" w:name="zLetterReceiver"/>
            <w:r w:rsidRPr="00BF7EEB">
              <w:rPr>
                <w:rFonts w:cs="Arial"/>
              </w:rPr>
              <w:t xml:space="preserve">Oikeusministeriön kriminaalipoliittinen </w:t>
            </w:r>
          </w:p>
          <w:p w:rsidR="006E1FE9" w:rsidRPr="00BF7EEB" w:rsidRDefault="00430009" w:rsidP="006E1F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F7EEB">
              <w:rPr>
                <w:rFonts w:cs="Arial"/>
              </w:rPr>
              <w:t>osaston lausuntopyyntö OM 1/61/2014,</w:t>
            </w:r>
          </w:p>
          <w:p w:rsidR="006E1FE9" w:rsidRPr="00BF7EEB" w:rsidRDefault="00430009" w:rsidP="006E1F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F7EEB">
              <w:rPr>
                <w:rFonts w:cs="Arial"/>
              </w:rPr>
              <w:t xml:space="preserve">19.2.2016, koskien tutkintavankeuden </w:t>
            </w:r>
          </w:p>
          <w:p w:rsidR="006E1FE9" w:rsidRPr="00BF7EEB" w:rsidRDefault="00430009" w:rsidP="006E1F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F7EEB">
              <w:rPr>
                <w:rFonts w:cs="Arial"/>
              </w:rPr>
              <w:t xml:space="preserve">vaihtoehtoja ja järjestämistä </w:t>
            </w:r>
          </w:p>
          <w:p w:rsidR="003D588D" w:rsidRDefault="00430009" w:rsidP="003D588D">
            <w:pPr>
              <w:pStyle w:val="Sis2"/>
              <w:rPr>
                <w:rFonts w:cs="Arial"/>
              </w:rPr>
            </w:pPr>
          </w:p>
          <w:p w:rsidR="003D588D" w:rsidRDefault="00430009" w:rsidP="003D588D">
            <w:pPr>
              <w:pStyle w:val="Sis2"/>
            </w:pPr>
            <w:r w:rsidRPr="00BF7EEB">
              <w:rPr>
                <w:rFonts w:cs="Arial"/>
              </w:rPr>
              <w:br/>
            </w:r>
            <w:r>
              <w:t>Pyydettynä lausuntona tutkintavankeutta koskevaan lakiesitykseen Lo</w:t>
            </w:r>
            <w:r>
              <w:t>u</w:t>
            </w:r>
            <w:r>
              <w:t>nais-Suomen poliisilaitos toteaa seuraavaa:</w:t>
            </w:r>
          </w:p>
          <w:p w:rsidR="003D588D" w:rsidRDefault="00430009" w:rsidP="003D588D">
            <w:pPr>
              <w:pStyle w:val="Sis2"/>
            </w:pPr>
          </w:p>
          <w:p w:rsidR="003D588D" w:rsidRPr="003D588D" w:rsidRDefault="00430009" w:rsidP="003D588D">
            <w:r w:rsidRPr="003D588D">
              <w:t>Tehostettu matkustuskielto</w:t>
            </w:r>
          </w:p>
          <w:p w:rsidR="003D588D" w:rsidRDefault="00430009" w:rsidP="003D588D">
            <w:pPr>
              <w:pStyle w:val="Sis2"/>
            </w:pPr>
          </w:p>
          <w:p w:rsidR="003D588D" w:rsidRDefault="00430009" w:rsidP="003D588D">
            <w:pPr>
              <w:pStyle w:val="Sis2"/>
            </w:pPr>
            <w:r>
              <w:t>Matkustuskiellon käyttöä voidaan tehostaa niissä rikoksissa, joissa ei ole</w:t>
            </w:r>
          </w:p>
          <w:p w:rsidR="003D588D" w:rsidRDefault="00430009" w:rsidP="003D588D">
            <w:pPr>
              <w:pStyle w:val="Sis2"/>
            </w:pPr>
            <w:r>
              <w:t xml:space="preserve">vaaraa </w:t>
            </w:r>
            <w:r>
              <w:t>esitutkinnan vaikeuttamisesta. Tutkintavankeuden sijaan matku</w:t>
            </w:r>
            <w:r>
              <w:t>s</w:t>
            </w:r>
            <w:r>
              <w:t>tuskielto sopii huonosti niissä tapauksissa, joissa on todellinen tutkinnan</w:t>
            </w:r>
          </w:p>
          <w:p w:rsidR="003D588D" w:rsidRDefault="00430009" w:rsidP="003D588D">
            <w:pPr>
              <w:pStyle w:val="Sis2"/>
            </w:pPr>
            <w:r>
              <w:t>vaikeuttamisen vaara. Henkilön liikkumisen valvonta ei poista vaikeuttam</w:t>
            </w:r>
            <w:r>
              <w:t>i</w:t>
            </w:r>
            <w:r>
              <w:t>sen mahdollisuutta, koska se voi tapahtua mil</w:t>
            </w:r>
            <w:r>
              <w:t>lä tahansa tiedonsiirtoväl</w:t>
            </w:r>
            <w:r>
              <w:t>i</w:t>
            </w:r>
            <w:r>
              <w:t>neellä. Muissa tapauksissa, kuten paon- tai rikollisen toiminnan jatkami</w:t>
            </w:r>
            <w:r>
              <w:t>s</w:t>
            </w:r>
            <w:r>
              <w:t>vaaran ollessa kyseessä, matkustuskielto sopii käytettäväksi vangitsem</w:t>
            </w:r>
            <w:r>
              <w:t>i</w:t>
            </w:r>
            <w:r>
              <w:t>sen sijasta, kun pakkokeinolla halutaan ensisijaisesti vain rajoittaa henkilön</w:t>
            </w:r>
          </w:p>
          <w:p w:rsidR="003D588D" w:rsidRDefault="00430009" w:rsidP="003D588D">
            <w:pPr>
              <w:pStyle w:val="Sis2"/>
            </w:pPr>
            <w:r>
              <w:t>liikku</w:t>
            </w:r>
            <w:r>
              <w:t>mista.</w:t>
            </w:r>
          </w:p>
          <w:p w:rsidR="003D588D" w:rsidRDefault="00430009" w:rsidP="003D588D">
            <w:pPr>
              <w:pStyle w:val="Sis2"/>
            </w:pPr>
          </w:p>
          <w:p w:rsidR="003D588D" w:rsidRDefault="00430009" w:rsidP="003D588D">
            <w:pPr>
              <w:pStyle w:val="Sis2"/>
            </w:pPr>
            <w:r>
              <w:t>Matkustuskiellon valvomisen kannalta on ensiarvoisen tärkeää, että siinä</w:t>
            </w:r>
          </w:p>
          <w:p w:rsidR="003D588D" w:rsidRDefault="00430009" w:rsidP="003D588D">
            <w:pPr>
              <w:pStyle w:val="Sis2"/>
            </w:pPr>
            <w:r>
              <w:t>voidaan hyödyntää tekniikkaa. Tämän avulla voidaan hyvin nopeasti selvi</w:t>
            </w:r>
            <w:r>
              <w:t>t</w:t>
            </w:r>
            <w:r>
              <w:t>tää matkustuskiellon ehtojen noudattaminen ja puuttua mahdollisiin vääri</w:t>
            </w:r>
            <w:r>
              <w:t>n</w:t>
            </w:r>
            <w:r>
              <w:t>käytöksiin.</w:t>
            </w:r>
          </w:p>
          <w:p w:rsidR="003D588D" w:rsidRDefault="00430009" w:rsidP="003D588D">
            <w:pPr>
              <w:pStyle w:val="Sis2"/>
            </w:pPr>
          </w:p>
          <w:p w:rsidR="003D588D" w:rsidRDefault="00430009" w:rsidP="003D588D">
            <w:r w:rsidRPr="003D588D">
              <w:t>Tutkinta-aresti</w:t>
            </w:r>
            <w:r>
              <w:t xml:space="preserve">                    Tutkintavankeuden ja matkustuskiellon sijasta on hyvä kehittää muitakin</w:t>
            </w:r>
          </w:p>
          <w:p w:rsidR="003D588D" w:rsidRDefault="00430009" w:rsidP="003D588D">
            <w:pPr>
              <w:pStyle w:val="Sis2"/>
            </w:pPr>
            <w:r>
              <w:t>vaihtoehtoja ja esim. valvottu tutkinta-aresti on hyvä muutos.</w:t>
            </w:r>
          </w:p>
          <w:p w:rsidR="003D588D" w:rsidRDefault="00430009" w:rsidP="003D588D">
            <w:pPr>
              <w:pStyle w:val="Sis2"/>
            </w:pPr>
          </w:p>
          <w:p w:rsidR="003D588D" w:rsidRPr="000D40B3" w:rsidRDefault="00430009" w:rsidP="003D588D">
            <w:r w:rsidRPr="000D40B3">
              <w:t>Poliisin tiloissa säilytettävät tutkintavangit</w:t>
            </w:r>
          </w:p>
          <w:p w:rsidR="003D588D" w:rsidRDefault="00430009" w:rsidP="003D588D">
            <w:pPr>
              <w:pStyle w:val="Sis2"/>
            </w:pPr>
          </w:p>
          <w:p w:rsidR="003D588D" w:rsidRDefault="00430009" w:rsidP="003D588D">
            <w:pPr>
              <w:pStyle w:val="Sis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Lisäkustannuksia poliisille syntyy kuljetuksista. Jo</w:t>
            </w:r>
            <w:r>
              <w:rPr>
                <w:rFonts w:ascii="ArialMT" w:hAnsi="ArialMT" w:cs="ArialMT"/>
              </w:rPr>
              <w:t>s tutkintavanki tuodaan vankilasta poliisiasemalle esitutkintatoimenpiteitä varten, poliisi joutuu no</w:t>
            </w:r>
            <w:r>
              <w:rPr>
                <w:rFonts w:ascii="ArialMT" w:hAnsi="ArialMT" w:cs="ArialMT"/>
              </w:rPr>
              <w:t>u</w:t>
            </w:r>
            <w:r>
              <w:rPr>
                <w:rFonts w:ascii="ArialMT" w:hAnsi="ArialMT" w:cs="ArialMT"/>
              </w:rPr>
              <w:t>tamaan tutkintavangin vankilasta ja palauttamaan takaisin. Kustannuksiin vaikuttaa moni seikka, kuten poliisiaseman ja vankilan välinen etäisyys, kuljetus</w:t>
            </w:r>
            <w:r>
              <w:rPr>
                <w:rFonts w:ascii="ArialMT" w:hAnsi="ArialMT" w:cs="ArialMT"/>
              </w:rPr>
              <w:t>kertojen määrä, käytettävä ajoneuvokalusto ja henkilöstö.</w:t>
            </w:r>
          </w:p>
          <w:p w:rsidR="003D588D" w:rsidRDefault="00430009" w:rsidP="003D588D">
            <w:pPr>
              <w:pStyle w:val="Sis2"/>
              <w:rPr>
                <w:rFonts w:ascii="ArialMT" w:hAnsi="ArialMT" w:cs="ArialMT"/>
              </w:rPr>
            </w:pPr>
          </w:p>
          <w:p w:rsidR="003D588D" w:rsidRDefault="00430009" w:rsidP="003D588D">
            <w:pPr>
              <w:pStyle w:val="Sis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Kuljetuksissa käytettävä henkilöstö ja ajoneuvot ovat kylläkin todennäkö</w:t>
            </w:r>
            <w:r>
              <w:rPr>
                <w:rFonts w:ascii="ArialMT" w:hAnsi="ArialMT" w:cs="ArialMT"/>
              </w:rPr>
              <w:t>i</w:t>
            </w:r>
            <w:r>
              <w:rPr>
                <w:rFonts w:ascii="ArialMT" w:hAnsi="ArialMT" w:cs="ArialMT"/>
              </w:rPr>
              <w:t>sesti niitä, joita muutoinkin poliisitoiminnassa käytetään, joten käytännössä suuria ylimääräisiä kustannuksia ei kuljetuksi</w:t>
            </w:r>
            <w:r>
              <w:rPr>
                <w:rFonts w:ascii="ArialMT" w:hAnsi="ArialMT" w:cs="ArialMT"/>
              </w:rPr>
              <w:t>sta välttämättä aiheudu. Tä</w:t>
            </w:r>
            <w:r>
              <w:rPr>
                <w:rFonts w:ascii="ArialMT" w:hAnsi="ArialMT" w:cs="ArialMT"/>
              </w:rPr>
              <w:t>r</w:t>
            </w:r>
            <w:r>
              <w:rPr>
                <w:rFonts w:ascii="ArialMT" w:hAnsi="ArialMT" w:cs="ArialMT"/>
              </w:rPr>
              <w:t>keänä näkökohtana on kuitenkin pidettävä sitä, että kuljetuksiin käytetty työaika ja ajoneuvokalusto ovat pois jostakin muusta poliisille kuuluvasta toiminnasta.</w:t>
            </w:r>
          </w:p>
          <w:p w:rsidR="003D588D" w:rsidRDefault="00430009" w:rsidP="003D588D">
            <w:pPr>
              <w:pStyle w:val="Sis2"/>
              <w:rPr>
                <w:rFonts w:ascii="ArialMT" w:hAnsi="ArialMT" w:cs="ArialMT"/>
              </w:rPr>
            </w:pPr>
          </w:p>
          <w:p w:rsidR="003D588D" w:rsidRDefault="00430009" w:rsidP="003D588D">
            <w:pPr>
              <w:pStyle w:val="Sis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lastRenderedPageBreak/>
              <w:t>Jos esitutkintaa jatketaan vankilassa, tutkija ja usein myös kuul</w:t>
            </w:r>
            <w:r>
              <w:rPr>
                <w:rFonts w:ascii="ArialMT" w:hAnsi="ArialMT" w:cs="ArialMT"/>
              </w:rPr>
              <w:t>ustelutodi</w:t>
            </w:r>
            <w:r>
              <w:rPr>
                <w:rFonts w:ascii="ArialMT" w:hAnsi="ArialMT" w:cs="ArialMT"/>
              </w:rPr>
              <w:t>s</w:t>
            </w:r>
            <w:r>
              <w:rPr>
                <w:rFonts w:ascii="ArialMT" w:hAnsi="ArialMT" w:cs="ArialMT"/>
              </w:rPr>
              <w:t>taja matkustavat vankilaan esitutkinnan jatkamista varten. Todennäköisesti matkat tehdään poliisin ajoneuvoilla. Tällöinkin käytetty työaika on pois jo</w:t>
            </w:r>
            <w:r>
              <w:rPr>
                <w:rFonts w:ascii="ArialMT" w:hAnsi="ArialMT" w:cs="ArialMT"/>
              </w:rPr>
              <w:t>s</w:t>
            </w:r>
            <w:r>
              <w:rPr>
                <w:rFonts w:ascii="ArialMT" w:hAnsi="ArialMT" w:cs="ArialMT"/>
              </w:rPr>
              <w:t>takin muusta poliisille kuuluvasta toiminnasta.</w:t>
            </w:r>
          </w:p>
          <w:p w:rsidR="003D588D" w:rsidRDefault="00430009" w:rsidP="003D588D">
            <w:pPr>
              <w:pStyle w:val="Sis2"/>
              <w:rPr>
                <w:rFonts w:ascii="ArialMT" w:hAnsi="ArialMT" w:cs="ArialMT"/>
              </w:rPr>
            </w:pPr>
          </w:p>
          <w:p w:rsidR="003D588D" w:rsidRDefault="00430009" w:rsidP="003D588D">
            <w:pPr>
              <w:pStyle w:val="Sis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Tutkintavankien säilyttämisajan lyhentäminen</w:t>
            </w:r>
            <w:r>
              <w:rPr>
                <w:rFonts w:ascii="ArialMT" w:hAnsi="ArialMT" w:cs="ArialMT"/>
              </w:rPr>
              <w:t xml:space="preserve"> poliisivankilassa saattaa va</w:t>
            </w:r>
            <w:r>
              <w:rPr>
                <w:rFonts w:ascii="ArialMT" w:hAnsi="ArialMT" w:cs="ArialMT"/>
              </w:rPr>
              <w:t>i</w:t>
            </w:r>
            <w:r>
              <w:rPr>
                <w:rFonts w:ascii="ArialMT" w:hAnsi="ArialMT" w:cs="ArialMT"/>
              </w:rPr>
              <w:t>kuttaa merkittävästikin rikosten selvittämisprosentteihin, paljastettujen r</w:t>
            </w:r>
            <w:r>
              <w:rPr>
                <w:rFonts w:ascii="ArialMT" w:hAnsi="ArialMT" w:cs="ArialMT"/>
              </w:rPr>
              <w:t>i</w:t>
            </w:r>
            <w:r>
              <w:rPr>
                <w:rFonts w:ascii="ArialMT" w:hAnsi="ArialMT" w:cs="ArialMT"/>
              </w:rPr>
              <w:t>kosten määrään, esitutkinnan kestoon ja jopa tutkintavankeusajan piten</w:t>
            </w:r>
            <w:r>
              <w:rPr>
                <w:rFonts w:ascii="ArialMT" w:hAnsi="ArialMT" w:cs="ArialMT"/>
              </w:rPr>
              <w:t>e</w:t>
            </w:r>
            <w:r>
              <w:rPr>
                <w:rFonts w:ascii="ArialMT" w:hAnsi="ArialMT" w:cs="ArialMT"/>
              </w:rPr>
              <w:t>miseen.</w:t>
            </w:r>
          </w:p>
          <w:p w:rsidR="003D588D" w:rsidRDefault="00430009" w:rsidP="003D588D">
            <w:pPr>
              <w:pStyle w:val="Sis2"/>
              <w:rPr>
                <w:rFonts w:ascii="ArialMT" w:hAnsi="ArialMT" w:cs="ArialMT"/>
              </w:rPr>
            </w:pPr>
          </w:p>
          <w:p w:rsidR="003D588D" w:rsidRDefault="00430009" w:rsidP="003D588D">
            <w:pPr>
              <w:pStyle w:val="Sis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Edellä mainituista syistä poliisilaitos ei puolla työryhmän esityksen </w:t>
            </w:r>
            <w:r>
              <w:rPr>
                <w:rFonts w:ascii="ArialMT" w:hAnsi="ArialMT" w:cs="ArialMT"/>
              </w:rPr>
              <w:t>tätä kohtaa, vaan katsoo, että vaihtoehtoja järjestelyjen saattamiseksi kansai</w:t>
            </w:r>
            <w:r>
              <w:rPr>
                <w:rFonts w:ascii="ArialMT" w:hAnsi="ArialMT" w:cs="ArialMT"/>
              </w:rPr>
              <w:t>n</w:t>
            </w:r>
            <w:r>
              <w:rPr>
                <w:rFonts w:ascii="ArialMT" w:hAnsi="ArialMT" w:cs="ArialMT"/>
              </w:rPr>
              <w:t>välisten ihmisoikeuksien valvontaelinten edellyttämälle tasolle tulisi vielä selvittää.</w:t>
            </w:r>
          </w:p>
          <w:p w:rsidR="003D588D" w:rsidRDefault="00430009" w:rsidP="003D588D">
            <w:pPr>
              <w:pStyle w:val="Sis2"/>
              <w:rPr>
                <w:rFonts w:ascii="ArialMT" w:hAnsi="ArialMT" w:cs="ArialMT"/>
              </w:rPr>
            </w:pPr>
          </w:p>
          <w:p w:rsidR="003D588D" w:rsidRPr="00367A20" w:rsidRDefault="00430009" w:rsidP="003D588D">
            <w:r w:rsidRPr="00367A20">
              <w:t>Riippuvuus muista esityksistä</w:t>
            </w:r>
          </w:p>
          <w:p w:rsidR="003D588D" w:rsidRDefault="00430009" w:rsidP="003D588D">
            <w:pPr>
              <w:pStyle w:val="Sis2"/>
              <w:rPr>
                <w:rFonts w:ascii="ArialMT" w:hAnsi="ArialMT" w:cs="ArialMT"/>
              </w:rPr>
            </w:pPr>
          </w:p>
          <w:p w:rsidR="003D588D" w:rsidRDefault="00430009" w:rsidP="003D588D">
            <w:pPr>
              <w:pStyle w:val="Sis2"/>
            </w:pPr>
            <w:r>
              <w:t>Esitys on tarpeen sovittaa yhteen hallituksen esityksen (</w:t>
            </w:r>
            <w:r>
              <w:t>hankkeen) kanssa, joka koskee poliisin säilyttämien henkilöiden kohtelusta annetun lain muu</w:t>
            </w:r>
            <w:r>
              <w:t>t</w:t>
            </w:r>
            <w:r>
              <w:t>tamista.</w:t>
            </w:r>
          </w:p>
          <w:p w:rsidR="003D588D" w:rsidRDefault="00430009" w:rsidP="003D588D">
            <w:pPr>
              <w:pStyle w:val="Sis2"/>
            </w:pPr>
          </w:p>
          <w:p w:rsidR="003D588D" w:rsidRPr="00C1491A" w:rsidRDefault="00430009" w:rsidP="003D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1A">
              <w:t>Vanginkuljetusta koskevan tehtävä</w:t>
            </w:r>
            <w:r>
              <w:t>jaon selkeyttä</w:t>
            </w:r>
            <w:r w:rsidRPr="00C1491A">
              <w:t xml:space="preserve">minen poliisin ja Rikosseuraamuslaitoksen välillä </w:t>
            </w:r>
          </w:p>
          <w:p w:rsidR="003D588D" w:rsidRDefault="00430009" w:rsidP="003D588D">
            <w:pPr>
              <w:pStyle w:val="Sis2"/>
              <w:rPr>
                <w:rFonts w:ascii="ArialMT" w:hAnsi="ArialMT" w:cs="ArialMT"/>
              </w:rPr>
            </w:pPr>
          </w:p>
          <w:p w:rsidR="003D588D" w:rsidRDefault="00430009" w:rsidP="003D588D">
            <w:pPr>
              <w:pStyle w:val="Sis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Poliisilaitos kiinnittää huomiota työryhmän </w:t>
            </w:r>
            <w:r>
              <w:rPr>
                <w:rFonts w:ascii="ArialMT" w:hAnsi="ArialMT" w:cs="ArialMT"/>
              </w:rPr>
              <w:t>toimeksiannon 3. -kohtaan ja p</w:t>
            </w:r>
            <w:r>
              <w:rPr>
                <w:rFonts w:ascii="ArialMT" w:hAnsi="ArialMT" w:cs="ArialMT"/>
              </w:rPr>
              <w:t>i</w:t>
            </w:r>
            <w:r>
              <w:rPr>
                <w:rFonts w:ascii="ArialMT" w:hAnsi="ArialMT" w:cs="ArialMT"/>
              </w:rPr>
              <w:t xml:space="preserve">tää sen selvittämistä tärkeänä ja kiireellisenä. </w:t>
            </w:r>
          </w:p>
          <w:p w:rsidR="006E1FE9" w:rsidRPr="00BF7EEB" w:rsidRDefault="00430009" w:rsidP="003D588D">
            <w:pPr>
              <w:keepNext/>
              <w:autoSpaceDE w:val="0"/>
              <w:autoSpaceDN w:val="0"/>
              <w:adjustRightInd w:val="0"/>
              <w:spacing w:before="100" w:after="100"/>
              <w:ind w:left="2604"/>
              <w:outlineLvl w:val="2"/>
              <w:rPr>
                <w:rFonts w:cs="Arial"/>
              </w:rPr>
            </w:pPr>
          </w:p>
        </w:tc>
      </w:tr>
      <w:tr w:rsidR="00046B7C" w:rsidTr="006E1FE9">
        <w:tc>
          <w:tcPr>
            <w:tcW w:w="14640" w:type="dxa"/>
            <w:gridSpan w:val="2"/>
          </w:tcPr>
          <w:p w:rsidR="006E1FE9" w:rsidRPr="00BF7EEB" w:rsidRDefault="00430009" w:rsidP="00BF7EEB">
            <w:pPr>
              <w:ind w:left="1304"/>
              <w:rPr>
                <w:rFonts w:cs="Arial"/>
              </w:rPr>
            </w:pPr>
            <w:bookmarkStart w:id="2" w:name="dref"/>
            <w:bookmarkEnd w:id="1"/>
            <w:bookmarkEnd w:id="2"/>
          </w:p>
        </w:tc>
      </w:tr>
    </w:tbl>
    <w:p w:rsidR="006E1FE9" w:rsidRPr="00BF7EEB" w:rsidRDefault="00430009" w:rsidP="00586C00">
      <w:pPr>
        <w:pStyle w:val="Sis2"/>
        <w:rPr>
          <w:rFonts w:cs="Arial"/>
        </w:rPr>
      </w:pPr>
      <w:bookmarkStart w:id="3" w:name="DTITLE"/>
      <w:bookmarkEnd w:id="3"/>
    </w:p>
    <w:p w:rsidR="006E1FE9" w:rsidRPr="00BF7EEB" w:rsidRDefault="00430009" w:rsidP="00586C00">
      <w:pPr>
        <w:pStyle w:val="Sis2"/>
        <w:rPr>
          <w:rFonts w:cs="Arial"/>
        </w:rPr>
      </w:pPr>
    </w:p>
    <w:p w:rsidR="006E1FE9" w:rsidRPr="00BF7EEB" w:rsidRDefault="00430009" w:rsidP="00586C00">
      <w:pPr>
        <w:pStyle w:val="Sis2"/>
        <w:rPr>
          <w:rFonts w:cs="Arial"/>
        </w:rPr>
      </w:pPr>
      <w:r>
        <w:rPr>
          <w:rFonts w:cs="Arial"/>
          <w:noProof/>
        </w:rPr>
        <w:t>Poliisilakimies</w:t>
      </w:r>
      <w:r w:rsidRPr="00BF7EEB">
        <w:rPr>
          <w:rFonts w:cs="Arial"/>
          <w:noProof/>
        </w:rPr>
        <w:tab/>
      </w:r>
      <w:r w:rsidRPr="00BF7EEB">
        <w:rPr>
          <w:rFonts w:cs="Arial"/>
          <w:noProof/>
        </w:rPr>
        <w:tab/>
      </w:r>
      <w:r>
        <w:rPr>
          <w:rFonts w:cs="Arial"/>
          <w:noProof/>
        </w:rPr>
        <w:t>Jussi Högman</w:t>
      </w:r>
    </w:p>
    <w:p w:rsidR="006E1FE9" w:rsidRPr="00BF7EEB" w:rsidRDefault="00430009" w:rsidP="00586C00">
      <w:pPr>
        <w:pStyle w:val="Sis2"/>
        <w:rPr>
          <w:rFonts w:cs="Arial"/>
        </w:rPr>
      </w:pPr>
    </w:p>
    <w:p w:rsidR="006E1FE9" w:rsidRPr="00BF7EEB" w:rsidRDefault="00430009" w:rsidP="00586C00">
      <w:pPr>
        <w:pStyle w:val="Sis2"/>
        <w:rPr>
          <w:rFonts w:cs="Arial"/>
        </w:rPr>
      </w:pPr>
    </w:p>
    <w:p w:rsidR="006E1FE9" w:rsidRPr="00BF7EEB" w:rsidRDefault="00430009" w:rsidP="00586C00">
      <w:pPr>
        <w:pStyle w:val="Sis2"/>
        <w:rPr>
          <w:rFonts w:cs="Arial"/>
        </w:rPr>
      </w:pPr>
      <w:r w:rsidRPr="00BF7EEB">
        <w:rPr>
          <w:rFonts w:cs="Arial"/>
        </w:rPr>
        <w:fldChar w:fldCharType="begin"/>
      </w:r>
      <w:r w:rsidRPr="00BF7EEB">
        <w:rPr>
          <w:rFonts w:cs="Arial"/>
        </w:rPr>
        <w:instrText xml:space="preserve"> DOCPROPERTY  sm_allekirjoitusfraasi  \* MERGEFORMAT </w:instrText>
      </w:r>
      <w:r w:rsidRPr="00BF7EEB">
        <w:rPr>
          <w:rFonts w:cs="Arial"/>
        </w:rPr>
        <w:fldChar w:fldCharType="separate"/>
      </w:r>
      <w:r w:rsidRPr="00BF7EEB">
        <w:rPr>
          <w:rFonts w:cs="Arial"/>
          <w:bCs/>
        </w:rPr>
        <w:t xml:space="preserve">Asiakirja on sähköisesti allekirjoitettu Aspo-asianhallintajärjestelmässä. </w:t>
      </w:r>
      <w:r w:rsidRPr="00BF7EEB">
        <w:rPr>
          <w:rFonts w:cs="Arial"/>
        </w:rPr>
        <w:t xml:space="preserve">Lounais-Suomen poliisilaitos </w:t>
      </w:r>
      <w:proofErr w:type="gramStart"/>
      <w:r w:rsidRPr="00BF7EEB">
        <w:rPr>
          <w:rFonts w:cs="Arial"/>
        </w:rPr>
        <w:t>06.04.2016</w:t>
      </w:r>
      <w:proofErr w:type="gramEnd"/>
      <w:r w:rsidRPr="00BF7EEB">
        <w:rPr>
          <w:rFonts w:cs="Arial"/>
        </w:rPr>
        <w:t xml:space="preserve"> klo 09.56. Allekirjoituksen oikeell</w:t>
      </w:r>
      <w:r w:rsidRPr="00BF7EEB">
        <w:rPr>
          <w:rFonts w:cs="Arial"/>
        </w:rPr>
        <w:t>i</w:t>
      </w:r>
      <w:r w:rsidRPr="00BF7EEB">
        <w:rPr>
          <w:rFonts w:cs="Arial"/>
        </w:rPr>
        <w:t>suuden voi todentaa kirjaamosta.</w:t>
      </w:r>
      <w:r w:rsidRPr="00BF7EEB">
        <w:rPr>
          <w:rFonts w:cs="Arial"/>
          <w:bCs/>
        </w:rPr>
        <w:fldChar w:fldCharType="end"/>
      </w:r>
    </w:p>
    <w:p w:rsidR="006E1FE9" w:rsidRPr="00BF7EEB" w:rsidRDefault="00430009" w:rsidP="00586C00">
      <w:pPr>
        <w:pStyle w:val="Sis2"/>
        <w:rPr>
          <w:rFonts w:cs="Arial"/>
        </w:rPr>
      </w:pPr>
    </w:p>
    <w:sectPr w:rsidR="006E1FE9" w:rsidRPr="00BF7EEB" w:rsidSect="00F766FB">
      <w:headerReference w:type="default" r:id="rId11"/>
      <w:headerReference w:type="first" r:id="rId12"/>
      <w:footerReference w:type="first" r:id="rId13"/>
      <w:pgSz w:w="11906" w:h="16838" w:code="9"/>
      <w:pgMar w:top="2155" w:right="794" w:bottom="1077" w:left="1162" w:header="737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0009">
      <w:r>
        <w:separator/>
      </w:r>
    </w:p>
  </w:endnote>
  <w:endnote w:type="continuationSeparator" w:id="0">
    <w:p w:rsidR="00000000" w:rsidRDefault="0043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059" w:type="dxa"/>
      <w:tblBorders>
        <w:top w:val="nil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5324"/>
      <w:gridCol w:w="2014"/>
      <w:gridCol w:w="2721"/>
    </w:tblGrid>
    <w:tr w:rsidR="00046B7C" w:rsidTr="00E52C6B">
      <w:tc>
        <w:tcPr>
          <w:tcW w:w="5324" w:type="dxa"/>
        </w:tcPr>
        <w:p w:rsidR="006E1FE9" w:rsidRPr="00291180" w:rsidRDefault="00430009" w:rsidP="006852DC">
          <w:pPr>
            <w:pStyle w:val="ISOLLA"/>
          </w:pPr>
          <w:r>
            <w:t>Lounais-Suomen poliisilaitos</w:t>
          </w:r>
        </w:p>
      </w:tc>
      <w:tc>
        <w:tcPr>
          <w:tcW w:w="2014" w:type="dxa"/>
        </w:tcPr>
        <w:p w:rsidR="006E1FE9" w:rsidRPr="00291180" w:rsidRDefault="00430009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 w:val="restart"/>
          <w:tcMar>
            <w:left w:w="0" w:type="dxa"/>
            <w:right w:w="0" w:type="dxa"/>
          </w:tcMar>
          <w:vAlign w:val="bottom"/>
        </w:tcPr>
        <w:p w:rsidR="006E1FE9" w:rsidRPr="00DF737D" w:rsidRDefault="00430009" w:rsidP="003971C6">
          <w:pPr>
            <w:suppressAutoHyphens/>
            <w:jc w:val="right"/>
            <w:rPr>
              <w:b/>
              <w:color w:val="B6B6B6"/>
              <w:sz w:val="16"/>
              <w:szCs w:val="16"/>
            </w:rPr>
          </w:pPr>
          <w:r>
            <w:rPr>
              <w:b/>
              <w:color w:val="B6B6B6"/>
              <w:sz w:val="16"/>
              <w:szCs w:val="16"/>
            </w:rPr>
            <w:t>poliisi.fi/lounais-suomi</w:t>
          </w:r>
        </w:p>
      </w:tc>
    </w:tr>
    <w:tr w:rsidR="00046B7C" w:rsidTr="00E52C6B">
      <w:tc>
        <w:tcPr>
          <w:tcW w:w="5324" w:type="dxa"/>
        </w:tcPr>
        <w:p w:rsidR="006E1FE9" w:rsidRPr="00291180" w:rsidRDefault="00430009" w:rsidP="00DB3C3B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Eerikinkatu 40-42, PL 51, 20101 TURKU</w:t>
          </w:r>
        </w:p>
      </w:tc>
      <w:tc>
        <w:tcPr>
          <w:tcW w:w="2014" w:type="dxa"/>
        </w:tcPr>
        <w:p w:rsidR="006E1FE9" w:rsidRPr="00291180" w:rsidRDefault="00430009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:rsidR="006E1FE9" w:rsidRPr="002E451F" w:rsidRDefault="00430009" w:rsidP="006A2780">
          <w:pPr>
            <w:suppressAutoHyphens/>
            <w:jc w:val="right"/>
            <w:rPr>
              <w:sz w:val="15"/>
              <w:szCs w:val="15"/>
            </w:rPr>
          </w:pPr>
        </w:p>
      </w:tc>
    </w:tr>
    <w:tr w:rsidR="00046B7C" w:rsidTr="00E52C6B">
      <w:tc>
        <w:tcPr>
          <w:tcW w:w="5324" w:type="dxa"/>
        </w:tcPr>
        <w:p w:rsidR="006E1FE9" w:rsidRPr="00291180" w:rsidRDefault="00430009" w:rsidP="00DB3C3B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kirjaamo.lounais-suomi@poliisi.fi</w:t>
          </w:r>
        </w:p>
      </w:tc>
      <w:tc>
        <w:tcPr>
          <w:tcW w:w="2014" w:type="dxa"/>
        </w:tcPr>
        <w:p w:rsidR="006E1FE9" w:rsidRPr="00291180" w:rsidRDefault="00430009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:rsidR="006E1FE9" w:rsidRPr="002E451F" w:rsidRDefault="00430009" w:rsidP="006A2780">
          <w:pPr>
            <w:suppressAutoHyphens/>
            <w:jc w:val="right"/>
            <w:rPr>
              <w:sz w:val="15"/>
              <w:szCs w:val="15"/>
            </w:rPr>
          </w:pPr>
        </w:p>
      </w:tc>
    </w:tr>
    <w:tr w:rsidR="00046B7C" w:rsidTr="00E52C6B">
      <w:tc>
        <w:tcPr>
          <w:tcW w:w="5324" w:type="dxa"/>
        </w:tcPr>
        <w:p w:rsidR="006E1FE9" w:rsidRPr="00291180" w:rsidRDefault="00430009" w:rsidP="00DB3C3B">
          <w:pPr>
            <w:suppressAutoHyphens/>
            <w:rPr>
              <w:sz w:val="16"/>
              <w:szCs w:val="16"/>
            </w:rPr>
          </w:pPr>
          <w:r>
            <w:rPr>
              <w:sz w:val="16"/>
              <w:szCs w:val="16"/>
            </w:rPr>
            <w:t>Puh. 0295 440 501, Faksi 02 231 0620</w:t>
          </w:r>
        </w:p>
      </w:tc>
      <w:tc>
        <w:tcPr>
          <w:tcW w:w="2014" w:type="dxa"/>
        </w:tcPr>
        <w:p w:rsidR="006E1FE9" w:rsidRPr="00291180" w:rsidRDefault="00430009" w:rsidP="006A2780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:rsidR="006E1FE9" w:rsidRPr="002E451F" w:rsidRDefault="00430009" w:rsidP="006A2780">
          <w:pPr>
            <w:suppressAutoHyphens/>
            <w:jc w:val="right"/>
            <w:rPr>
              <w:sz w:val="15"/>
              <w:szCs w:val="15"/>
            </w:rPr>
          </w:pPr>
        </w:p>
      </w:tc>
    </w:tr>
  </w:tbl>
  <w:p w:rsidR="006E1FE9" w:rsidRPr="006E1FE9" w:rsidRDefault="00430009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0009">
      <w:r>
        <w:separator/>
      </w:r>
    </w:p>
  </w:footnote>
  <w:footnote w:type="continuationSeparator" w:id="0">
    <w:p w:rsidR="00000000" w:rsidRDefault="0043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unnistetaulukot"/>
      <w:tblW w:w="1026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75"/>
      <w:gridCol w:w="2591"/>
      <w:gridCol w:w="1701"/>
      <w:gridCol w:w="902"/>
    </w:tblGrid>
    <w:tr w:rsidR="00046B7C" w:rsidTr="00902BA0">
      <w:tc>
        <w:tcPr>
          <w:tcW w:w="5075" w:type="dxa"/>
        </w:tcPr>
        <w:p w:rsidR="006E1FE9" w:rsidRDefault="00430009" w:rsidP="00B438B7"/>
      </w:tc>
      <w:tc>
        <w:tcPr>
          <w:tcW w:w="2591" w:type="dxa"/>
        </w:tcPr>
        <w:p w:rsidR="006E1FE9" w:rsidRPr="00043D7D" w:rsidRDefault="00430009" w:rsidP="005424F0">
          <w:pPr>
            <w:rPr>
              <w:b/>
            </w:rPr>
          </w:pPr>
          <w:bookmarkStart w:id="4" w:name="dname_cont"/>
          <w:r>
            <w:rPr>
              <w:b/>
            </w:rPr>
            <w:t>Lausunto</w:t>
          </w:r>
          <w:bookmarkEnd w:id="4"/>
        </w:p>
      </w:tc>
      <w:tc>
        <w:tcPr>
          <w:tcW w:w="1701" w:type="dxa"/>
          <w:vAlign w:val="bottom"/>
        </w:tcPr>
        <w:p w:rsidR="006E1FE9" w:rsidRPr="005E3C38" w:rsidRDefault="00430009" w:rsidP="00902BA0">
          <w:pPr>
            <w:rPr>
              <w:sz w:val="18"/>
            </w:rPr>
          </w:pPr>
          <w:bookmarkStart w:id="5" w:name="dnumber_cont"/>
          <w:bookmarkEnd w:id="5"/>
        </w:p>
      </w:tc>
      <w:bookmarkStart w:id="6" w:name="dfieldpages_cont"/>
      <w:tc>
        <w:tcPr>
          <w:tcW w:w="902" w:type="dxa"/>
        </w:tcPr>
        <w:p w:rsidR="006E1FE9" w:rsidRDefault="00430009" w:rsidP="005424F0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  <w:bookmarkEnd w:id="6"/>
        </w:p>
      </w:tc>
    </w:tr>
    <w:tr w:rsidR="00046B7C" w:rsidTr="00043D7D">
      <w:tc>
        <w:tcPr>
          <w:tcW w:w="5075" w:type="dxa"/>
        </w:tcPr>
        <w:p w:rsidR="006E1FE9" w:rsidRDefault="00430009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:rsidR="006E1FE9" w:rsidRDefault="00430009" w:rsidP="005424F0">
          <w:pPr>
            <w:pStyle w:val="Yltunniste"/>
            <w:tabs>
              <w:tab w:val="clear" w:pos="4819"/>
              <w:tab w:val="clear" w:pos="9638"/>
            </w:tabs>
          </w:pPr>
          <w:bookmarkStart w:id="7" w:name="dclass_cont"/>
          <w:bookmarkEnd w:id="7"/>
        </w:p>
      </w:tc>
      <w:tc>
        <w:tcPr>
          <w:tcW w:w="2603" w:type="dxa"/>
          <w:gridSpan w:val="2"/>
        </w:tcPr>
        <w:p w:rsidR="006E1FE9" w:rsidRDefault="00430009" w:rsidP="005424F0">
          <w:pPr>
            <w:pStyle w:val="Yltunniste"/>
            <w:tabs>
              <w:tab w:val="clear" w:pos="4819"/>
              <w:tab w:val="clear" w:pos="9638"/>
            </w:tabs>
          </w:pPr>
          <w:bookmarkStart w:id="8" w:name="dencl_cont"/>
          <w:bookmarkEnd w:id="8"/>
        </w:p>
      </w:tc>
    </w:tr>
    <w:tr w:rsidR="00046B7C" w:rsidTr="00043D7D">
      <w:tc>
        <w:tcPr>
          <w:tcW w:w="5075" w:type="dxa"/>
        </w:tcPr>
        <w:p w:rsidR="006E1FE9" w:rsidRDefault="00430009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:rsidR="006E1FE9" w:rsidRDefault="00430009" w:rsidP="005424F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:rsidR="006E1FE9" w:rsidRDefault="00430009" w:rsidP="005424F0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046B7C" w:rsidTr="00043D7D">
      <w:tc>
        <w:tcPr>
          <w:tcW w:w="5075" w:type="dxa"/>
        </w:tcPr>
        <w:p w:rsidR="006E1FE9" w:rsidRDefault="00430009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:rsidR="006E1FE9" w:rsidRDefault="00430009" w:rsidP="005424F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:rsidR="006E1FE9" w:rsidRDefault="00430009" w:rsidP="005424F0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:rsidR="006E1FE9" w:rsidRPr="00385B18" w:rsidRDefault="00430009" w:rsidP="00153B0C">
    <w:pPr>
      <w:rPr>
        <w:sz w:val="2"/>
        <w:szCs w:val="2"/>
      </w:rPr>
    </w:pPr>
  </w:p>
  <w:p w:rsidR="006E1FE9" w:rsidRDefault="00430009">
    <w:pPr>
      <w:pStyle w:val="Yltunniste"/>
      <w:rPr>
        <w:sz w:val="2"/>
      </w:rPr>
    </w:pPr>
    <w:r w:rsidRPr="006E1FE9">
      <w:rPr>
        <w:noProof/>
        <w:sz w:val="2"/>
        <w:lang w:eastAsia="fi-FI"/>
      </w:rPr>
      <w:drawing>
        <wp:anchor distT="0" distB="0" distL="114300" distR="114300" simplePos="0" relativeHeight="251661312" behindDoc="0" locked="0" layoutInCell="1" allowOverlap="1" wp14:anchorId="749268AA" wp14:editId="2FC63CF2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409700" cy="632460"/>
          <wp:effectExtent l="0" t="0" r="0" b="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_itauusim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1FE9" w:rsidRPr="006E1FE9" w:rsidRDefault="0043000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unnistetaulukot"/>
      <w:tblW w:w="1026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75"/>
      <w:gridCol w:w="2591"/>
      <w:gridCol w:w="1701"/>
      <w:gridCol w:w="902"/>
    </w:tblGrid>
    <w:tr w:rsidR="00046B7C" w:rsidTr="00902BA0">
      <w:tc>
        <w:tcPr>
          <w:tcW w:w="5075" w:type="dxa"/>
        </w:tcPr>
        <w:p w:rsidR="006E1FE9" w:rsidRDefault="00430009" w:rsidP="00B438B7">
          <w:pPr>
            <w:rPr>
              <w:noProof/>
            </w:rPr>
          </w:pPr>
        </w:p>
      </w:tc>
      <w:tc>
        <w:tcPr>
          <w:tcW w:w="2591" w:type="dxa"/>
        </w:tcPr>
        <w:p w:rsidR="006E1FE9" w:rsidRPr="00043D7D" w:rsidRDefault="00430009" w:rsidP="005424F0">
          <w:pPr>
            <w:rPr>
              <w:b/>
              <w:noProof/>
            </w:rPr>
          </w:pPr>
          <w:bookmarkStart w:id="9" w:name="dname"/>
          <w:r>
            <w:rPr>
              <w:b/>
              <w:noProof/>
            </w:rPr>
            <w:t>Lausunto</w:t>
          </w:r>
          <w:bookmarkEnd w:id="9"/>
        </w:p>
      </w:tc>
      <w:tc>
        <w:tcPr>
          <w:tcW w:w="1701" w:type="dxa"/>
          <w:vAlign w:val="bottom"/>
        </w:tcPr>
        <w:p w:rsidR="006E1FE9" w:rsidRPr="005E3C38" w:rsidRDefault="00430009" w:rsidP="00902BA0">
          <w:pPr>
            <w:rPr>
              <w:noProof/>
              <w:sz w:val="18"/>
            </w:rPr>
          </w:pPr>
          <w:bookmarkStart w:id="10" w:name="dnumber"/>
          <w:bookmarkEnd w:id="10"/>
        </w:p>
      </w:tc>
      <w:bookmarkStart w:id="11" w:name="dfieldpages"/>
      <w:tc>
        <w:tcPr>
          <w:tcW w:w="902" w:type="dxa"/>
        </w:tcPr>
        <w:p w:rsidR="006E1FE9" w:rsidRDefault="00430009" w:rsidP="005424F0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  <w:bookmarkEnd w:id="11"/>
        </w:p>
      </w:tc>
    </w:tr>
    <w:tr w:rsidR="00046B7C" w:rsidTr="00043D7D">
      <w:tc>
        <w:tcPr>
          <w:tcW w:w="5075" w:type="dxa"/>
        </w:tcPr>
        <w:p w:rsidR="006E1FE9" w:rsidRDefault="00430009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:rsidR="006E1FE9" w:rsidRDefault="00430009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2" w:name="dclass"/>
          <w:bookmarkEnd w:id="12"/>
        </w:p>
      </w:tc>
      <w:tc>
        <w:tcPr>
          <w:tcW w:w="2603" w:type="dxa"/>
          <w:gridSpan w:val="2"/>
        </w:tcPr>
        <w:p w:rsidR="006E1FE9" w:rsidRDefault="00430009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3" w:name="dencl"/>
          <w:bookmarkEnd w:id="13"/>
        </w:p>
      </w:tc>
    </w:tr>
    <w:tr w:rsidR="00046B7C" w:rsidTr="00043D7D">
      <w:tc>
        <w:tcPr>
          <w:tcW w:w="5075" w:type="dxa"/>
        </w:tcPr>
        <w:p w:rsidR="006E1FE9" w:rsidRDefault="00430009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:rsidR="006E1FE9" w:rsidRDefault="00430009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3" w:type="dxa"/>
          <w:gridSpan w:val="2"/>
        </w:tcPr>
        <w:p w:rsidR="006E1FE9" w:rsidRDefault="00430009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046B7C" w:rsidTr="00043D7D">
      <w:tc>
        <w:tcPr>
          <w:tcW w:w="5075" w:type="dxa"/>
        </w:tcPr>
        <w:p w:rsidR="006E1FE9" w:rsidRDefault="00430009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:rsidR="006E1FE9" w:rsidRDefault="00430009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4" w:name="ddate"/>
          <w:r>
            <w:rPr>
              <w:noProof/>
            </w:rPr>
            <w:t>06.04.2016</w:t>
          </w:r>
          <w:bookmarkEnd w:id="14"/>
        </w:p>
      </w:tc>
      <w:tc>
        <w:tcPr>
          <w:tcW w:w="2603" w:type="dxa"/>
          <w:gridSpan w:val="2"/>
        </w:tcPr>
        <w:p w:rsidR="006E1FE9" w:rsidRDefault="00430009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5" w:name="dcode"/>
          <w:r>
            <w:rPr>
              <w:noProof/>
            </w:rPr>
            <w:t>POL-2016-2784</w:t>
          </w:r>
          <w:bookmarkEnd w:id="15"/>
        </w:p>
      </w:tc>
    </w:tr>
  </w:tbl>
  <w:p w:rsidR="006E1FE9" w:rsidRPr="00385B18" w:rsidRDefault="00430009" w:rsidP="00153B0C">
    <w:pPr>
      <w:rPr>
        <w:noProof/>
        <w:sz w:val="2"/>
        <w:szCs w:val="2"/>
      </w:rPr>
    </w:pPr>
  </w:p>
  <w:p w:rsidR="00A87A76" w:rsidRDefault="00430009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r w:rsidRPr="006E1FE9">
      <w:rPr>
        <w:noProof/>
        <w:sz w:val="2"/>
        <w:szCs w:val="2"/>
        <w:lang w:eastAsia="fi-FI"/>
      </w:rPr>
      <w:drawing>
        <wp:anchor distT="0" distB="0" distL="114300" distR="114300" simplePos="0" relativeHeight="251659264" behindDoc="0" locked="0" layoutInCell="1" allowOverlap="1" wp14:anchorId="36000030" wp14:editId="39140BA7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409700" cy="632460"/>
          <wp:effectExtent l="0" t="0" r="0" b="0"/>
          <wp:wrapNone/>
          <wp:docPr id="4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_itauusim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1FE9" w:rsidRPr="006E1FE9" w:rsidRDefault="00430009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>
    <w:nsid w:val="18D270FE"/>
    <w:multiLevelType w:val="singleLevel"/>
    <w:tmpl w:val="7CA0AE10"/>
    <w:lvl w:ilvl="0">
      <w:start w:val="1"/>
      <w:numFmt w:val="lowerLetter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194455"/>
    <w:multiLevelType w:val="singleLevel"/>
    <w:tmpl w:val="D89C6B00"/>
    <w:lvl w:ilvl="0">
      <w:start w:val="1"/>
      <w:numFmt w:val="lowerLetter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8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9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1">
    <w:nsid w:val="60B30E23"/>
    <w:multiLevelType w:val="singleLevel"/>
    <w:tmpl w:val="23C45F1E"/>
    <w:lvl w:ilvl="0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2">
    <w:nsid w:val="636A1B6E"/>
    <w:multiLevelType w:val="singleLevel"/>
    <w:tmpl w:val="E93C2F22"/>
    <w:lvl w:ilvl="0">
      <w:start w:val="1"/>
      <w:numFmt w:val="decimal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</w:abstractNum>
  <w:abstractNum w:abstractNumId="23">
    <w:nsid w:val="65BA6F29"/>
    <w:multiLevelType w:val="singleLevel"/>
    <w:tmpl w:val="3AB83442"/>
    <w:lvl w:ilvl="0">
      <w:start w:val="1"/>
      <w:numFmt w:val="decimal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</w:abstractNum>
  <w:abstractNum w:abstractNumId="24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5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8"/>
  </w:num>
  <w:num w:numId="18">
    <w:abstractNumId w:val="17"/>
  </w:num>
  <w:num w:numId="19">
    <w:abstractNumId w:val="13"/>
  </w:num>
  <w:num w:numId="20">
    <w:abstractNumId w:val="16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vAddress" w:val="1"/>
    <w:docVar w:name="dvAddressautotext" w:val="unit_bw"/>
    <w:docVar w:name="dvAddressAutotextTemplate" w:val="kat_address.dotx"/>
    <w:docVar w:name="dvAutotext" w:val="DefaultLetter"/>
    <w:docVar w:name="dvAutotextTemplate" w:val="kct_default.dotx"/>
    <w:docVar w:name="dvBookmarksAround" w:val="True"/>
    <w:docVar w:name="dvCategory" w:val="1"/>
    <w:docVar w:name="dvCategory_2" w:val="0"/>
    <w:docVar w:name="dvCategoryId" w:val="1"/>
    <w:docVar w:name="dvCompany" w:val="KIHL"/>
    <w:docVar w:name="dvContentFile" w:val="dd_default.xml"/>
    <w:docVar w:name="dvcurrentaddresslayout" w:val="unit_bw"/>
    <w:docVar w:name="dvcurrentaddresslayouttemplate" w:val="kat_address.dotx"/>
    <w:docVar w:name="dvCurrentHeaderNew" w:val="2"/>
    <w:docVar w:name="dvCurrentHeaderRibbon" w:val="no_text_bw"/>
    <w:docVar w:name="dvcurrentlogo" w:val="lounaissuomi_color"/>
    <w:docVar w:name="dvcurrentlogoautotextgallery" w:val="K01"/>
    <w:docVar w:name="dvcurrentlogocolor" w:val="1"/>
    <w:docVar w:name="dvcurrentlogopath" w:val="klo_logo.dotx"/>
    <w:docVar w:name="dvDefinition" w:val="101 (dd_default.xml)"/>
    <w:docVar w:name="dvDefinitionID" w:val="101"/>
    <w:docVar w:name="dvDefinitionVersion" w:val="2.0 / 08.10.2013"/>
    <w:docVar w:name="dvdisplayname" w:val="Kirje"/>
    <w:docVar w:name="dvDocumentType" w:val="GENERAL"/>
    <w:docVar w:name="dvduname" w:val="Irmeli Mäihämäki"/>
    <w:docVar w:name="dvEnclosures" w:val="0"/>
    <w:docVar w:name="dvEndTime" w:val="0"/>
    <w:docVar w:name="dvFormChangeDate" w:val="08.10.2013"/>
    <w:docVar w:name="dvFormParts" w:val="0"/>
    <w:docVar w:name="dvFormVerId" w:val="428.101.02.002"/>
    <w:docVar w:name="dvGlobalVerID" w:val="428.99.03.004"/>
    <w:docVar w:name="dvHeaderAutotext" w:val="no_text_bw"/>
    <w:docVar w:name="dvHeaderAutotextTemplate" w:val="kht_header.dotx"/>
    <w:docVar w:name="dvHeaderDefault" w:val="2"/>
    <w:docVar w:name="dvHeaderType" w:val="kameleon"/>
    <w:docVar w:name="dvIncludeRequired" w:val="0"/>
    <w:docVar w:name="dvIncludesCopyFields" w:val="0"/>
    <w:docVar w:name="dvIsLayout" w:val="0"/>
    <w:docVar w:name="dvKameleonVerId" w:val="428.11.03.001"/>
    <w:docVar w:name="dvLanguage" w:val="1035"/>
    <w:docVar w:name="dvNoAddress" w:val="0"/>
    <w:docVar w:name="dvNoAlandLogo" w:val="0"/>
    <w:docVar w:name="dvNoDate" w:val="0"/>
    <w:docVar w:name="dvNoLogo" w:val="0"/>
    <w:docVar w:name="dvNoSecurity" w:val="0"/>
    <w:docVar w:name="dvNumbering" w:val="0"/>
    <w:docVar w:name="dvPagenumbering" w:val="1"/>
    <w:docVar w:name="dvPrintOption" w:val="0"/>
    <w:docVar w:name="dvSecretAddition" w:val="perus"/>
    <w:docVar w:name="dvSite" w:val="Lounais-Suomen pl"/>
    <w:docVar w:name="dvStartPageNo" w:val="0"/>
    <w:docVar w:name="dvTemplate" w:val="klt_general.dotx"/>
    <w:docVar w:name="dvunitid" w:val="307"/>
    <w:docVar w:name="dvUsed" w:val="1"/>
    <w:docVar w:name="InclDefaultUnitFields" w:val="0"/>
  </w:docVars>
  <w:rsids>
    <w:rsidRoot w:val="00046B7C"/>
    <w:rsid w:val="00046B7C"/>
    <w:rsid w:val="004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E0392C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F766FB"/>
    <w:pPr>
      <w:keepNext/>
      <w:keepLines/>
      <w:numPr>
        <w:numId w:val="17"/>
      </w:numPr>
      <w:suppressAutoHyphens/>
      <w:spacing w:after="240"/>
      <w:outlineLvl w:val="0"/>
    </w:pPr>
    <w:rPr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F766FB"/>
    <w:pPr>
      <w:keepNext/>
      <w:keepLines/>
      <w:numPr>
        <w:ilvl w:val="1"/>
        <w:numId w:val="17"/>
      </w:numPr>
      <w:suppressAutoHyphens/>
      <w:spacing w:after="240"/>
      <w:outlineLvl w:val="1"/>
    </w:pPr>
    <w:rPr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F766FB"/>
    <w:pPr>
      <w:keepNext/>
      <w:keepLines/>
      <w:numPr>
        <w:ilvl w:val="2"/>
        <w:numId w:val="17"/>
      </w:numPr>
      <w:suppressAutoHyphens/>
      <w:spacing w:after="240"/>
      <w:outlineLvl w:val="2"/>
    </w:pPr>
    <w:rPr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414A57"/>
    <w:pPr>
      <w:keepNext/>
      <w:keepLines/>
      <w:numPr>
        <w:ilvl w:val="3"/>
        <w:numId w:val="17"/>
      </w:numPr>
      <w:spacing w:after="240"/>
      <w:outlineLvl w:val="3"/>
    </w:pPr>
    <w:rPr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414A57"/>
    <w:pPr>
      <w:keepNext/>
      <w:keepLines/>
      <w:numPr>
        <w:ilvl w:val="4"/>
        <w:numId w:val="17"/>
      </w:numPr>
      <w:spacing w:after="240"/>
      <w:outlineLvl w:val="4"/>
    </w:pPr>
  </w:style>
  <w:style w:type="paragraph" w:styleId="Otsikko6">
    <w:name w:val="heading 6"/>
    <w:basedOn w:val="Normaali"/>
    <w:next w:val="Normaali"/>
    <w:link w:val="Otsikko6Char"/>
    <w:uiPriority w:val="9"/>
    <w:semiHidden/>
    <w:rsid w:val="00414A57"/>
    <w:pPr>
      <w:keepNext/>
      <w:keepLines/>
      <w:numPr>
        <w:ilvl w:val="5"/>
        <w:numId w:val="17"/>
      </w:numPr>
      <w:spacing w:after="240"/>
      <w:outlineLvl w:val="5"/>
    </w:pPr>
    <w:rPr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414A57"/>
    <w:pPr>
      <w:keepNext/>
      <w:keepLines/>
      <w:numPr>
        <w:ilvl w:val="6"/>
        <w:numId w:val="17"/>
      </w:numPr>
      <w:spacing w:after="240"/>
      <w:outlineLvl w:val="6"/>
    </w:pPr>
    <w:rPr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414A57"/>
    <w:pPr>
      <w:keepNext/>
      <w:keepLines/>
      <w:numPr>
        <w:ilvl w:val="7"/>
        <w:numId w:val="17"/>
      </w:numPr>
      <w:spacing w:after="240"/>
      <w:outlineLvl w:val="7"/>
    </w:pPr>
    <w:rPr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414A57"/>
    <w:pPr>
      <w:keepNext/>
      <w:keepLines/>
      <w:numPr>
        <w:ilvl w:val="8"/>
        <w:numId w:val="17"/>
      </w:numPr>
      <w:spacing w:after="240"/>
      <w:outlineLvl w:val="8"/>
    </w:pPr>
    <w:rPr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="Cambria" w:hAnsi="Cambria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="Cambria" w:hAnsi="Cambria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F766FB"/>
    <w:rPr>
      <w:rFonts w:ascii="Arial" w:hAnsi="Arial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766FB"/>
    <w:rPr>
      <w:rFonts w:ascii="Arial" w:hAnsi="Arial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766FB"/>
    <w:rPr>
      <w:rFonts w:ascii="Arial" w:hAnsi="Arial"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14A57"/>
    <w:rPr>
      <w:rFonts w:ascii="Arial" w:hAnsi="Arial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14A57"/>
    <w:rPr>
      <w:rFonts w:ascii="Arial" w:hAnsi="Arial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14A57"/>
    <w:rPr>
      <w:rFonts w:ascii="Arial" w:hAnsi="Arial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14A57"/>
    <w:rPr>
      <w:rFonts w:ascii="Arial" w:hAnsi="Arial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14A57"/>
    <w:rPr>
      <w:rFonts w:ascii="Arial" w:hAnsi="Arial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14A57"/>
    <w:rPr>
      <w:rFonts w:ascii="Arial" w:hAnsi="Arial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="Cambria" w:hAnsi="Cambria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customStyle="1" w:styleId="Huomautuksenotsikko1">
    <w:name w:val="Huomautuksen otsikko1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1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="Cambria" w:hAnsi="Cambria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="Calibri" w:hAnsi="Calibr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="Cambria" w:hAnsi="Cambria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="Cambria" w:hAnsi="Cambria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="Cambria" w:hAnsi="Cambria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="Cambria" w:hAnsi="Cambria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="Cambria" w:hAnsi="Cambria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="Cambria" w:hAnsi="Cambria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="Cambria" w:hAnsi="Cambria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="Cambria" w:hAnsi="Cambria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="Cambria" w:hAnsi="Cambr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="Cambria" w:hAnsi="Cambr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="Cambria" w:hAnsi="Cambr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="Cambria" w:hAnsi="Cambr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="Cambria" w:hAnsi="Cambr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="Cambria" w:hAnsi="Cambr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="Cambria" w:hAnsi="Cambr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="Cambria" w:hAnsi="Cambr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="Cambria" w:hAnsi="Cambr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="Cambria" w:hAnsi="Cambr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="Cambria" w:hAnsi="Cambr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="Cambria" w:hAnsi="Cambr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="Cambria" w:hAnsi="Cambr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="Cambria" w:hAnsi="Cambr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cs="Cambria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hAnsi="Arial" w:cs="Cambria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Cambria" w:hAnsi="Cambr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="Cambria" w:hAnsi="Cambria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="Cambria" w:hAnsi="Cambria"/>
        <w:b/>
        <w:bCs/>
      </w:rPr>
    </w:tblStylePr>
    <w:tblStylePr w:type="lastCol">
      <w:rPr>
        <w:rFonts w:ascii="Cambria" w:hAnsi="Cambria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="Cambria" w:hAnsi="Cambr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="Cambria" w:hAnsi="Cambria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="Cambria" w:hAnsi="Cambria"/>
        <w:b/>
        <w:bCs/>
      </w:rPr>
    </w:tblStylePr>
    <w:tblStylePr w:type="lastCol">
      <w:rPr>
        <w:rFonts w:ascii="Cambria" w:hAnsi="Cambr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="Cambria" w:hAnsi="Cambria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="Cambria" w:hAnsi="Cambria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="Cambria" w:hAnsi="Cambria"/>
        <w:b/>
        <w:bCs/>
      </w:rPr>
    </w:tblStylePr>
    <w:tblStylePr w:type="lastCol">
      <w:rPr>
        <w:rFonts w:ascii="Cambria" w:hAnsi="Cambria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="Cambria" w:hAnsi="Cambr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="Cambria" w:hAnsi="Cambria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hAnsi="Cambria"/>
        <w:b/>
        <w:bCs/>
      </w:rPr>
    </w:tblStylePr>
    <w:tblStylePr w:type="lastCol">
      <w:rPr>
        <w:rFonts w:ascii="Cambria" w:hAnsi="Cambr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="Cambria" w:hAnsi="Cambria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="Cambria" w:hAnsi="Cambria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="Cambria" w:hAnsi="Cambria"/>
        <w:b/>
        <w:bCs/>
      </w:rPr>
    </w:tblStylePr>
    <w:tblStylePr w:type="lastCol">
      <w:rPr>
        <w:rFonts w:ascii="Cambria" w:hAnsi="Cambria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="Cambria" w:hAnsi="Cambria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="Cambria" w:hAnsi="Cambria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hAnsi="Cambria"/>
        <w:b/>
        <w:bCs/>
      </w:rPr>
    </w:tblStylePr>
    <w:tblStylePr w:type="lastCol">
      <w:rPr>
        <w:rFonts w:ascii="Cambria" w:hAnsi="Cambria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="Cambria" w:hAnsi="Cambr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="Cambria" w:hAnsi="Cambria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="Cambria" w:hAnsi="Cambria"/>
        <w:b/>
        <w:bCs/>
      </w:rPr>
    </w:tblStylePr>
    <w:tblStylePr w:type="lastCol">
      <w:rPr>
        <w:rFonts w:ascii="Cambria" w:hAnsi="Cambr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="Cambria" w:hAnsi="Cambria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rsid w:val="00E0392C"/>
    <w:pPr>
      <w:suppressAutoHyphens/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kursiivi">
    <w:name w:val="kursiivi"/>
    <w:basedOn w:val="Normaali"/>
    <w:rsid w:val="00F766FB"/>
    <w:rPr>
      <w:i/>
    </w:rPr>
  </w:style>
  <w:style w:type="paragraph" w:customStyle="1" w:styleId="ISOLLA">
    <w:name w:val="ISOLLA"/>
    <w:basedOn w:val="Normaali"/>
    <w:link w:val="ISOLLAChar"/>
    <w:qFormat/>
    <w:rsid w:val="006E1FE9"/>
    <w:pPr>
      <w:suppressAutoHyphens/>
    </w:pPr>
    <w:rPr>
      <w:caps/>
      <w:sz w:val="16"/>
      <w:szCs w:val="16"/>
    </w:rPr>
  </w:style>
  <w:style w:type="character" w:customStyle="1" w:styleId="ISOLLAChar">
    <w:name w:val="ISOLLA Char"/>
    <w:basedOn w:val="Kappaleenoletusfontti"/>
    <w:link w:val="ISOLLA"/>
    <w:rsid w:val="006E1FE9"/>
    <w:rPr>
      <w:rFonts w:ascii="Arial" w:hAnsi="Arial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oikeusministerio@om.f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Vakio-ominaisuudet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509D-AEDA-4751-99C3-C1D901D2D56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971ECBD-48F4-4210-B526-F17CB7FC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3254</Characters>
  <Application>Microsoft Office Word</Application>
  <DocSecurity>4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Poliisilaitos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Irmeli Mäihämäki</dc:creator>
  <cp:keywords>Lausunto, , , ,</cp:keywords>
  <cp:lastModifiedBy>Luomala Irene</cp:lastModifiedBy>
  <cp:revision>2</cp:revision>
  <cp:lastPrinted>2016-04-06T07:19:00Z</cp:lastPrinted>
  <dcterms:created xsi:type="dcterms:W3CDTF">2016-04-06T07:20:00Z</dcterms:created>
  <dcterms:modified xsi:type="dcterms:W3CDTF">2016-04-06T07:20:00Z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Aspo-asianhallintajärjestelmässä. Lounais-Suomen poliisilaitos 06.04.2016 klo 09.56. Allekirjoituksen oikeellisuuden voi todentaa kirjaamosta.</vt:lpwstr>
  </property>
  <property fmtid="{D5CDD505-2E9C-101B-9397-08002B2CF9AE}" pid="3" name="sm_asiaryhmä">
    <vt:lpwstr>00.90.01</vt:lpwstr>
  </property>
  <property fmtid="{D5CDD505-2E9C-101B-9397-08002B2CF9AE}" pid="4" name="sm_tila">
    <vt:lpwstr>Allekirjoitettu</vt:lpwstr>
  </property>
</Properties>
</file>