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E12" w:rsidRDefault="00083E12">
      <w:pPr>
        <w:rPr>
          <w:sz w:val="24"/>
          <w:szCs w:val="24"/>
          <w:lang w:val="fi-FI"/>
        </w:rPr>
      </w:pPr>
      <w:r>
        <w:rPr>
          <w:sz w:val="24"/>
          <w:szCs w:val="24"/>
          <w:lang w:val="fi-FI"/>
        </w:rPr>
        <w:tab/>
      </w:r>
      <w:r>
        <w:rPr>
          <w:sz w:val="24"/>
          <w:szCs w:val="24"/>
          <w:lang w:val="fi-FI"/>
        </w:rPr>
        <w:tab/>
      </w:r>
      <w:r>
        <w:rPr>
          <w:sz w:val="24"/>
          <w:szCs w:val="24"/>
          <w:lang w:val="fi-FI"/>
        </w:rPr>
        <w:tab/>
      </w:r>
      <w:r>
        <w:rPr>
          <w:sz w:val="24"/>
          <w:szCs w:val="24"/>
          <w:lang w:val="fi-FI"/>
        </w:rPr>
        <w:tab/>
      </w:r>
      <w:r>
        <w:rPr>
          <w:sz w:val="24"/>
          <w:szCs w:val="24"/>
          <w:lang w:val="fi-FI"/>
        </w:rPr>
        <w:tab/>
      </w:r>
      <w:r>
        <w:rPr>
          <w:sz w:val="24"/>
          <w:szCs w:val="24"/>
          <w:lang w:val="fi-FI"/>
        </w:rPr>
        <w:tab/>
      </w:r>
      <w:r>
        <w:rPr>
          <w:sz w:val="24"/>
          <w:szCs w:val="24"/>
          <w:lang w:val="fi-FI"/>
        </w:rPr>
        <w:tab/>
      </w:r>
      <w:r>
        <w:rPr>
          <w:sz w:val="24"/>
          <w:szCs w:val="24"/>
          <w:lang w:val="fi-FI"/>
        </w:rPr>
        <w:tab/>
      </w:r>
      <w:r>
        <w:rPr>
          <w:sz w:val="24"/>
          <w:szCs w:val="24"/>
          <w:lang w:val="fi-FI"/>
        </w:rPr>
        <w:tab/>
      </w:r>
      <w:r>
        <w:rPr>
          <w:sz w:val="24"/>
          <w:szCs w:val="24"/>
          <w:lang w:val="fi-FI"/>
        </w:rPr>
        <w:tab/>
        <w:t>29.3.2012</w:t>
      </w:r>
    </w:p>
    <w:p w:rsidR="00083E12" w:rsidRDefault="00083E12">
      <w:pPr>
        <w:rPr>
          <w:sz w:val="24"/>
          <w:szCs w:val="24"/>
          <w:lang w:val="fi-FI"/>
        </w:rPr>
      </w:pPr>
      <w:r>
        <w:rPr>
          <w:sz w:val="24"/>
          <w:szCs w:val="24"/>
          <w:lang w:val="fi-FI"/>
        </w:rPr>
        <w:t>Viite: Lausuntopyyntö 8.2.2012 luonnoksesta oikeusturvaohjelmaksi</w:t>
      </w:r>
    </w:p>
    <w:p w:rsidR="00083E12" w:rsidRDefault="00083E12">
      <w:pPr>
        <w:rPr>
          <w:sz w:val="24"/>
          <w:szCs w:val="24"/>
          <w:lang w:val="fi-FI"/>
        </w:rPr>
      </w:pPr>
    </w:p>
    <w:p w:rsidR="00083E12" w:rsidRDefault="00083E12">
      <w:pPr>
        <w:rPr>
          <w:sz w:val="32"/>
          <w:szCs w:val="32"/>
          <w:lang w:val="fi-FI"/>
        </w:rPr>
      </w:pPr>
      <w:r w:rsidRPr="00DB447A">
        <w:rPr>
          <w:sz w:val="32"/>
          <w:szCs w:val="32"/>
          <w:lang w:val="fi-FI"/>
        </w:rPr>
        <w:t>Oikeusministeriölle</w:t>
      </w:r>
    </w:p>
    <w:p w:rsidR="00083E12" w:rsidRDefault="00083E12">
      <w:pPr>
        <w:rPr>
          <w:sz w:val="32"/>
          <w:szCs w:val="32"/>
          <w:lang w:val="fi-FI"/>
        </w:rPr>
      </w:pPr>
    </w:p>
    <w:p w:rsidR="00083E12" w:rsidRDefault="00083E12" w:rsidP="00DB447A">
      <w:pPr>
        <w:jc w:val="both"/>
        <w:rPr>
          <w:sz w:val="24"/>
          <w:szCs w:val="24"/>
          <w:lang w:val="fi-FI"/>
        </w:rPr>
      </w:pPr>
      <w:r>
        <w:rPr>
          <w:sz w:val="24"/>
          <w:szCs w:val="24"/>
          <w:lang w:val="fi-FI"/>
        </w:rPr>
        <w:t>Kiitän oikeusministeriötä mahdollisuudesta antaa lausunto oikeusturvaohjelmaa koskevasta luonnoksesta. Totean luonnoksen osalta kunnioittaen seuraavaa.</w:t>
      </w:r>
    </w:p>
    <w:p w:rsidR="00083E12" w:rsidRDefault="00083E12" w:rsidP="00DB447A">
      <w:pPr>
        <w:jc w:val="both"/>
        <w:rPr>
          <w:sz w:val="24"/>
          <w:szCs w:val="24"/>
          <w:lang w:val="fi-FI"/>
        </w:rPr>
      </w:pPr>
    </w:p>
    <w:p w:rsidR="00083E12" w:rsidRPr="00373CD1" w:rsidRDefault="00083E12" w:rsidP="00DB447A">
      <w:pPr>
        <w:jc w:val="both"/>
        <w:rPr>
          <w:b/>
          <w:sz w:val="24"/>
          <w:szCs w:val="24"/>
          <w:lang w:val="fi-FI"/>
        </w:rPr>
      </w:pPr>
      <w:r w:rsidRPr="00373CD1">
        <w:rPr>
          <w:b/>
          <w:sz w:val="24"/>
          <w:szCs w:val="24"/>
          <w:lang w:val="fi-FI"/>
        </w:rPr>
        <w:t>1. Pikaluotot</w:t>
      </w:r>
    </w:p>
    <w:p w:rsidR="00083E12" w:rsidRDefault="00083E12" w:rsidP="00DB447A">
      <w:pPr>
        <w:jc w:val="both"/>
        <w:rPr>
          <w:sz w:val="24"/>
          <w:szCs w:val="24"/>
          <w:lang w:val="fi-FI"/>
        </w:rPr>
      </w:pPr>
      <w:r>
        <w:rPr>
          <w:sz w:val="24"/>
          <w:szCs w:val="24"/>
          <w:lang w:val="fi-FI"/>
        </w:rPr>
        <w:t>Pidän erinomaisena, että oikeusministeriö on reagoinut pikaluottojen yksilöille aiheuttamiin ongelmiin ja järjestelmän (tuomioistuimet, ulosotto, sosiaalitoimi ym.) aiheuttamaan kuormitukseen ja jatkanut puuttumista lainsäädäntökeinoin pikaluottojen aiheuttamiin ongelmiin.  Pidän pikaluottoja koskevaa luotonantoa ja markkinointia hillitsevien keinojen lisäksi tärkeänä, että arviointi ulotetaan myös esimerkiksi asuntoluototukseen. Tiettävästi pankit eivät vaadi FV:n edellyttämää omavastuuosuutta, vaan asuntoluotto myönnetään asunnon täyteen arvoon ja luotonsaajan tuloihin nähden siihen määrään, ettei pelivaraa luotonlyhennysten jälkeen jää yllättäviin menoihin. Tarve pienluottoihin ei poistu sillä, että pikaluotot kielletään, ellei samalla kehitetä korvaavia lainansaantimahdollisuuksia. Sosiaaliset luotot olisivat erityisen merkityksellisiä keinoja turvallisten pienluottojen myöntämiseen. Luottojen aiheuttamat kulut saadaan takaisin korkojen ja alentuneiden sosiaalimenojen yhteisvaikutuksella. Ongelmana ilmeisesti on se, että tiukassa talouskurimuksessa pinnistelevissä kunnissa ei ole, mistä irrottaa sosiaaliseen luototukseen tarvittavaa peruspääomaa.</w:t>
      </w:r>
    </w:p>
    <w:p w:rsidR="00083E12" w:rsidRDefault="00083E12" w:rsidP="00DB447A">
      <w:pPr>
        <w:jc w:val="both"/>
        <w:rPr>
          <w:sz w:val="24"/>
          <w:szCs w:val="24"/>
          <w:lang w:val="fi-FI"/>
        </w:rPr>
      </w:pPr>
      <w:r w:rsidRPr="00373CD1">
        <w:rPr>
          <w:b/>
          <w:sz w:val="24"/>
          <w:szCs w:val="24"/>
          <w:lang w:val="fi-FI"/>
        </w:rPr>
        <w:t>2. Summaaristen asioiden</w:t>
      </w:r>
      <w:r>
        <w:rPr>
          <w:sz w:val="24"/>
          <w:szCs w:val="24"/>
          <w:lang w:val="fi-FI"/>
        </w:rPr>
        <w:t xml:space="preserve"> käsittelypaikkaa merkittävämpää on mielestäni niitä koskevien oikeudenkäyntikulujen taso ja sähköisen asioinnin edelleen kehittäminen. Jos summaariset asiat siirretään esimerkiksi ulosottolaitoksen hoidettaviksi, tarvitaan vastaavan resurssin siirto. Toimenpide ei siten vapauttaisi resursseja tuomioistuinten muuhun käyttöön, vaan vähentäisi tuomioistuinten resursseja, joskin myös tehtäviä. Pitäisi tutkia, onko summaarisia asioita käsittelevällä toimistohenkilökunnalla sellaisia muita tehtäviä käräjäoikeuksissa, joiden hoitaminen kärsisi toimistohenkilökunnan mittavasta siirtämisestä ulosottolaitoksen palvelukseen. Esteellisyyssäännökset tulisi ottaa huomioon, jos summaaristen asioiden siirtämistä ulosottolaitokseen harkitaan (sama taho tuomitsee ja panee täytäntöön). Ulosottolaitoksen tuottamat ”yksipuoliset tuomiot” eivät ole täytäntöönpanokelpoisia päätöksiä siviiliprosessuaalisten EU-asetusten mukaan (Ruotsi on saanut poikkeusluvan jäsenyysneuvottelujen yhteydessä – sellaisen saanti jälkikäteen lienee vaikeaa).</w:t>
      </w:r>
    </w:p>
    <w:p w:rsidR="00083E12" w:rsidRDefault="00083E12" w:rsidP="00DB447A">
      <w:pPr>
        <w:jc w:val="both"/>
        <w:rPr>
          <w:sz w:val="24"/>
          <w:szCs w:val="24"/>
          <w:lang w:val="fi-FI"/>
        </w:rPr>
      </w:pPr>
    </w:p>
    <w:p w:rsidR="00083E12" w:rsidRDefault="00083E12" w:rsidP="00DB447A">
      <w:pPr>
        <w:jc w:val="both"/>
        <w:rPr>
          <w:sz w:val="24"/>
          <w:szCs w:val="24"/>
          <w:lang w:val="fi-FI"/>
        </w:rPr>
      </w:pPr>
      <w:r w:rsidRPr="00373CD1">
        <w:rPr>
          <w:b/>
          <w:sz w:val="24"/>
          <w:szCs w:val="24"/>
          <w:lang w:val="fi-FI"/>
        </w:rPr>
        <w:t>6. Ns. syytesopimusmenettelyä</w:t>
      </w:r>
      <w:r>
        <w:rPr>
          <w:sz w:val="24"/>
          <w:szCs w:val="24"/>
          <w:lang w:val="fi-FI"/>
        </w:rPr>
        <w:t xml:space="preserve"> tulee tarkastella laaja-alaisesti ennen kaikkea oikeusturvan kannalta. Menettelyn nopeus on luonnollisesti merkityksellinen, mutta ei saisi olla ratkaiseva seikka. Jos syyteneuvotteluja perustellaan sillä, että syytetty voi välttää siten julkisuuden ja muun haitan, tulee ottaa esille myös se, voidaanko ns. normaalimenettelyä kehittää tältä osin. Lisäksi olisi hyvä pohtia, mikä preventiivinen vaikutus normaaliin tuomioistuinkäsittelyyn liittyy. Kustannusvaikutus tulisi ottaa huomioon - ei vain resurssien säästökysymyksenä - vaan myös kysymyksenä siitä, mitä syytetyn oikeusturvasta huolehtiminen maksaa syyteneuvotteluissa. Kohdassa 29 mainitun kysymyksen tarkastelu olisi hyvä koordinoida syyteneuvotteluja koskevan selvityksen kanssa.</w:t>
      </w:r>
    </w:p>
    <w:p w:rsidR="00083E12" w:rsidRDefault="00083E12" w:rsidP="00DB447A">
      <w:pPr>
        <w:jc w:val="both"/>
        <w:rPr>
          <w:sz w:val="24"/>
          <w:szCs w:val="24"/>
          <w:lang w:val="fi-FI"/>
        </w:rPr>
      </w:pPr>
      <w:r w:rsidRPr="00373CD1">
        <w:rPr>
          <w:b/>
          <w:sz w:val="24"/>
          <w:szCs w:val="24"/>
          <w:lang w:val="fi-FI"/>
        </w:rPr>
        <w:t>9. Käräjäoikeudessa käyttöön otettavat videointimahdollisuudet</w:t>
      </w:r>
      <w:r>
        <w:rPr>
          <w:sz w:val="24"/>
          <w:szCs w:val="24"/>
          <w:lang w:val="fi-FI"/>
        </w:rPr>
        <w:t xml:space="preserve"> ja sellaisten tallenteiden hyödyntäminen myös hovioikeudessa kannattaa selvittää perusteellisesti. Menettelyssä olisi niin hyviä kuin huonojakin puolia – Ruotsissa kerätään ilmeisesti juuri kokemusta sikäläisestä järjestelmästä. Ruotsissa käytetään hovioikeuksissa laajasti käräjäoikeudessa tehtyjä videotallenteita. Ongelmat liittyvät muun muassa kontradiktoriseen periaatteeseen (asianosaisten kyselyoikeus, tuomioistuimen lisäkysymykset), kustannuksiin, vaikutukseen menettelyn kestoon ja käsittelytapaan (prosessinjohto) hovioikeudessa sekä yksityisyyden suojaan (tallenteiden julkisuus). (Tiedoksenne, että Lapin yliopiston oikeustieteiden tiedekunnassa on valmistumassa asiasta ansiokas tutkielma, jonka voin toimittaa oikeusministeriölle).</w:t>
      </w:r>
    </w:p>
    <w:p w:rsidR="00083E12" w:rsidRDefault="00083E12" w:rsidP="00DB447A">
      <w:pPr>
        <w:jc w:val="both"/>
        <w:rPr>
          <w:sz w:val="24"/>
          <w:szCs w:val="24"/>
          <w:lang w:val="fi-FI"/>
        </w:rPr>
      </w:pPr>
      <w:r w:rsidRPr="00373CD1">
        <w:rPr>
          <w:b/>
          <w:sz w:val="24"/>
          <w:szCs w:val="24"/>
          <w:lang w:val="fi-FI"/>
        </w:rPr>
        <w:t>10. Todistamista koskeva uudistus ja itsekriminointisuojaa</w:t>
      </w:r>
      <w:r>
        <w:rPr>
          <w:sz w:val="24"/>
          <w:szCs w:val="24"/>
          <w:lang w:val="fi-FI"/>
        </w:rPr>
        <w:t xml:space="preserve"> koskeva uudistus olisi tärkeää sovittaa yhteen. Etenkin jos itsekriminointisuojan valmistelu konkurssimenettelyssä etenee oikeusministeriössä helmikuussa 2012 valmistuneen luonnoksen pohjalta, pitäisin tärkeänä, että yleinen hyödyntämiskielto otetaan lakiin. Pidän helmikuun luonnosta itsekriminointisuojasta monin osin ongelmallisena (siitä olen saanut lausua erikseen).</w:t>
      </w:r>
    </w:p>
    <w:p w:rsidR="00083E12" w:rsidRDefault="00083E12" w:rsidP="00DB447A">
      <w:pPr>
        <w:jc w:val="both"/>
        <w:rPr>
          <w:b/>
          <w:sz w:val="24"/>
          <w:szCs w:val="24"/>
          <w:lang w:val="fi-FI"/>
        </w:rPr>
      </w:pPr>
    </w:p>
    <w:p w:rsidR="00083E12" w:rsidRDefault="00083E12" w:rsidP="00DB447A">
      <w:pPr>
        <w:jc w:val="both"/>
        <w:rPr>
          <w:sz w:val="24"/>
          <w:szCs w:val="24"/>
          <w:lang w:val="fi-FI"/>
        </w:rPr>
      </w:pPr>
      <w:r w:rsidRPr="00373CD1">
        <w:rPr>
          <w:b/>
          <w:sz w:val="24"/>
          <w:szCs w:val="24"/>
          <w:lang w:val="fi-FI"/>
        </w:rPr>
        <w:t>Rakenteellisista uudistuksista</w:t>
      </w:r>
      <w:r>
        <w:rPr>
          <w:sz w:val="24"/>
          <w:szCs w:val="24"/>
          <w:lang w:val="fi-FI"/>
        </w:rPr>
        <w:t xml:space="preserve"> kannatan sitä, että oikeudenkäynnin oikeudellinen ja resurssoinnin painopiste olisi alioikeuksissa ja ylempien asteiden tehtävä olisi keskittyä havaittujen virheiden korjaamiseen, ei käsittelyn toistamiseen. Tässä on merkityksellistä myös jatkokäsittelylupajärjestelmän kehittäminen. Ilmeisesti Suomen perustuslaki on muutoksenhakuoikeuden suhteen ehdottomampi kuin ihmisoikeussopimus.</w:t>
      </w:r>
    </w:p>
    <w:p w:rsidR="00083E12" w:rsidRDefault="00083E12" w:rsidP="00DB447A">
      <w:pPr>
        <w:jc w:val="both"/>
        <w:rPr>
          <w:sz w:val="24"/>
          <w:szCs w:val="24"/>
          <w:lang w:val="fi-FI"/>
        </w:rPr>
      </w:pPr>
    </w:p>
    <w:p w:rsidR="00083E12" w:rsidRDefault="00083E12" w:rsidP="00DB447A">
      <w:pPr>
        <w:jc w:val="both"/>
        <w:rPr>
          <w:sz w:val="24"/>
          <w:szCs w:val="24"/>
          <w:lang w:val="fi-FI"/>
        </w:rPr>
      </w:pPr>
      <w:r w:rsidRPr="00373CD1">
        <w:rPr>
          <w:b/>
          <w:sz w:val="24"/>
          <w:szCs w:val="24"/>
          <w:lang w:val="fi-FI"/>
        </w:rPr>
        <w:t>15. Tuomioistuinhallinnon keskusviraston</w:t>
      </w:r>
      <w:r>
        <w:rPr>
          <w:sz w:val="24"/>
          <w:szCs w:val="24"/>
          <w:lang w:val="fi-FI"/>
        </w:rPr>
        <w:t xml:space="preserve"> perustamisessa tulisi erityisen tarkoin pitää mielessä tuomioistuinlaitoksen riippumattomuus. Operatiivisesta toiminnasta vastaava itsenäinen virasto ei saisi puuttua millään tavalla tuomioistuinten lainkäyttöön. Tästä voidaan pitkälle huolehtia siten, että viraston tehtävät luetellaan tyhjentävästi ja nimenomaisesti todetaan, ettei lainkäyttötoimintaa saa ohjeistaa tai vaikuttaa siihen myöskään välillisesti esimerkiksi resurssien jakamisella. Valtakunnanvoudinviraston toiminnasta saadut – ilmeisen myönteiset – kokemukset ovat harkinnassa hyödyksi.</w:t>
      </w:r>
    </w:p>
    <w:p w:rsidR="00083E12" w:rsidRDefault="00083E12" w:rsidP="00DB447A">
      <w:pPr>
        <w:jc w:val="both"/>
        <w:rPr>
          <w:sz w:val="24"/>
          <w:szCs w:val="24"/>
          <w:lang w:val="fi-FI"/>
        </w:rPr>
      </w:pPr>
      <w:r w:rsidRPr="00373CD1">
        <w:rPr>
          <w:b/>
          <w:sz w:val="24"/>
          <w:szCs w:val="24"/>
          <w:lang w:val="fi-FI"/>
        </w:rPr>
        <w:t>16.</w:t>
      </w:r>
      <w:r>
        <w:rPr>
          <w:sz w:val="24"/>
          <w:szCs w:val="24"/>
          <w:lang w:val="fi-FI"/>
        </w:rPr>
        <w:t xml:space="preserve"> Selostuksesta ei valitettavasti käy ilmi, mitä </w:t>
      </w:r>
      <w:r w:rsidRPr="00373CD1">
        <w:rPr>
          <w:b/>
          <w:sz w:val="24"/>
          <w:szCs w:val="24"/>
          <w:lang w:val="fi-FI"/>
        </w:rPr>
        <w:t>ulosottolaitoksen rakenneuudistuksella</w:t>
      </w:r>
      <w:r>
        <w:rPr>
          <w:sz w:val="24"/>
          <w:szCs w:val="24"/>
          <w:lang w:val="fi-FI"/>
        </w:rPr>
        <w:t xml:space="preserve"> tarkoitetaan, joten on vaikea ottaa kantaa. Ulosottopiirien lukumäärä on sinällään tarkoituksenmukaisuuskysymys. On turhaa pitää ulosottolaitoksessakaan toimipisteitä, joissa ei ole ”tapahtumia”.</w:t>
      </w:r>
    </w:p>
    <w:p w:rsidR="00083E12" w:rsidRDefault="00083E12" w:rsidP="00DB447A">
      <w:pPr>
        <w:jc w:val="both"/>
        <w:rPr>
          <w:sz w:val="24"/>
          <w:szCs w:val="24"/>
          <w:lang w:val="fi-FI"/>
        </w:rPr>
      </w:pPr>
      <w:r w:rsidRPr="00373CD1">
        <w:rPr>
          <w:b/>
          <w:sz w:val="24"/>
          <w:szCs w:val="24"/>
          <w:lang w:val="fi-FI"/>
        </w:rPr>
        <w:t>40.</w:t>
      </w:r>
      <w:r>
        <w:rPr>
          <w:sz w:val="24"/>
          <w:szCs w:val="24"/>
          <w:lang w:val="fi-FI"/>
        </w:rPr>
        <w:t xml:space="preserve"> On ilahduttavaa, että oikeusm</w:t>
      </w:r>
      <w:bookmarkStart w:id="0" w:name="_GoBack"/>
      <w:bookmarkEnd w:id="0"/>
      <w:r>
        <w:rPr>
          <w:sz w:val="24"/>
          <w:szCs w:val="24"/>
          <w:lang w:val="fi-FI"/>
        </w:rPr>
        <w:t xml:space="preserve">inisteriö kiinnittää huomiota </w:t>
      </w:r>
      <w:r w:rsidRPr="00373CD1">
        <w:rPr>
          <w:b/>
          <w:sz w:val="24"/>
          <w:szCs w:val="24"/>
          <w:lang w:val="fi-FI"/>
        </w:rPr>
        <w:t>tuomioistuinharjoittelupaikkojen</w:t>
      </w:r>
      <w:r>
        <w:rPr>
          <w:sz w:val="24"/>
          <w:szCs w:val="24"/>
          <w:lang w:val="fi-FI"/>
        </w:rPr>
        <w:t xml:space="preserve"> lisäämiseen. Oikeustieteellisen koulutuspaikkoja ollaan ilmeisesti jo vuonna 2013 nostamassa tiettävästi 40:llä, ja auskultointipaikoista käydään jo nyt kovaa kilpailua. Sen sijaan erityisen tuomarinurakoulutuksen järjestämiseen en suhtaudu varauksettoman positiivisesti. Uskoisin, että on itse asiassa eduksi tuomioistuinlaitokselle, kun tuomareiksi pätevöidytään eri reittejä. Tällöin tuomioistuinlaitoksessa työskentelee erilaisia työtaustoja omaavia lakimiehiä. Lakimieskoulutus laaja-alaisena koulutuksena tarjoaa erinomaisen mahdollisuuden toimia eri aloilla, jolloin tuomarinuraakaan ei tulisi rajata liiaksi avoimelta kilpailulta.</w:t>
      </w:r>
    </w:p>
    <w:p w:rsidR="00083E12" w:rsidRDefault="00083E12" w:rsidP="00DB447A">
      <w:pPr>
        <w:jc w:val="both"/>
        <w:rPr>
          <w:sz w:val="24"/>
          <w:szCs w:val="24"/>
          <w:lang w:val="fi-FI"/>
        </w:rPr>
      </w:pPr>
    </w:p>
    <w:p w:rsidR="00083E12" w:rsidRDefault="00083E12" w:rsidP="00DB447A">
      <w:pPr>
        <w:jc w:val="both"/>
        <w:rPr>
          <w:sz w:val="24"/>
          <w:szCs w:val="24"/>
          <w:lang w:val="fi-FI"/>
        </w:rPr>
      </w:pPr>
      <w:r>
        <w:rPr>
          <w:sz w:val="24"/>
          <w:szCs w:val="24"/>
          <w:lang w:val="fi-FI"/>
        </w:rPr>
        <w:t>Helsingissä 29.3.2012</w:t>
      </w:r>
      <w:r>
        <w:rPr>
          <w:sz w:val="24"/>
          <w:szCs w:val="24"/>
          <w:lang w:val="fi-FI"/>
        </w:rPr>
        <w:tab/>
      </w:r>
      <w:r>
        <w:rPr>
          <w:sz w:val="24"/>
          <w:szCs w:val="24"/>
          <w:lang w:val="fi-FI"/>
        </w:rPr>
        <w:tab/>
      </w:r>
      <w:r>
        <w:rPr>
          <w:sz w:val="24"/>
          <w:szCs w:val="24"/>
          <w:lang w:val="fi-FI"/>
        </w:rPr>
        <w:tab/>
        <w:t>Tuula Linna</w:t>
      </w:r>
    </w:p>
    <w:p w:rsidR="00083E12" w:rsidRDefault="00083E12" w:rsidP="00DB447A">
      <w:pPr>
        <w:jc w:val="both"/>
        <w:rPr>
          <w:sz w:val="24"/>
          <w:szCs w:val="24"/>
          <w:lang w:val="fi-FI"/>
        </w:rPr>
      </w:pPr>
      <w:r>
        <w:rPr>
          <w:sz w:val="24"/>
          <w:szCs w:val="24"/>
          <w:lang w:val="fi-FI"/>
        </w:rPr>
        <w:tab/>
      </w:r>
      <w:r>
        <w:rPr>
          <w:sz w:val="24"/>
          <w:szCs w:val="24"/>
          <w:lang w:val="fi-FI"/>
        </w:rPr>
        <w:tab/>
      </w:r>
      <w:r>
        <w:rPr>
          <w:sz w:val="24"/>
          <w:szCs w:val="24"/>
          <w:lang w:val="fi-FI"/>
        </w:rPr>
        <w:tab/>
      </w:r>
      <w:r>
        <w:rPr>
          <w:sz w:val="24"/>
          <w:szCs w:val="24"/>
          <w:lang w:val="fi-FI"/>
        </w:rPr>
        <w:tab/>
      </w:r>
      <w:r>
        <w:rPr>
          <w:sz w:val="24"/>
          <w:szCs w:val="24"/>
          <w:lang w:val="fi-FI"/>
        </w:rPr>
        <w:tab/>
        <w:t>prosessioikeuden professori, Lapin yliopisto</w:t>
      </w:r>
    </w:p>
    <w:p w:rsidR="00083E12" w:rsidRDefault="00083E12">
      <w:pPr>
        <w:rPr>
          <w:sz w:val="24"/>
          <w:szCs w:val="24"/>
          <w:lang w:val="fi-FI"/>
        </w:rPr>
      </w:pPr>
    </w:p>
    <w:p w:rsidR="00083E12" w:rsidRDefault="00083E12">
      <w:pPr>
        <w:rPr>
          <w:sz w:val="24"/>
          <w:szCs w:val="24"/>
          <w:lang w:val="fi-FI"/>
        </w:rPr>
      </w:pPr>
      <w:r w:rsidRPr="004315B2">
        <w:rPr>
          <w:noProof/>
          <w:sz w:val="24"/>
          <w:szCs w:val="24"/>
          <w:lang w:val="fi-FI"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2" o:spid="_x0000_i1025" type="#_x0000_t75" style="width:467.25pt;height:139.5pt;visibility:visible">
            <v:imagedata r:id="rId6" o:title=""/>
          </v:shape>
        </w:pict>
      </w:r>
    </w:p>
    <w:p w:rsidR="00083E12" w:rsidRPr="00DB447A" w:rsidRDefault="00083E12">
      <w:pPr>
        <w:rPr>
          <w:sz w:val="24"/>
          <w:szCs w:val="24"/>
          <w:lang w:val="fi-FI"/>
        </w:rPr>
      </w:pPr>
      <w:r w:rsidRPr="004315B2">
        <w:rPr>
          <w:noProof/>
          <w:sz w:val="24"/>
          <w:szCs w:val="24"/>
          <w:lang w:val="fi-FI" w:eastAsia="fi-FI"/>
        </w:rPr>
        <w:pict>
          <v:shape id="Kuva 1" o:spid="_x0000_i1026" type="#_x0000_t75" style="width:463.5pt;height:126pt;visibility:visible">
            <v:imagedata r:id="rId7" o:title=""/>
          </v:shape>
        </w:pict>
      </w:r>
    </w:p>
    <w:sectPr w:rsidR="00083E12" w:rsidRPr="00DB447A" w:rsidSect="00C1048A">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E12" w:rsidRDefault="00083E12" w:rsidP="00373CD1">
      <w:pPr>
        <w:spacing w:after="0" w:line="240" w:lineRule="auto"/>
      </w:pPr>
      <w:r>
        <w:separator/>
      </w:r>
    </w:p>
  </w:endnote>
  <w:endnote w:type="continuationSeparator" w:id="0">
    <w:p w:rsidR="00083E12" w:rsidRDefault="00083E12" w:rsidP="00373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E12" w:rsidRDefault="00083E12" w:rsidP="00373CD1">
      <w:pPr>
        <w:spacing w:after="0" w:line="240" w:lineRule="auto"/>
      </w:pPr>
      <w:r>
        <w:separator/>
      </w:r>
    </w:p>
  </w:footnote>
  <w:footnote w:type="continuationSeparator" w:id="0">
    <w:p w:rsidR="00083E12" w:rsidRDefault="00083E12" w:rsidP="00373C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12" w:rsidRDefault="00083E12">
    <w:pPr>
      <w:pStyle w:val="Header"/>
      <w:jc w:val="right"/>
    </w:pPr>
    <w:fldSimple w:instr=" PAGE   \* MERGEFORMAT ">
      <w:r>
        <w:rPr>
          <w:noProof/>
        </w:rPr>
        <w:t>2</w:t>
      </w:r>
    </w:fldSimple>
  </w:p>
  <w:p w:rsidR="00083E12" w:rsidRDefault="00083E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47A"/>
    <w:rsid w:val="00083E12"/>
    <w:rsid w:val="000F1D08"/>
    <w:rsid w:val="001A24A6"/>
    <w:rsid w:val="00373CD1"/>
    <w:rsid w:val="003D597D"/>
    <w:rsid w:val="004315B2"/>
    <w:rsid w:val="00470A85"/>
    <w:rsid w:val="005B2F82"/>
    <w:rsid w:val="008571F1"/>
    <w:rsid w:val="008E03BC"/>
    <w:rsid w:val="00A8257C"/>
    <w:rsid w:val="00B20FBB"/>
    <w:rsid w:val="00B541E9"/>
    <w:rsid w:val="00BD47CC"/>
    <w:rsid w:val="00C1048A"/>
    <w:rsid w:val="00C53814"/>
    <w:rsid w:val="00DB447A"/>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08"/>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1D08"/>
    <w:pPr>
      <w:ind w:left="720"/>
      <w:contextualSpacing/>
    </w:pPr>
  </w:style>
  <w:style w:type="paragraph" w:styleId="BalloonText">
    <w:name w:val="Balloon Text"/>
    <w:basedOn w:val="Normal"/>
    <w:link w:val="BalloonTextChar"/>
    <w:uiPriority w:val="99"/>
    <w:semiHidden/>
    <w:rsid w:val="00DB4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447A"/>
    <w:rPr>
      <w:rFonts w:ascii="Tahoma" w:hAnsi="Tahoma" w:cs="Tahoma"/>
      <w:sz w:val="16"/>
      <w:szCs w:val="16"/>
    </w:rPr>
  </w:style>
  <w:style w:type="paragraph" w:styleId="Header">
    <w:name w:val="header"/>
    <w:basedOn w:val="Normal"/>
    <w:link w:val="HeaderChar"/>
    <w:uiPriority w:val="99"/>
    <w:rsid w:val="00373C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3CD1"/>
    <w:rPr>
      <w:rFonts w:cs="Times New Roman"/>
    </w:rPr>
  </w:style>
  <w:style w:type="paragraph" w:styleId="Footer">
    <w:name w:val="footer"/>
    <w:basedOn w:val="Normal"/>
    <w:link w:val="FooterChar"/>
    <w:uiPriority w:val="99"/>
    <w:rsid w:val="00373C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3CD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729</Words>
  <Characters>5912</Characters>
  <Application>Microsoft Office Outlook</Application>
  <DocSecurity>0</DocSecurity>
  <Lines>0</Lines>
  <Paragraphs>0</Paragraphs>
  <ScaleCrop>false</ScaleCrop>
  <Company>Lay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 Tuula</dc:creator>
  <cp:keywords/>
  <dc:description/>
  <cp:lastModifiedBy>Luostarinen Selja</cp:lastModifiedBy>
  <cp:revision>2</cp:revision>
  <cp:lastPrinted>2012-03-30T05:26:00Z</cp:lastPrinted>
  <dcterms:created xsi:type="dcterms:W3CDTF">2012-03-30T05:27:00Z</dcterms:created>
  <dcterms:modified xsi:type="dcterms:W3CDTF">2012-03-30T05:27:00Z</dcterms:modified>
</cp:coreProperties>
</file>