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28" w:rsidRPr="008713B7" w:rsidRDefault="005E5928" w:rsidP="008713B7">
      <w:pPr>
        <w:pStyle w:val="NoSpacing"/>
        <w:rPr>
          <w:sz w:val="24"/>
          <w:szCs w:val="24"/>
          <w:lang w:val="fi-FI"/>
        </w:rPr>
      </w:pPr>
      <w:r w:rsidRPr="008713B7">
        <w:rPr>
          <w:sz w:val="24"/>
          <w:szCs w:val="24"/>
          <w:lang w:val="fi-FI"/>
        </w:rPr>
        <w:t>Tuula Linna</w:t>
      </w:r>
      <w:r w:rsidRPr="008713B7">
        <w:rPr>
          <w:sz w:val="24"/>
          <w:szCs w:val="24"/>
          <w:lang w:val="fi-FI"/>
        </w:rPr>
        <w:tab/>
      </w:r>
      <w:r w:rsidRPr="008713B7">
        <w:rPr>
          <w:sz w:val="24"/>
          <w:szCs w:val="24"/>
          <w:lang w:val="fi-FI"/>
        </w:rPr>
        <w:tab/>
      </w:r>
      <w:r w:rsidRPr="008713B7">
        <w:rPr>
          <w:sz w:val="24"/>
          <w:szCs w:val="24"/>
          <w:lang w:val="fi-FI"/>
        </w:rPr>
        <w:tab/>
      </w:r>
      <w:r w:rsidRPr="008713B7">
        <w:rPr>
          <w:sz w:val="24"/>
          <w:szCs w:val="24"/>
          <w:lang w:val="fi-FI"/>
        </w:rPr>
        <w:tab/>
      </w:r>
      <w:r w:rsidRPr="008713B7">
        <w:rPr>
          <w:sz w:val="24"/>
          <w:szCs w:val="24"/>
          <w:lang w:val="fi-FI"/>
        </w:rPr>
        <w:tab/>
      </w:r>
      <w:r w:rsidRPr="008713B7">
        <w:rPr>
          <w:sz w:val="24"/>
          <w:szCs w:val="24"/>
          <w:lang w:val="fi-FI"/>
        </w:rPr>
        <w:tab/>
      </w:r>
      <w:r>
        <w:rPr>
          <w:sz w:val="24"/>
          <w:szCs w:val="24"/>
          <w:lang w:val="fi-FI"/>
        </w:rPr>
        <w:t>6</w:t>
      </w:r>
      <w:r w:rsidRPr="008713B7">
        <w:rPr>
          <w:sz w:val="24"/>
          <w:szCs w:val="24"/>
          <w:lang w:val="fi-FI"/>
        </w:rPr>
        <w:t>.6.2013</w:t>
      </w:r>
    </w:p>
    <w:p w:rsidR="005E5928" w:rsidRPr="008713B7" w:rsidRDefault="005E5928" w:rsidP="008713B7">
      <w:pPr>
        <w:pStyle w:val="NoSpacing"/>
        <w:rPr>
          <w:sz w:val="24"/>
          <w:szCs w:val="24"/>
          <w:lang w:val="fi-FI"/>
        </w:rPr>
      </w:pPr>
      <w:r w:rsidRPr="008713B7">
        <w:rPr>
          <w:sz w:val="24"/>
          <w:szCs w:val="24"/>
          <w:lang w:val="fi-FI"/>
        </w:rPr>
        <w:t>prosessioikeuden professori</w:t>
      </w:r>
    </w:p>
    <w:p w:rsidR="005E5928" w:rsidRPr="008713B7" w:rsidRDefault="005E5928" w:rsidP="008713B7">
      <w:pPr>
        <w:pStyle w:val="NoSpacing"/>
        <w:rPr>
          <w:sz w:val="24"/>
          <w:szCs w:val="24"/>
          <w:lang w:val="fi-FI"/>
        </w:rPr>
      </w:pPr>
      <w:r w:rsidRPr="008713B7">
        <w:rPr>
          <w:sz w:val="24"/>
          <w:szCs w:val="24"/>
          <w:lang w:val="fi-FI"/>
        </w:rPr>
        <w:t>Lapin yliopisto</w:t>
      </w:r>
    </w:p>
    <w:p w:rsidR="005E5928" w:rsidRDefault="005E5928">
      <w:pPr>
        <w:rPr>
          <w:b/>
          <w:bCs/>
          <w:sz w:val="24"/>
          <w:szCs w:val="24"/>
          <w:lang w:val="fi-FI"/>
        </w:rPr>
      </w:pPr>
    </w:p>
    <w:p w:rsidR="005E5928" w:rsidRDefault="005E5928">
      <w:pPr>
        <w:rPr>
          <w:b/>
          <w:bCs/>
          <w:sz w:val="24"/>
          <w:szCs w:val="24"/>
          <w:lang w:val="fi-FI"/>
        </w:rPr>
      </w:pPr>
    </w:p>
    <w:p w:rsidR="005E5928" w:rsidRPr="0017192D" w:rsidRDefault="005E5928">
      <w:pPr>
        <w:rPr>
          <w:b/>
          <w:bCs/>
          <w:sz w:val="24"/>
          <w:szCs w:val="24"/>
          <w:lang w:val="fi-FI"/>
        </w:rPr>
      </w:pPr>
      <w:r w:rsidRPr="0017192D">
        <w:rPr>
          <w:b/>
          <w:bCs/>
          <w:sz w:val="24"/>
          <w:szCs w:val="24"/>
          <w:lang w:val="fi-FI"/>
        </w:rPr>
        <w:t>LAUSUNTO OIKEUDENHOIDON UUDISTAMISOHJELMASTA  VUOSILLE 2013 -2025</w:t>
      </w:r>
    </w:p>
    <w:p w:rsidR="005E5928" w:rsidRDefault="005E5928" w:rsidP="008713B7">
      <w:pPr>
        <w:jc w:val="both"/>
        <w:rPr>
          <w:bCs/>
          <w:sz w:val="24"/>
          <w:szCs w:val="24"/>
          <w:lang w:val="fi-FI"/>
        </w:rPr>
      </w:pPr>
      <w:r w:rsidRPr="0017192D">
        <w:rPr>
          <w:bCs/>
          <w:sz w:val="24"/>
          <w:szCs w:val="24"/>
          <w:lang w:val="fi-FI"/>
        </w:rPr>
        <w:t>Kiitän tilaisuudesta saada lausua oikeudenhoidon uudistamisohjelmasta. Uudistamisohjelma sisältää runsaasti hyviä kehittämisajatuksia</w:t>
      </w:r>
      <w:r>
        <w:rPr>
          <w:bCs/>
          <w:sz w:val="24"/>
          <w:szCs w:val="24"/>
          <w:lang w:val="fi-FI"/>
        </w:rPr>
        <w:t xml:space="preserve"> ja on erinomaista, että tällainen oikeudenhoidon läpivalaisu on tehty</w:t>
      </w:r>
      <w:r w:rsidRPr="0017192D">
        <w:rPr>
          <w:bCs/>
          <w:sz w:val="24"/>
          <w:szCs w:val="24"/>
          <w:lang w:val="fi-FI"/>
        </w:rPr>
        <w:t>. Seuraavassa kommentoin lähinnä vain sellaisia ehdotuksia, jotka herättävät kritiikkiä tai vaati</w:t>
      </w:r>
      <w:r>
        <w:rPr>
          <w:bCs/>
          <w:sz w:val="24"/>
          <w:szCs w:val="24"/>
          <w:lang w:val="fi-FI"/>
        </w:rPr>
        <w:t>si</w:t>
      </w:r>
      <w:r w:rsidRPr="0017192D">
        <w:rPr>
          <w:bCs/>
          <w:sz w:val="24"/>
          <w:szCs w:val="24"/>
          <w:lang w:val="fi-FI"/>
        </w:rPr>
        <w:t xml:space="preserve">vat </w:t>
      </w:r>
      <w:r>
        <w:rPr>
          <w:bCs/>
          <w:sz w:val="24"/>
          <w:szCs w:val="24"/>
          <w:lang w:val="fi-FI"/>
        </w:rPr>
        <w:t xml:space="preserve">mielestäni </w:t>
      </w:r>
      <w:r w:rsidRPr="0017192D">
        <w:rPr>
          <w:bCs/>
          <w:sz w:val="24"/>
          <w:szCs w:val="24"/>
          <w:lang w:val="fi-FI"/>
        </w:rPr>
        <w:t>lisäselvitystä.</w:t>
      </w:r>
    </w:p>
    <w:p w:rsidR="005E5928" w:rsidRPr="0017192D" w:rsidRDefault="005E5928" w:rsidP="008713B7">
      <w:pPr>
        <w:jc w:val="both"/>
        <w:rPr>
          <w:bCs/>
          <w:sz w:val="24"/>
          <w:szCs w:val="24"/>
          <w:lang w:val="fi-FI"/>
        </w:rPr>
      </w:pPr>
    </w:p>
    <w:p w:rsidR="005E5928" w:rsidRDefault="005E5928">
      <w:pPr>
        <w:rPr>
          <w:b/>
          <w:bCs/>
          <w:sz w:val="24"/>
          <w:szCs w:val="24"/>
          <w:lang w:val="fi-FI"/>
        </w:rPr>
      </w:pPr>
      <w:r w:rsidRPr="0017192D">
        <w:rPr>
          <w:b/>
          <w:bCs/>
          <w:sz w:val="24"/>
          <w:szCs w:val="24"/>
          <w:lang w:val="fi-FI"/>
        </w:rPr>
        <w:t>I HORISONTAALISET EHDOTUKSET</w:t>
      </w:r>
    </w:p>
    <w:p w:rsidR="005E5928" w:rsidRPr="0017192D" w:rsidRDefault="005E5928">
      <w:pPr>
        <w:rPr>
          <w:b/>
          <w:bCs/>
          <w:sz w:val="24"/>
          <w:szCs w:val="24"/>
          <w:lang w:val="fi-FI"/>
        </w:rPr>
      </w:pPr>
      <w:r>
        <w:rPr>
          <w:b/>
          <w:bCs/>
          <w:sz w:val="24"/>
          <w:szCs w:val="24"/>
          <w:lang w:val="fi-FI"/>
        </w:rPr>
        <w:t>Ylimmät oikeusasteet</w:t>
      </w:r>
    </w:p>
    <w:p w:rsidR="005E5928" w:rsidRPr="0017192D" w:rsidRDefault="005E5928" w:rsidP="00AA3D0E">
      <w:pPr>
        <w:autoSpaceDE w:val="0"/>
        <w:autoSpaceDN w:val="0"/>
        <w:adjustRightInd w:val="0"/>
        <w:spacing w:after="0" w:line="240" w:lineRule="auto"/>
        <w:jc w:val="both"/>
        <w:rPr>
          <w:sz w:val="24"/>
          <w:szCs w:val="24"/>
          <w:lang w:val="fi-FI"/>
        </w:rPr>
      </w:pPr>
      <w:r w:rsidRPr="0017192D">
        <w:rPr>
          <w:rFonts w:cs="TimesNewRomanPS-BoldMT"/>
          <w:bCs/>
          <w:sz w:val="24"/>
          <w:szCs w:val="24"/>
          <w:lang w:val="fi-FI"/>
        </w:rPr>
        <w:t xml:space="preserve">Uudistamisohjelman mukaan </w:t>
      </w:r>
      <w:r w:rsidRPr="00895D09">
        <w:rPr>
          <w:rFonts w:cs="TimesNewRomanPS-BoldMT"/>
          <w:bCs/>
          <w:i/>
          <w:sz w:val="24"/>
          <w:szCs w:val="24"/>
          <w:lang w:val="fi-FI"/>
        </w:rPr>
        <w:t>ylimmän oikeusasteen</w:t>
      </w:r>
      <w:r w:rsidRPr="0017192D">
        <w:rPr>
          <w:rFonts w:cs="TimesNewRomanPS-BoldMT"/>
          <w:b/>
          <w:bCs/>
          <w:sz w:val="24"/>
          <w:szCs w:val="24"/>
          <w:lang w:val="fi-FI"/>
        </w:rPr>
        <w:t xml:space="preserve"> </w:t>
      </w:r>
      <w:r w:rsidRPr="0017192D">
        <w:rPr>
          <w:sz w:val="24"/>
          <w:szCs w:val="24"/>
          <w:lang w:val="fi-FI"/>
        </w:rPr>
        <w:t>perustehtävä on ohjata oikeuden tulkintaa sekä yhtenäistää ja kehittää lainkäyttöä.</w:t>
      </w:r>
      <w:r>
        <w:rPr>
          <w:sz w:val="24"/>
          <w:szCs w:val="24"/>
          <w:lang w:val="fi-FI"/>
        </w:rPr>
        <w:t xml:space="preserve"> </w:t>
      </w:r>
      <w:r w:rsidRPr="0017192D">
        <w:rPr>
          <w:sz w:val="24"/>
          <w:szCs w:val="24"/>
          <w:lang w:val="fi-FI"/>
        </w:rPr>
        <w:t xml:space="preserve">Tämän tulee mielestäni kuitenkin jatkossakin tapahtua nimenomaan yksittäisten asioiden ratkaisemisen kautta eikä yleisluonteisten, tapauksesta irrallaan olevien lausumien muodossa. Tulee varoa kehitystä, jossa korkein oikeus ryhtyy eräänlaisten yleisten </w:t>
      </w:r>
      <w:r w:rsidRPr="0017192D">
        <w:rPr>
          <w:i/>
          <w:sz w:val="24"/>
          <w:szCs w:val="24"/>
          <w:lang w:val="fi-FI"/>
        </w:rPr>
        <w:t>obiter dictum</w:t>
      </w:r>
      <w:r w:rsidRPr="0017192D">
        <w:rPr>
          <w:sz w:val="24"/>
          <w:szCs w:val="24"/>
          <w:lang w:val="fi-FI"/>
        </w:rPr>
        <w:t xml:space="preserve"> –tyyppisten lausumien kautta ohjaamaan tulkintaa ja oikeuskäytäntöä. Tulee pysytellä yksittäisen asian ratkaisijan roolissa ja sen kehittämisessä. Kehittämisen varaa on yhä etenkin </w:t>
      </w:r>
      <w:r w:rsidRPr="0017192D">
        <w:rPr>
          <w:i/>
          <w:sz w:val="24"/>
          <w:szCs w:val="24"/>
          <w:lang w:val="fi-FI"/>
        </w:rPr>
        <w:t>pro- ja contra</w:t>
      </w:r>
      <w:r w:rsidRPr="0017192D">
        <w:rPr>
          <w:sz w:val="24"/>
          <w:szCs w:val="24"/>
          <w:lang w:val="fi-FI"/>
        </w:rPr>
        <w:t xml:space="preserve">-argumentaatiossa. Usein vähemmistöön jääneiden jäsenten lausumat ovat ainoa kohta, josta näkyy, mikä on itse asiassa ollut todellinen tulkintakysymys korkeimmassa oikeudessa. </w:t>
      </w:r>
    </w:p>
    <w:p w:rsidR="005E5928" w:rsidRPr="0017192D" w:rsidRDefault="005E5928" w:rsidP="00AA3D0E">
      <w:pPr>
        <w:autoSpaceDE w:val="0"/>
        <w:autoSpaceDN w:val="0"/>
        <w:adjustRightInd w:val="0"/>
        <w:spacing w:after="0" w:line="240" w:lineRule="auto"/>
        <w:jc w:val="both"/>
        <w:rPr>
          <w:sz w:val="24"/>
          <w:szCs w:val="24"/>
          <w:lang w:val="fi-FI"/>
        </w:rPr>
      </w:pPr>
    </w:p>
    <w:p w:rsidR="005E5928" w:rsidRPr="0017192D" w:rsidRDefault="005E5928" w:rsidP="002137FB">
      <w:pPr>
        <w:jc w:val="both"/>
        <w:rPr>
          <w:sz w:val="24"/>
          <w:szCs w:val="24"/>
          <w:lang w:val="fi-FI"/>
        </w:rPr>
      </w:pPr>
      <w:r w:rsidRPr="0017192D">
        <w:rPr>
          <w:sz w:val="24"/>
          <w:szCs w:val="24"/>
          <w:lang w:val="fi-FI"/>
        </w:rPr>
        <w:t xml:space="preserve">On lisäksi välttämätöntä, että korkeimpien asteiden </w:t>
      </w:r>
      <w:r w:rsidRPr="0017192D">
        <w:rPr>
          <w:i/>
          <w:sz w:val="24"/>
          <w:szCs w:val="24"/>
          <w:lang w:val="fi-FI"/>
        </w:rPr>
        <w:t>tuomareiden nimittämiskäytäntöä</w:t>
      </w:r>
      <w:r w:rsidRPr="0017192D">
        <w:rPr>
          <w:sz w:val="24"/>
          <w:szCs w:val="24"/>
          <w:lang w:val="fi-FI"/>
        </w:rPr>
        <w:t xml:space="preserve"> uudelleen arvioidaan perusteellisesti. Esimerkiksi Ruotsissa myös korkeimpien asteiden  tuomarit on vuodesta 2011 lukien nimitetty tuomari</w:t>
      </w:r>
      <w:r>
        <w:rPr>
          <w:sz w:val="24"/>
          <w:szCs w:val="24"/>
          <w:lang w:val="fi-FI"/>
        </w:rPr>
        <w:t>n</w:t>
      </w:r>
      <w:r w:rsidRPr="0017192D">
        <w:rPr>
          <w:sz w:val="24"/>
          <w:szCs w:val="24"/>
          <w:lang w:val="fi-FI"/>
        </w:rPr>
        <w:t xml:space="preserve">valintalautakunnan esityksestä. Edelliseen </w:t>
      </w:r>
      <w:r>
        <w:rPr>
          <w:sz w:val="24"/>
          <w:szCs w:val="24"/>
          <w:lang w:val="fi-FI"/>
        </w:rPr>
        <w:t xml:space="preserve">kotimaiseen </w:t>
      </w:r>
      <w:r w:rsidRPr="0017192D">
        <w:rPr>
          <w:sz w:val="24"/>
          <w:szCs w:val="24"/>
          <w:lang w:val="fi-FI"/>
        </w:rPr>
        <w:t>lainmuutosvaiheeseen liittyy lisäksi sellaisia omituisuuksia, jotka olisi hyvä tuoda laajemminkin keskustelun kohteeksi. Esimerkiksi tuomareiden nimittämisestä annetun lain 6.2 §:n mukaan tuomarinvalintalautakunta voi esityksen tekevän tuomioistuimen pyynnöstä antaa lausunnon korkeimman oikeuden tai korkeimman hallinto-oikeuden jäsenen nimittämistä koskevassa asiassa. Säännöstä koskevis</w:t>
      </w:r>
      <w:r>
        <w:rPr>
          <w:sz w:val="24"/>
          <w:szCs w:val="24"/>
          <w:lang w:val="fi-FI"/>
        </w:rPr>
        <w:t>t</w:t>
      </w:r>
      <w:r w:rsidRPr="0017192D">
        <w:rPr>
          <w:sz w:val="24"/>
          <w:szCs w:val="24"/>
          <w:lang w:val="fi-FI"/>
        </w:rPr>
        <w:t>a esitöis</w:t>
      </w:r>
      <w:r>
        <w:rPr>
          <w:sz w:val="24"/>
          <w:szCs w:val="24"/>
          <w:lang w:val="fi-FI"/>
        </w:rPr>
        <w:t>t</w:t>
      </w:r>
      <w:r w:rsidRPr="0017192D">
        <w:rPr>
          <w:sz w:val="24"/>
          <w:szCs w:val="24"/>
          <w:lang w:val="fi-FI"/>
        </w:rPr>
        <w:t xml:space="preserve">ä kuitenkin </w:t>
      </w:r>
      <w:r>
        <w:rPr>
          <w:sz w:val="24"/>
          <w:szCs w:val="24"/>
          <w:lang w:val="fi-FI"/>
        </w:rPr>
        <w:t>käy ilmi jo etukäteen</w:t>
      </w:r>
      <w:r w:rsidRPr="0017192D">
        <w:rPr>
          <w:sz w:val="24"/>
          <w:szCs w:val="24"/>
          <w:lang w:val="fi-FI"/>
        </w:rPr>
        <w:t xml:space="preserve">, ettei tällaista lausuntoa tulla pyytämään. Ks. LaVM 1/2000 vp: </w:t>
      </w:r>
    </w:p>
    <w:p w:rsidR="005E5928" w:rsidRPr="008713B7" w:rsidRDefault="005E5928" w:rsidP="002137FB">
      <w:pPr>
        <w:spacing w:before="100" w:beforeAutospacing="1" w:after="100" w:afterAutospacing="1" w:line="240" w:lineRule="auto"/>
        <w:ind w:left="720"/>
        <w:jc w:val="both"/>
        <w:outlineLvl w:val="2"/>
        <w:rPr>
          <w:b/>
          <w:bCs/>
          <w:sz w:val="24"/>
          <w:szCs w:val="24"/>
          <w:lang w:val="fi-FI"/>
        </w:rPr>
      </w:pPr>
      <w:r w:rsidRPr="008713B7">
        <w:rPr>
          <w:rFonts w:cs="Arial"/>
          <w:color w:val="000000"/>
          <w:sz w:val="24"/>
          <w:szCs w:val="24"/>
          <w:lang w:val="fi-FI"/>
        </w:rPr>
        <w:t xml:space="preserve">Perustuslakivaliokunta ei lausunnossaan pidä asianmukaisena </w:t>
      </w:r>
      <w:r w:rsidRPr="008713B7">
        <w:rPr>
          <w:rFonts w:cs="Arial"/>
          <w:i/>
          <w:iCs/>
          <w:color w:val="000000"/>
          <w:sz w:val="24"/>
          <w:szCs w:val="24"/>
          <w:lang w:val="fi-FI"/>
        </w:rPr>
        <w:t>2 momenttiin</w:t>
      </w:r>
      <w:r w:rsidRPr="008713B7">
        <w:rPr>
          <w:rFonts w:cs="Arial"/>
          <w:color w:val="000000"/>
          <w:sz w:val="24"/>
          <w:szCs w:val="24"/>
          <w:lang w:val="fi-FI"/>
        </w:rPr>
        <w:t xml:space="preserve"> sisältyvää säännöstä siitä, että valtioneuvostolla olisi mahdollisuus pyytää korkeimpien oikeuksien jäsenten nimittämistä koskevassa asiassa lausunto tuomarinvalintalautakunnalta. Perustuslakivaliokunnan kannan mukaisesti lakivaliokunta ehdottaa valtioneuvoston nimenomaisen lausuntopyyntömahdollisuuden poistamista pykälästä. Muilta osin, </w:t>
      </w:r>
      <w:r w:rsidRPr="008713B7">
        <w:rPr>
          <w:rFonts w:cs="Arial"/>
          <w:i/>
          <w:color w:val="000000"/>
          <w:sz w:val="24"/>
          <w:szCs w:val="24"/>
          <w:lang w:val="fi-FI"/>
        </w:rPr>
        <w:t>vaikka korkeimmat oikeudet ovat ilmoittaneet, etteivät ne tule käyttämään lausuntopyyntömahdollisuutta</w:t>
      </w:r>
      <w:r w:rsidRPr="008713B7">
        <w:rPr>
          <w:rFonts w:cs="Arial"/>
          <w:color w:val="000000"/>
          <w:sz w:val="24"/>
          <w:szCs w:val="24"/>
          <w:lang w:val="fi-FI"/>
        </w:rPr>
        <w:t>, valiokunta hyväksyy 2 momentin vastaisten tarpeiden ja mahdollisten budjettimuutosten varalle.</w:t>
      </w:r>
      <w:r>
        <w:rPr>
          <w:rFonts w:cs="Arial"/>
          <w:color w:val="000000"/>
          <w:sz w:val="24"/>
          <w:szCs w:val="24"/>
          <w:lang w:val="fi-FI"/>
        </w:rPr>
        <w:t xml:space="preserve"> (kurs. tässä)</w:t>
      </w:r>
    </w:p>
    <w:p w:rsidR="005E5928" w:rsidRDefault="005E5928" w:rsidP="00B23E67">
      <w:pPr>
        <w:jc w:val="both"/>
        <w:rPr>
          <w:bCs/>
          <w:sz w:val="24"/>
          <w:szCs w:val="24"/>
          <w:lang w:val="fi-FI"/>
        </w:rPr>
      </w:pPr>
      <w:r w:rsidRPr="0017192D">
        <w:rPr>
          <w:bCs/>
          <w:sz w:val="24"/>
          <w:szCs w:val="24"/>
          <w:lang w:val="fi-FI"/>
        </w:rPr>
        <w:t>Tällaista lausuntoa ei tuomarinvalintalautakunnalta tiettävästi olekaan pyydetty. Suomi kulkee tässä omia, vanha</w:t>
      </w:r>
      <w:r>
        <w:rPr>
          <w:bCs/>
          <w:sz w:val="24"/>
          <w:szCs w:val="24"/>
          <w:lang w:val="fi-FI"/>
        </w:rPr>
        <w:t xml:space="preserve">kantaisia </w:t>
      </w:r>
      <w:r w:rsidRPr="0017192D">
        <w:rPr>
          <w:bCs/>
          <w:sz w:val="24"/>
          <w:szCs w:val="24"/>
          <w:lang w:val="fi-FI"/>
        </w:rPr>
        <w:t>polkujaan verrattuna esimerkiksi Ruotsiin ja Tanskaan.</w:t>
      </w:r>
      <w:r>
        <w:rPr>
          <w:bCs/>
          <w:sz w:val="24"/>
          <w:szCs w:val="24"/>
          <w:lang w:val="fi-FI"/>
        </w:rPr>
        <w:t xml:space="preserve"> Nykyinen salamyhkäinen nimitysjärjestelmä on herättänyt oikeutettua kritiikkiä.</w:t>
      </w:r>
    </w:p>
    <w:p w:rsidR="005E5928" w:rsidRDefault="005E5928" w:rsidP="00B23E67">
      <w:pPr>
        <w:jc w:val="both"/>
        <w:rPr>
          <w:sz w:val="24"/>
          <w:szCs w:val="24"/>
          <w:lang w:val="fi-FI"/>
        </w:rPr>
      </w:pPr>
      <w:r w:rsidRPr="0017192D">
        <w:rPr>
          <w:sz w:val="24"/>
          <w:szCs w:val="24"/>
          <w:lang w:val="fi-FI"/>
        </w:rPr>
        <w:t>Olisi</w:t>
      </w:r>
      <w:r>
        <w:rPr>
          <w:sz w:val="24"/>
          <w:szCs w:val="24"/>
          <w:lang w:val="fi-FI"/>
        </w:rPr>
        <w:t>kin</w:t>
      </w:r>
      <w:r w:rsidRPr="0017192D">
        <w:rPr>
          <w:sz w:val="24"/>
          <w:szCs w:val="24"/>
          <w:lang w:val="fi-FI"/>
        </w:rPr>
        <w:t xml:space="preserve"> asetettava pikimmiten työryhmä valmistelemaan </w:t>
      </w:r>
      <w:r>
        <w:rPr>
          <w:sz w:val="24"/>
          <w:szCs w:val="24"/>
          <w:lang w:val="fi-FI"/>
        </w:rPr>
        <w:t>ylimpien asteiden tuomareiden nimittämisjärjestelmän uudistamista. Toinen mahdollisuus on laajentaa Tuomioistuinlakityöryhmän toimeksiantoa tältä osin.</w:t>
      </w:r>
    </w:p>
    <w:p w:rsidR="005E5928" w:rsidRDefault="005E5928" w:rsidP="00895D09">
      <w:pPr>
        <w:ind w:left="720"/>
        <w:jc w:val="both"/>
        <w:rPr>
          <w:rFonts w:cs="TimesNewRoman"/>
          <w:sz w:val="24"/>
          <w:szCs w:val="24"/>
          <w:lang w:val="fi-FI"/>
        </w:rPr>
      </w:pPr>
      <w:r w:rsidRPr="00895D09">
        <w:rPr>
          <w:sz w:val="24"/>
          <w:szCs w:val="24"/>
          <w:lang w:val="fi-FI"/>
        </w:rPr>
        <w:t>Mainitun työryhmän väliraportissa (OMML 72/2012) viitataan työryhmän toimeks</w:t>
      </w:r>
      <w:r>
        <w:rPr>
          <w:sz w:val="24"/>
          <w:szCs w:val="24"/>
          <w:lang w:val="fi-FI"/>
        </w:rPr>
        <w:t>i</w:t>
      </w:r>
      <w:r w:rsidRPr="00895D09">
        <w:rPr>
          <w:sz w:val="24"/>
          <w:szCs w:val="24"/>
          <w:lang w:val="fi-FI"/>
        </w:rPr>
        <w:t>annon rajoitukseen ja Ruotsi</w:t>
      </w:r>
      <w:r>
        <w:rPr>
          <w:sz w:val="24"/>
          <w:szCs w:val="24"/>
          <w:lang w:val="fi-FI"/>
        </w:rPr>
        <w:t xml:space="preserve">ssa jo toteutettuun </w:t>
      </w:r>
      <w:r w:rsidRPr="00895D09">
        <w:rPr>
          <w:rFonts w:cs="TimesNewRoman"/>
          <w:sz w:val="24"/>
          <w:szCs w:val="24"/>
          <w:lang w:val="fi-FI"/>
        </w:rPr>
        <w:t>tuomareiden nimittämismenettelyn uudistu</w:t>
      </w:r>
      <w:r>
        <w:rPr>
          <w:rFonts w:cs="TimesNewRoman"/>
          <w:sz w:val="24"/>
          <w:szCs w:val="24"/>
          <w:lang w:val="fi-FI"/>
        </w:rPr>
        <w:t>kseen. Työryhmä saattoi ”</w:t>
      </w:r>
      <w:r w:rsidRPr="00895D09">
        <w:rPr>
          <w:rFonts w:cs="TimesNewRoman"/>
          <w:sz w:val="24"/>
          <w:szCs w:val="24"/>
          <w:lang w:val="fi-FI"/>
        </w:rPr>
        <w:t>oikeusministeriön harkittavaksi, onko olemassa riittäviä perusteita ylimpien oikeuksien jäsenten muista tuomareista poikkeavan nimitysmenettelyn säilyttämiselle ja tulisiko työryhmän toimeksiantoa tältä osin täydentää.</w:t>
      </w:r>
      <w:r>
        <w:rPr>
          <w:rFonts w:cs="TimesNewRoman"/>
          <w:sz w:val="24"/>
          <w:szCs w:val="24"/>
          <w:lang w:val="fi-FI"/>
        </w:rPr>
        <w:t>” Lisäksi todetaan, ettei a</w:t>
      </w:r>
      <w:r w:rsidRPr="00895D09">
        <w:rPr>
          <w:rFonts w:cs="TimesNewRoman"/>
          <w:sz w:val="24"/>
          <w:szCs w:val="24"/>
          <w:lang w:val="fi-FI"/>
        </w:rPr>
        <w:t>siasta ei ole käyty työryhmässä perusteellista keskustelua.</w:t>
      </w:r>
    </w:p>
    <w:p w:rsidR="005E5928" w:rsidRDefault="005E5928" w:rsidP="00895D09">
      <w:pPr>
        <w:jc w:val="both"/>
        <w:rPr>
          <w:rFonts w:cs="TimesNewRoman"/>
          <w:b/>
          <w:sz w:val="24"/>
          <w:szCs w:val="24"/>
          <w:lang w:val="fi-FI"/>
        </w:rPr>
      </w:pPr>
    </w:p>
    <w:p w:rsidR="005E5928" w:rsidRPr="00895D09" w:rsidRDefault="005E5928" w:rsidP="00895D09">
      <w:pPr>
        <w:jc w:val="both"/>
        <w:rPr>
          <w:b/>
          <w:bCs/>
          <w:sz w:val="24"/>
          <w:szCs w:val="24"/>
          <w:lang w:val="fi-FI"/>
        </w:rPr>
      </w:pPr>
      <w:r w:rsidRPr="00895D09">
        <w:rPr>
          <w:rFonts w:cs="TimesNewRoman"/>
          <w:b/>
          <w:sz w:val="24"/>
          <w:szCs w:val="24"/>
          <w:lang w:val="fi-FI"/>
        </w:rPr>
        <w:t xml:space="preserve">Tuomioistuinharjoittelu </w:t>
      </w:r>
    </w:p>
    <w:p w:rsidR="005E5928" w:rsidRDefault="005E5928" w:rsidP="00B23E67">
      <w:pPr>
        <w:jc w:val="both"/>
        <w:rPr>
          <w:bCs/>
          <w:sz w:val="24"/>
          <w:szCs w:val="24"/>
          <w:lang w:val="fi-FI"/>
        </w:rPr>
      </w:pPr>
      <w:r w:rsidRPr="0017192D">
        <w:rPr>
          <w:bCs/>
          <w:sz w:val="24"/>
          <w:szCs w:val="24"/>
          <w:lang w:val="fi-FI"/>
        </w:rPr>
        <w:t xml:space="preserve">Kiinnitän horisontaalisten ehdotusten osalta huomiota asiaan, joka näyttää jääneen syrjään: </w:t>
      </w:r>
      <w:r w:rsidRPr="0017192D">
        <w:rPr>
          <w:bCs/>
          <w:i/>
          <w:sz w:val="24"/>
          <w:szCs w:val="24"/>
          <w:lang w:val="fi-FI"/>
        </w:rPr>
        <w:t>tuomioistuinharjoittelun tulevaisuus</w:t>
      </w:r>
      <w:r w:rsidRPr="0017192D">
        <w:rPr>
          <w:bCs/>
          <w:sz w:val="24"/>
          <w:szCs w:val="24"/>
          <w:lang w:val="fi-FI"/>
        </w:rPr>
        <w:t xml:space="preserve">. Ns. auskultointipaikkojen  vähentyminen on aiheuttanut </w:t>
      </w:r>
      <w:r>
        <w:rPr>
          <w:bCs/>
          <w:sz w:val="24"/>
          <w:szCs w:val="24"/>
          <w:lang w:val="fi-FI"/>
        </w:rPr>
        <w:t xml:space="preserve">niistä </w:t>
      </w:r>
      <w:r w:rsidRPr="0017192D">
        <w:rPr>
          <w:bCs/>
          <w:sz w:val="24"/>
          <w:szCs w:val="24"/>
          <w:lang w:val="fi-FI"/>
        </w:rPr>
        <w:t xml:space="preserve">ankaran kilpailun. Kiinnitys- ja lainhuutoasioiden siirtyminen maanmittauslaitokselle on ratkaisevasti vähentänyt sellaista asiamassaa, jonka </w:t>
      </w:r>
      <w:r>
        <w:rPr>
          <w:bCs/>
          <w:sz w:val="24"/>
          <w:szCs w:val="24"/>
          <w:lang w:val="fi-FI"/>
        </w:rPr>
        <w:t xml:space="preserve">hoitamiseen </w:t>
      </w:r>
      <w:r w:rsidRPr="0017192D">
        <w:rPr>
          <w:bCs/>
          <w:sz w:val="24"/>
          <w:szCs w:val="24"/>
          <w:lang w:val="fi-FI"/>
        </w:rPr>
        <w:t>ennen tarvittiin notaareja</w:t>
      </w:r>
      <w:r>
        <w:rPr>
          <w:bCs/>
          <w:sz w:val="24"/>
          <w:szCs w:val="24"/>
          <w:lang w:val="fi-FI"/>
        </w:rPr>
        <w:t xml:space="preserve"> –</w:t>
      </w:r>
      <w:r w:rsidRPr="0017192D">
        <w:rPr>
          <w:bCs/>
          <w:sz w:val="24"/>
          <w:szCs w:val="24"/>
          <w:lang w:val="fi-FI"/>
        </w:rPr>
        <w:t xml:space="preserve">jotka samalla </w:t>
      </w:r>
      <w:r>
        <w:rPr>
          <w:bCs/>
          <w:sz w:val="24"/>
          <w:szCs w:val="24"/>
          <w:lang w:val="fi-FI"/>
        </w:rPr>
        <w:t xml:space="preserve">saivat </w:t>
      </w:r>
      <w:r w:rsidRPr="0017192D">
        <w:rPr>
          <w:bCs/>
          <w:sz w:val="24"/>
          <w:szCs w:val="24"/>
          <w:lang w:val="fi-FI"/>
        </w:rPr>
        <w:t xml:space="preserve">tilaisuuden perehtyä myös itse oikeudenkäyntimenettelyyn. Summaaristen asioiden mahdollinen siirtäminen pois käräjäoikeuksista saattaisi jo olla kuolinisku tuomioistuinharjoittelulle. Siinä tapauksessa tulisi – ja ilmeisesti muutoinkin – pohtia tapoja turvata käytännön </w:t>
      </w:r>
      <w:r>
        <w:rPr>
          <w:bCs/>
          <w:sz w:val="24"/>
          <w:szCs w:val="24"/>
          <w:lang w:val="fi-FI"/>
        </w:rPr>
        <w:t>tuomioistuin</w:t>
      </w:r>
      <w:r w:rsidRPr="0017192D">
        <w:rPr>
          <w:bCs/>
          <w:sz w:val="24"/>
          <w:szCs w:val="24"/>
          <w:lang w:val="fi-FI"/>
        </w:rPr>
        <w:t xml:space="preserve">kokemuksen saaminen vastavalmistuneille lakimiehille. </w:t>
      </w:r>
    </w:p>
    <w:p w:rsidR="005E5928" w:rsidRDefault="005E5928" w:rsidP="008713B7">
      <w:pPr>
        <w:ind w:left="720"/>
        <w:jc w:val="both"/>
        <w:rPr>
          <w:bCs/>
          <w:sz w:val="24"/>
          <w:szCs w:val="24"/>
          <w:lang w:val="fi-FI"/>
        </w:rPr>
      </w:pPr>
      <w:r w:rsidRPr="0017192D">
        <w:rPr>
          <w:bCs/>
          <w:sz w:val="24"/>
          <w:szCs w:val="24"/>
          <w:lang w:val="fi-FI"/>
        </w:rPr>
        <w:t xml:space="preserve">Ns. </w:t>
      </w:r>
      <w:r w:rsidRPr="008F04EB">
        <w:rPr>
          <w:bCs/>
          <w:i/>
          <w:sz w:val="24"/>
          <w:szCs w:val="24"/>
          <w:lang w:val="fi-FI"/>
        </w:rPr>
        <w:t>lupalakimiesjärjestelmän</w:t>
      </w:r>
      <w:r w:rsidRPr="0017192D">
        <w:rPr>
          <w:bCs/>
          <w:sz w:val="24"/>
          <w:szCs w:val="24"/>
          <w:lang w:val="fi-FI"/>
        </w:rPr>
        <w:t xml:space="preserve"> käyttöön ottaminen on entisestään nostanut rimaa työpaikan saamisessa asianajotoimistossa. Tulisi harkita, olisiko mahdollista varmistaa opiskelijoiden mahdollisuus myös käytännössä suorittaa asianaj</w:t>
      </w:r>
      <w:r>
        <w:rPr>
          <w:bCs/>
          <w:sz w:val="24"/>
          <w:szCs w:val="24"/>
          <w:lang w:val="fi-FI"/>
        </w:rPr>
        <w:t>aja</w:t>
      </w:r>
      <w:r w:rsidRPr="0017192D">
        <w:rPr>
          <w:bCs/>
          <w:sz w:val="24"/>
          <w:szCs w:val="24"/>
          <w:lang w:val="fi-FI"/>
        </w:rPr>
        <w:t>tutkinto jo opiskeluaikana. Tutkinnon suorittaminen on notaarivaiheen jälkeen lain mukaan mahdollista, mutta tutkinnon hinta usein estää sen suorittamisen opiskeluaikana.</w:t>
      </w:r>
    </w:p>
    <w:p w:rsidR="005E5928" w:rsidRPr="0017192D" w:rsidRDefault="005E5928" w:rsidP="008713B7">
      <w:pPr>
        <w:ind w:left="720"/>
        <w:jc w:val="both"/>
        <w:rPr>
          <w:bCs/>
          <w:sz w:val="24"/>
          <w:szCs w:val="24"/>
          <w:lang w:val="fi-FI"/>
        </w:rPr>
      </w:pPr>
    </w:p>
    <w:p w:rsidR="005E5928" w:rsidRPr="0002061D" w:rsidRDefault="005E5928" w:rsidP="00B23E67">
      <w:pPr>
        <w:jc w:val="both"/>
        <w:rPr>
          <w:b/>
          <w:bCs/>
          <w:sz w:val="24"/>
          <w:szCs w:val="24"/>
          <w:lang w:val="fi-FI"/>
        </w:rPr>
      </w:pPr>
      <w:r w:rsidRPr="0002061D">
        <w:rPr>
          <w:b/>
          <w:bCs/>
          <w:sz w:val="24"/>
          <w:szCs w:val="24"/>
          <w:lang w:val="fi-FI"/>
        </w:rPr>
        <w:t>II SEKTORIKOHTAINEN TARKASTELU</w:t>
      </w:r>
    </w:p>
    <w:p w:rsidR="005E5928" w:rsidRPr="0017192D" w:rsidRDefault="005E5928" w:rsidP="0017192D">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1. Parannetaan lainvalmistelun ajantasaisuutta ja laatua. Vaikutusarvioinneissa</w:t>
      </w:r>
    </w:p>
    <w:p w:rsidR="005E5928" w:rsidRPr="0017192D" w:rsidRDefault="005E5928" w:rsidP="0017192D">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otetaan huomioon myös lainsäädännön vaikutukset oikeudenhoitoon − jatkuvaa</w:t>
      </w:r>
    </w:p>
    <w:p w:rsidR="005E5928" w:rsidRPr="00895D09" w:rsidRDefault="005E5928" w:rsidP="0017192D">
      <w:pPr>
        <w:rPr>
          <w:rFonts w:cs="TimesNewRomanPS-BoldMT"/>
          <w:b/>
          <w:bCs/>
          <w:sz w:val="24"/>
          <w:szCs w:val="24"/>
          <w:lang w:val="fi-FI"/>
        </w:rPr>
      </w:pPr>
      <w:r w:rsidRPr="00895D09">
        <w:rPr>
          <w:rFonts w:cs="TimesNewRomanPS-BoldMT"/>
          <w:b/>
          <w:bCs/>
          <w:sz w:val="24"/>
          <w:szCs w:val="24"/>
          <w:lang w:val="fi-FI"/>
        </w:rPr>
        <w:t>kehitystoimintaa</w:t>
      </w:r>
    </w:p>
    <w:p w:rsidR="005E5928" w:rsidRPr="0017192D" w:rsidRDefault="005E5928" w:rsidP="000A22EB">
      <w:pPr>
        <w:jc w:val="both"/>
        <w:rPr>
          <w:sz w:val="24"/>
          <w:szCs w:val="24"/>
          <w:lang w:val="fi-FI"/>
        </w:rPr>
      </w:pPr>
      <w:r w:rsidRPr="0017192D">
        <w:rPr>
          <w:sz w:val="24"/>
          <w:szCs w:val="24"/>
          <w:lang w:val="fi-FI"/>
        </w:rPr>
        <w:t xml:space="preserve">Erityistä huomiota tulisi kiinnittää lainvalmistelijoiden </w:t>
      </w:r>
      <w:r>
        <w:rPr>
          <w:sz w:val="24"/>
          <w:szCs w:val="24"/>
          <w:lang w:val="fi-FI"/>
        </w:rPr>
        <w:t xml:space="preserve">kykyyn </w:t>
      </w:r>
      <w:r w:rsidRPr="0017192D">
        <w:rPr>
          <w:sz w:val="24"/>
          <w:szCs w:val="24"/>
          <w:lang w:val="fi-FI"/>
        </w:rPr>
        <w:t>lukea oikealla tavalla ihmisoikeustuomioistuimen ratkaisuja. Näyttää siltä, että EIT:n oikeuskäytännöstä etsitään sääntöä, joka sitten siirretään kansalliseen lakiin</w:t>
      </w:r>
      <w:r>
        <w:rPr>
          <w:sz w:val="24"/>
          <w:szCs w:val="24"/>
          <w:lang w:val="fi-FI"/>
        </w:rPr>
        <w:t xml:space="preserve">. </w:t>
      </w:r>
      <w:r w:rsidRPr="0017192D">
        <w:rPr>
          <w:sz w:val="24"/>
          <w:szCs w:val="24"/>
          <w:lang w:val="fi-FI"/>
        </w:rPr>
        <w:t>Se, ettei jotakin sääntöä löydy EIT:n oikeuskäytännöstä, ei merkitse, ettei sitä voisi olla olemassa, kun s</w:t>
      </w:r>
      <w:r>
        <w:rPr>
          <w:sz w:val="24"/>
          <w:szCs w:val="24"/>
          <w:lang w:val="fi-FI"/>
        </w:rPr>
        <w:t xml:space="preserve">opiva </w:t>
      </w:r>
      <w:r w:rsidRPr="0017192D">
        <w:rPr>
          <w:sz w:val="24"/>
          <w:szCs w:val="24"/>
          <w:lang w:val="fi-FI"/>
        </w:rPr>
        <w:t>asia tulee ratkaistavaksi</w:t>
      </w:r>
      <w:r>
        <w:rPr>
          <w:sz w:val="24"/>
          <w:szCs w:val="24"/>
          <w:lang w:val="fi-FI"/>
        </w:rPr>
        <w:t>.</w:t>
      </w:r>
      <w:r w:rsidRPr="0017192D">
        <w:rPr>
          <w:sz w:val="24"/>
          <w:szCs w:val="24"/>
          <w:lang w:val="fi-FI"/>
        </w:rPr>
        <w:t xml:space="preserve"> Kun – tietyllä perustavalla tavalla aina kesken olevasta </w:t>
      </w:r>
      <w:r>
        <w:rPr>
          <w:sz w:val="24"/>
          <w:szCs w:val="24"/>
          <w:lang w:val="fi-FI"/>
        </w:rPr>
        <w:t xml:space="preserve">(dynaamisesta) </w:t>
      </w:r>
      <w:r w:rsidRPr="0017192D">
        <w:rPr>
          <w:sz w:val="24"/>
          <w:szCs w:val="24"/>
          <w:lang w:val="fi-FI"/>
        </w:rPr>
        <w:t xml:space="preserve">– EIT:n oikeuskäytännöstä </w:t>
      </w:r>
      <w:r>
        <w:rPr>
          <w:sz w:val="24"/>
          <w:szCs w:val="24"/>
          <w:lang w:val="fi-FI"/>
        </w:rPr>
        <w:t xml:space="preserve">konstruoidaan </w:t>
      </w:r>
      <w:r w:rsidRPr="0017192D">
        <w:rPr>
          <w:sz w:val="24"/>
          <w:szCs w:val="24"/>
          <w:lang w:val="fi-FI"/>
        </w:rPr>
        <w:t xml:space="preserve">normeja yleiseen lakiin ja määrätään </w:t>
      </w:r>
      <w:r>
        <w:rPr>
          <w:sz w:val="24"/>
          <w:szCs w:val="24"/>
          <w:lang w:val="fi-FI"/>
        </w:rPr>
        <w:t xml:space="preserve">niille </w:t>
      </w:r>
      <w:r w:rsidRPr="0017192D">
        <w:rPr>
          <w:sz w:val="24"/>
          <w:szCs w:val="24"/>
          <w:lang w:val="fi-FI"/>
        </w:rPr>
        <w:t>soveltamisala, seuraa siitä yleensä samalla vastakohtaispäätelmä, jonka mukaan muissa tapauksissa normi ei olisi voimassa. Seurauksena saattaa olla se, että kansallinen laki on ristiriidassa ihmisoikeussopimuksen kanssa.</w:t>
      </w:r>
    </w:p>
    <w:p w:rsidR="005E5928" w:rsidRPr="00895D09" w:rsidRDefault="005E5928" w:rsidP="00B754EA">
      <w:pPr>
        <w:autoSpaceDE w:val="0"/>
        <w:autoSpaceDN w:val="0"/>
        <w:adjustRightInd w:val="0"/>
        <w:spacing w:after="0" w:line="240" w:lineRule="auto"/>
        <w:rPr>
          <w:rFonts w:cs="TimesNewRomanPS-BoldMT"/>
          <w:b/>
          <w:bCs/>
          <w:sz w:val="24"/>
          <w:szCs w:val="24"/>
          <w:lang w:val="fi-FI"/>
        </w:rPr>
      </w:pPr>
      <w:r w:rsidRPr="00895D09">
        <w:rPr>
          <w:rFonts w:cs="TimesNewRomanPS-BoldMT"/>
          <w:b/>
          <w:bCs/>
          <w:sz w:val="24"/>
          <w:szCs w:val="24"/>
          <w:lang w:val="fi-FI"/>
        </w:rPr>
        <w:t>6. Perustetaan tuomioistuinvirasto huolehtimaan tuomioistuinhallinnosta</w:t>
      </w:r>
    </w:p>
    <w:p w:rsidR="005E5928" w:rsidRPr="00895D09" w:rsidRDefault="005E5928" w:rsidP="00B754EA">
      <w:pPr>
        <w:jc w:val="both"/>
        <w:rPr>
          <w:rFonts w:cs="TimesNewRomanPS-BoldMT"/>
          <w:b/>
          <w:bCs/>
          <w:sz w:val="24"/>
          <w:szCs w:val="24"/>
          <w:lang w:val="fi-FI"/>
        </w:rPr>
      </w:pPr>
      <w:r w:rsidRPr="00895D09">
        <w:rPr>
          <w:rFonts w:cs="TimesNewRomanPS-BoldMT"/>
          <w:b/>
          <w:bCs/>
          <w:sz w:val="24"/>
          <w:szCs w:val="24"/>
          <w:lang w:val="fi-FI"/>
        </w:rPr>
        <w:t>– pitkän aikavälin tavoite</w:t>
      </w:r>
    </w:p>
    <w:p w:rsidR="005E5928" w:rsidRPr="0017192D" w:rsidRDefault="005E5928" w:rsidP="00B754EA">
      <w:pPr>
        <w:jc w:val="both"/>
        <w:rPr>
          <w:bCs/>
          <w:sz w:val="24"/>
          <w:szCs w:val="24"/>
          <w:lang w:val="fi-FI"/>
        </w:rPr>
      </w:pPr>
      <w:r w:rsidRPr="0017192D">
        <w:rPr>
          <w:bCs/>
          <w:sz w:val="24"/>
          <w:szCs w:val="24"/>
          <w:lang w:val="fi-FI"/>
        </w:rPr>
        <w:t xml:space="preserve">Jos poliittisessa ohjauksessa olevasta oikeusministeriöstä erillinen tuomioistuinvirasto on mahdollista perustaa niin, että nykyisessä oikeusministeriön oikeushallinto-osastossa tuomioistuinlaitoksen asioita hoitava henkilöstö riittää viraston henkilökunnaksi, estettä viraston perustamiselle ei ole. Muussa tapauksessa juuri nyt, suurten säästöpaineiden alla, ei ole oikea hetki viraston perustamiselle. Itse en näe, että ongelma oikeusministeriön alaisuudessa olemisesta on tuomareiden riippumattomuuden kannalta niin akuutti, että virasto tulee perustaa kustannuksista </w:t>
      </w:r>
      <w:r>
        <w:rPr>
          <w:bCs/>
          <w:sz w:val="24"/>
          <w:szCs w:val="24"/>
          <w:lang w:val="fi-FI"/>
        </w:rPr>
        <w:t>välittämättä.</w:t>
      </w:r>
      <w:r w:rsidRPr="0017192D">
        <w:rPr>
          <w:bCs/>
          <w:sz w:val="24"/>
          <w:szCs w:val="24"/>
          <w:lang w:val="fi-FI"/>
        </w:rPr>
        <w:t xml:space="preserve"> Suunnilleen samat kysymykset koskevat jatkossakin mahdollisen uuden viraston ohjausvaltaa tuomioistuimiin nähden kuin nykyisin</w:t>
      </w:r>
      <w:r>
        <w:rPr>
          <w:bCs/>
          <w:sz w:val="24"/>
          <w:szCs w:val="24"/>
          <w:lang w:val="fi-FI"/>
        </w:rPr>
        <w:t xml:space="preserve">. </w:t>
      </w:r>
      <w:r w:rsidRPr="0017192D">
        <w:rPr>
          <w:bCs/>
          <w:sz w:val="24"/>
          <w:szCs w:val="24"/>
          <w:lang w:val="fi-FI"/>
        </w:rPr>
        <w:t xml:space="preserve">On vaikea uskoa, että poliittinen ohjaus ulottuisi </w:t>
      </w:r>
      <w:r>
        <w:rPr>
          <w:bCs/>
          <w:sz w:val="24"/>
          <w:szCs w:val="24"/>
          <w:lang w:val="fi-FI"/>
        </w:rPr>
        <w:t xml:space="preserve">nytkään </w:t>
      </w:r>
      <w:r w:rsidRPr="0017192D">
        <w:rPr>
          <w:bCs/>
          <w:sz w:val="24"/>
          <w:szCs w:val="24"/>
          <w:lang w:val="fi-FI"/>
        </w:rPr>
        <w:t>oikeusministeriön virkamiesten kautta tuomioistuinten riippumattomuutta vaarantavalla tavalla tuomareiden työhön. Varsinkaan sen jälkeen</w:t>
      </w:r>
      <w:r>
        <w:rPr>
          <w:bCs/>
          <w:sz w:val="24"/>
          <w:szCs w:val="24"/>
          <w:lang w:val="fi-FI"/>
        </w:rPr>
        <w:t>,</w:t>
      </w:r>
      <w:r w:rsidRPr="0017192D">
        <w:rPr>
          <w:bCs/>
          <w:sz w:val="24"/>
          <w:szCs w:val="24"/>
          <w:lang w:val="fi-FI"/>
        </w:rPr>
        <w:t xml:space="preserve"> kun rakennemuutos kohti suur</w:t>
      </w:r>
      <w:r>
        <w:rPr>
          <w:bCs/>
          <w:sz w:val="24"/>
          <w:szCs w:val="24"/>
          <w:lang w:val="fi-FI"/>
        </w:rPr>
        <w:t xml:space="preserve">empia </w:t>
      </w:r>
      <w:r w:rsidRPr="0017192D">
        <w:rPr>
          <w:bCs/>
          <w:sz w:val="24"/>
          <w:szCs w:val="24"/>
          <w:lang w:val="fi-FI"/>
        </w:rPr>
        <w:t xml:space="preserve">käräjäpiiriyksiköitä on toteutettu, </w:t>
      </w:r>
      <w:r>
        <w:rPr>
          <w:bCs/>
          <w:sz w:val="24"/>
          <w:szCs w:val="24"/>
          <w:lang w:val="fi-FI"/>
        </w:rPr>
        <w:t>tuskin poliittiset painotukset voisivat</w:t>
      </w:r>
      <w:r w:rsidRPr="0017192D">
        <w:rPr>
          <w:bCs/>
          <w:sz w:val="24"/>
          <w:szCs w:val="24"/>
          <w:lang w:val="fi-FI"/>
        </w:rPr>
        <w:t xml:space="preserve"> vaikutta</w:t>
      </w:r>
      <w:r>
        <w:rPr>
          <w:bCs/>
          <w:sz w:val="24"/>
          <w:szCs w:val="24"/>
          <w:lang w:val="fi-FI"/>
        </w:rPr>
        <w:t>a</w:t>
      </w:r>
      <w:r w:rsidRPr="0017192D">
        <w:rPr>
          <w:bCs/>
          <w:sz w:val="24"/>
          <w:szCs w:val="24"/>
          <w:lang w:val="fi-FI"/>
        </w:rPr>
        <w:t xml:space="preserve"> edes resurssien jakamiseen. </w:t>
      </w:r>
    </w:p>
    <w:p w:rsidR="005E5928" w:rsidRPr="0017192D" w:rsidRDefault="005E5928" w:rsidP="003A6249">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7. Selvitetään korkeimpien oikeuksien organisatorisen yhdistämisen hyödyt ja</w:t>
      </w:r>
    </w:p>
    <w:p w:rsidR="005E5928" w:rsidRPr="00895D09" w:rsidRDefault="005E5928" w:rsidP="003A6249">
      <w:pPr>
        <w:jc w:val="both"/>
        <w:rPr>
          <w:rFonts w:cs="TimesNewRomanPS-BoldMT"/>
          <w:b/>
          <w:bCs/>
          <w:sz w:val="24"/>
          <w:szCs w:val="24"/>
          <w:lang w:val="fi-FI"/>
        </w:rPr>
      </w:pPr>
      <w:r w:rsidRPr="00895D09">
        <w:rPr>
          <w:rFonts w:cs="TimesNewRomanPS-BoldMT"/>
          <w:b/>
          <w:bCs/>
          <w:sz w:val="24"/>
          <w:szCs w:val="24"/>
          <w:lang w:val="fi-FI"/>
        </w:rPr>
        <w:t>haitat – keskipitkän aikavälin tavoite</w:t>
      </w:r>
    </w:p>
    <w:p w:rsidR="005E5928" w:rsidRPr="0017192D" w:rsidRDefault="005E5928" w:rsidP="003A6249">
      <w:pPr>
        <w:jc w:val="both"/>
        <w:rPr>
          <w:rFonts w:cs="TimesNewRomanPS-BoldMT"/>
          <w:bCs/>
          <w:sz w:val="24"/>
          <w:szCs w:val="24"/>
          <w:lang w:val="fi-FI"/>
        </w:rPr>
      </w:pPr>
      <w:r w:rsidRPr="0017192D">
        <w:rPr>
          <w:rFonts w:cs="TimesNewRomanPS-BoldMT"/>
          <w:bCs/>
          <w:sz w:val="24"/>
          <w:szCs w:val="24"/>
          <w:lang w:val="fi-FI"/>
        </w:rPr>
        <w:t xml:space="preserve">Mikään ei estä tällaisen selvityksen tekemistä, mutta se ei kuulu kiireellisyysjärjestyksessä tärkeimpien asioiden joukkoon. Ainakaan säästöjen hakemisen perusteella näin perustavaa muutosta ei pidä lähteä </w:t>
      </w:r>
      <w:r>
        <w:rPr>
          <w:rFonts w:cs="TimesNewRomanPS-BoldMT"/>
          <w:bCs/>
          <w:sz w:val="24"/>
          <w:szCs w:val="24"/>
          <w:lang w:val="fi-FI"/>
        </w:rPr>
        <w:t>ajamaan.</w:t>
      </w:r>
      <w:r w:rsidRPr="0017192D">
        <w:rPr>
          <w:rFonts w:cs="TimesNewRomanPS-BoldMT"/>
          <w:bCs/>
          <w:sz w:val="24"/>
          <w:szCs w:val="24"/>
          <w:lang w:val="fi-FI"/>
        </w:rPr>
        <w:t xml:space="preserve"> Eri asia on, jos esimerkiksi tuomareiden virkakierron edistäminen tai asiantuntemuksen yli tuomioistuinlinjojen tapahtuva käyttö edellyttää tuomioistuinlinjojen lähentämistä. Tosin uskoisin, että tällaisia seikkoja voidaan parantaa muullakin tavoin kuin linjojen organisatorisella yhdistämisellä. Vaikuttaa siltä, että säästötavoitteen varjolla pyritään sellaisiin uudistuksiin, joille on muutoin vaikea löytää pitäviä perusteita.</w:t>
      </w:r>
    </w:p>
    <w:p w:rsidR="005E5928" w:rsidRPr="0017192D" w:rsidRDefault="005E5928" w:rsidP="00B754EA">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11. Jatketaan käräjäoikeuksien rakenneuudistusta – keskipitkän ja pitkän aikavälin</w:t>
      </w:r>
    </w:p>
    <w:p w:rsidR="005E5928" w:rsidRPr="00895D09" w:rsidRDefault="005E5928" w:rsidP="00B754EA">
      <w:pPr>
        <w:jc w:val="both"/>
        <w:rPr>
          <w:rFonts w:cs="TimesNewRomanPS-BoldMT"/>
          <w:b/>
          <w:bCs/>
          <w:sz w:val="24"/>
          <w:szCs w:val="24"/>
          <w:lang w:val="fi-FI"/>
        </w:rPr>
      </w:pPr>
      <w:r w:rsidRPr="00895D09">
        <w:rPr>
          <w:rFonts w:cs="TimesNewRomanPS-BoldMT"/>
          <w:b/>
          <w:bCs/>
          <w:sz w:val="24"/>
          <w:szCs w:val="24"/>
          <w:lang w:val="fi-FI"/>
        </w:rPr>
        <w:t>tavoite</w:t>
      </w:r>
    </w:p>
    <w:p w:rsidR="005E5928" w:rsidRPr="0017192D" w:rsidRDefault="005E5928" w:rsidP="00B754EA">
      <w:pPr>
        <w:jc w:val="both"/>
        <w:rPr>
          <w:rFonts w:cs="TimesNewRomanPS-BoldMT"/>
          <w:bCs/>
          <w:sz w:val="24"/>
          <w:szCs w:val="24"/>
          <w:lang w:val="fi-FI"/>
        </w:rPr>
      </w:pPr>
      <w:r w:rsidRPr="0017192D">
        <w:rPr>
          <w:rFonts w:cs="TimesNewRomanPS-BoldMT"/>
          <w:bCs/>
          <w:sz w:val="24"/>
          <w:szCs w:val="24"/>
          <w:lang w:val="fi-FI"/>
        </w:rPr>
        <w:t xml:space="preserve">Käräjäoikeuksien lukumäärän vähentämiselle on </w:t>
      </w:r>
      <w:r>
        <w:rPr>
          <w:rFonts w:cs="TimesNewRomanPS-BoldMT"/>
          <w:bCs/>
          <w:sz w:val="24"/>
          <w:szCs w:val="24"/>
          <w:lang w:val="fi-FI"/>
        </w:rPr>
        <w:t xml:space="preserve">olemassa </w:t>
      </w:r>
      <w:r w:rsidRPr="0017192D">
        <w:rPr>
          <w:rFonts w:cs="TimesNewRomanPS-BoldMT"/>
          <w:bCs/>
          <w:sz w:val="24"/>
          <w:szCs w:val="24"/>
          <w:lang w:val="fi-FI"/>
        </w:rPr>
        <w:t xml:space="preserve">sellainen luonnollinen piste, jossa etäisyydet johtavat </w:t>
      </w:r>
      <w:r>
        <w:rPr>
          <w:rFonts w:cs="TimesNewRomanPS-BoldMT"/>
          <w:bCs/>
          <w:sz w:val="24"/>
          <w:szCs w:val="24"/>
          <w:lang w:val="fi-FI"/>
        </w:rPr>
        <w:t xml:space="preserve">niin mittavien </w:t>
      </w:r>
      <w:r w:rsidRPr="0017192D">
        <w:rPr>
          <w:rFonts w:cs="TimesNewRomanPS-BoldMT"/>
          <w:bCs/>
          <w:sz w:val="24"/>
          <w:szCs w:val="24"/>
          <w:lang w:val="fi-FI"/>
        </w:rPr>
        <w:t>uusien kustannusten syntymiseen</w:t>
      </w:r>
      <w:r>
        <w:rPr>
          <w:rFonts w:cs="TimesNewRomanPS-BoldMT"/>
          <w:bCs/>
          <w:sz w:val="24"/>
          <w:szCs w:val="24"/>
          <w:lang w:val="fi-FI"/>
        </w:rPr>
        <w:t xml:space="preserve"> ja virka-ajan tyhjäkäyntiin, ettei tuomiopiirien suurentamisessa ole mieltä</w:t>
      </w:r>
      <w:r w:rsidRPr="0017192D">
        <w:rPr>
          <w:rFonts w:cs="TimesNewRomanPS-BoldMT"/>
          <w:bCs/>
          <w:sz w:val="24"/>
          <w:szCs w:val="24"/>
          <w:lang w:val="fi-FI"/>
        </w:rPr>
        <w:t xml:space="preserve">. Onko </w:t>
      </w:r>
      <w:r>
        <w:rPr>
          <w:rFonts w:cs="TimesNewRomanPS-BoldMT"/>
          <w:bCs/>
          <w:sz w:val="24"/>
          <w:szCs w:val="24"/>
          <w:lang w:val="fi-FI"/>
        </w:rPr>
        <w:t xml:space="preserve">tarkoituksenmukaista, </w:t>
      </w:r>
      <w:r w:rsidRPr="0017192D">
        <w:rPr>
          <w:rFonts w:cs="TimesNewRomanPS-BoldMT"/>
          <w:bCs/>
          <w:sz w:val="24"/>
          <w:szCs w:val="24"/>
          <w:lang w:val="fi-FI"/>
        </w:rPr>
        <w:t xml:space="preserve">että </w:t>
      </w:r>
      <w:r>
        <w:rPr>
          <w:rFonts w:cs="TimesNewRomanPS-BoldMT"/>
          <w:bCs/>
          <w:sz w:val="24"/>
          <w:szCs w:val="24"/>
          <w:lang w:val="fi-FI"/>
        </w:rPr>
        <w:t xml:space="preserve">melkoinen </w:t>
      </w:r>
      <w:r w:rsidRPr="0017192D">
        <w:rPr>
          <w:rFonts w:cs="TimesNewRomanPS-BoldMT"/>
          <w:bCs/>
          <w:sz w:val="24"/>
          <w:szCs w:val="24"/>
          <w:lang w:val="fi-FI"/>
        </w:rPr>
        <w:t xml:space="preserve">osa Suomen tuomarikunnasta istuu päivittäin tuntikausia autossa tai junassa matkalla </w:t>
      </w:r>
      <w:r>
        <w:rPr>
          <w:rFonts w:cs="TimesNewRomanPS-BoldMT"/>
          <w:bCs/>
          <w:sz w:val="24"/>
          <w:szCs w:val="24"/>
          <w:lang w:val="fi-FI"/>
        </w:rPr>
        <w:t>istuntopaikkakunnalle</w:t>
      </w:r>
      <w:r w:rsidRPr="0017192D">
        <w:rPr>
          <w:rFonts w:cs="TimesNewRomanPS-BoldMT"/>
          <w:bCs/>
          <w:sz w:val="24"/>
          <w:szCs w:val="24"/>
          <w:lang w:val="fi-FI"/>
        </w:rPr>
        <w:t xml:space="preserve"> käräjille tai sieltä kotiin. Luulisi, että sekin aika olisi arvokkaampaa käyttää lainkäyttötehtäviin.</w:t>
      </w:r>
    </w:p>
    <w:p w:rsidR="005E5928" w:rsidRPr="0017192D" w:rsidRDefault="005E5928" w:rsidP="00C177CF">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14. Keskitetään summaaristen riita-asioiden käsittely siirtämällä ne ulosottoviranomaiselle</w:t>
      </w:r>
    </w:p>
    <w:p w:rsidR="005E5928" w:rsidRPr="0017192D" w:rsidRDefault="005E5928" w:rsidP="00C177CF">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tai enintään kolmeen käräjäoikeuteen – keskipitkän aikavälin</w:t>
      </w:r>
    </w:p>
    <w:p w:rsidR="005E5928" w:rsidRPr="00895D09" w:rsidRDefault="005E5928" w:rsidP="00C177CF">
      <w:pPr>
        <w:jc w:val="both"/>
        <w:rPr>
          <w:rFonts w:cs="TimesNewRomanPS-BoldMT"/>
          <w:b/>
          <w:bCs/>
          <w:sz w:val="24"/>
          <w:szCs w:val="24"/>
          <w:lang w:val="fi-FI"/>
        </w:rPr>
      </w:pPr>
      <w:r w:rsidRPr="00895D09">
        <w:rPr>
          <w:rFonts w:cs="TimesNewRomanPS-BoldMT"/>
          <w:b/>
          <w:bCs/>
          <w:sz w:val="24"/>
          <w:szCs w:val="24"/>
          <w:lang w:val="fi-FI"/>
        </w:rPr>
        <w:t>tavoite</w:t>
      </w:r>
    </w:p>
    <w:p w:rsidR="005E5928" w:rsidRDefault="005E5928" w:rsidP="00C177CF">
      <w:pPr>
        <w:jc w:val="both"/>
        <w:rPr>
          <w:rFonts w:cs="TimesNewRomanPS-BoldMT"/>
          <w:bCs/>
          <w:sz w:val="24"/>
          <w:szCs w:val="24"/>
          <w:lang w:val="fi-FI"/>
        </w:rPr>
      </w:pPr>
      <w:r w:rsidRPr="0017192D">
        <w:rPr>
          <w:rFonts w:cs="TimesNewRomanPS-BoldMT"/>
          <w:bCs/>
          <w:sz w:val="24"/>
          <w:szCs w:val="24"/>
          <w:lang w:val="fi-FI"/>
        </w:rPr>
        <w:t>Kannatan summaaristen asioiden sähköis</w:t>
      </w:r>
      <w:r>
        <w:rPr>
          <w:rFonts w:cs="TimesNewRomanPS-BoldMT"/>
          <w:bCs/>
          <w:sz w:val="24"/>
          <w:szCs w:val="24"/>
          <w:lang w:val="fi-FI"/>
        </w:rPr>
        <w:t xml:space="preserve">en menettelyn edelleen kehittämistä tavalla, jolla </w:t>
      </w:r>
      <w:r w:rsidRPr="0017192D">
        <w:rPr>
          <w:rFonts w:cs="TimesNewRomanPS-BoldMT"/>
          <w:bCs/>
          <w:sz w:val="24"/>
          <w:szCs w:val="24"/>
          <w:lang w:val="fi-FI"/>
        </w:rPr>
        <w:t>asian kustannukset voi</w:t>
      </w:r>
      <w:r>
        <w:rPr>
          <w:rFonts w:cs="TimesNewRomanPS-BoldMT"/>
          <w:bCs/>
          <w:sz w:val="24"/>
          <w:szCs w:val="24"/>
          <w:lang w:val="fi-FI"/>
        </w:rPr>
        <w:t xml:space="preserve">daan </w:t>
      </w:r>
      <w:r w:rsidRPr="0017192D">
        <w:rPr>
          <w:rFonts w:cs="TimesNewRomanPS-BoldMT"/>
          <w:bCs/>
          <w:sz w:val="24"/>
          <w:szCs w:val="24"/>
          <w:lang w:val="fi-FI"/>
        </w:rPr>
        <w:t xml:space="preserve">pitää </w:t>
      </w:r>
      <w:r>
        <w:rPr>
          <w:rFonts w:cs="TimesNewRomanPS-BoldMT"/>
          <w:bCs/>
          <w:sz w:val="24"/>
          <w:szCs w:val="24"/>
          <w:lang w:val="fi-FI"/>
        </w:rPr>
        <w:t>alhaisina.</w:t>
      </w:r>
      <w:r w:rsidRPr="0017192D">
        <w:rPr>
          <w:rFonts w:cs="TimesNewRomanPS-BoldMT"/>
          <w:bCs/>
          <w:sz w:val="24"/>
          <w:szCs w:val="24"/>
          <w:lang w:val="fi-FI"/>
        </w:rPr>
        <w:t xml:space="preserve"> </w:t>
      </w:r>
      <w:r>
        <w:rPr>
          <w:rFonts w:cs="TimesNewRomanPS-BoldMT"/>
          <w:bCs/>
          <w:sz w:val="24"/>
          <w:szCs w:val="24"/>
          <w:lang w:val="fi-FI"/>
        </w:rPr>
        <w:t>Jo asioiden keskittämiseen joihinkin käräjäoikeuksiin kannattaa suhtautua varovaisuudella, jos se merkitsee mittavia henkilöstön siirtoja ja toimitilakysymyksiä. Summaaristen asioiden hoitaminen tuo käräjäoikeuksiin sellaista asiamassaa, joka ylläpitää auskultointijärjestelmää ja toimistohenkilökunnan tarvetta. Kumpaakin henkilöstöryhmää voidaan käyttää myös muihin tehtäviin käräjäoikeudessa. On oma riskinsä, jos käräjäoikeuksien henkilöstö mitoitetaan ainoastaan oikeudenkäyntiasioiden mukaan. Tällöin etenkin notaareista saatava henkilöreservi ja –puskuri jää puuttumaan. Vaikka summaariset asiat ovat valtaosaltaan riidattomia, on niissä kuitenkin kysymys maksuvelvoitteen asettamisesta vastaajalle ja siinä mielessä oikeussuojan antamisesta kantajalle. Luonnollisesti ulosottoperusteen saaminen on summaarisissa asioissa tarpeen lähinnä perintää varten, joten siinä mielessä tosiasiallinen tiivis yhteys perintäintressiin on olemassa.</w:t>
      </w:r>
    </w:p>
    <w:p w:rsidR="005E5928" w:rsidRPr="0017192D" w:rsidRDefault="005E5928" w:rsidP="00C177CF">
      <w:pPr>
        <w:jc w:val="both"/>
        <w:rPr>
          <w:rFonts w:cs="TimesNewRomanPS-BoldMT"/>
          <w:bCs/>
          <w:sz w:val="24"/>
          <w:szCs w:val="24"/>
          <w:lang w:val="fi-FI"/>
        </w:rPr>
      </w:pPr>
      <w:r w:rsidRPr="0017192D">
        <w:rPr>
          <w:rFonts w:cs="TimesNewRomanPS-BoldMT"/>
          <w:bCs/>
          <w:sz w:val="24"/>
          <w:szCs w:val="24"/>
          <w:lang w:val="fi-FI"/>
        </w:rPr>
        <w:t>Sinällään estettä asioiden siirtämiselle ulosottolaitoksenkaan hoidettavaksi ei ole, mutta silloin joudutaan mittaviin henkilöstön siirtoihin käräjäoikeu</w:t>
      </w:r>
      <w:r>
        <w:rPr>
          <w:rFonts w:cs="TimesNewRomanPS-BoldMT"/>
          <w:bCs/>
          <w:sz w:val="24"/>
          <w:szCs w:val="24"/>
          <w:lang w:val="fi-FI"/>
        </w:rPr>
        <w:t xml:space="preserve">ksista </w:t>
      </w:r>
      <w:r w:rsidRPr="0017192D">
        <w:rPr>
          <w:rFonts w:cs="TimesNewRomanPS-BoldMT"/>
          <w:bCs/>
          <w:sz w:val="24"/>
          <w:szCs w:val="24"/>
          <w:lang w:val="fi-FI"/>
        </w:rPr>
        <w:t>ulosottolaitokseen. Jos summaariset riita-asiat siirrettäisiin ulosottolaitokseen, tulisi huolehtia siitä, ettei sama ulosottomies sekä vahvista ulosottoperustetta että pane sitä täytäntöön. Summaariset asiat todennäköisesti keskitettäisiin ulosottolaitoksessa</w:t>
      </w:r>
      <w:r>
        <w:rPr>
          <w:rFonts w:cs="TimesNewRomanPS-BoldMT"/>
          <w:bCs/>
          <w:sz w:val="24"/>
          <w:szCs w:val="24"/>
          <w:lang w:val="fi-FI"/>
        </w:rPr>
        <w:t>.</w:t>
      </w:r>
      <w:r w:rsidRPr="0017192D">
        <w:rPr>
          <w:rFonts w:cs="TimesNewRomanPS-BoldMT"/>
          <w:bCs/>
          <w:sz w:val="24"/>
          <w:szCs w:val="24"/>
          <w:lang w:val="fi-FI"/>
        </w:rPr>
        <w:t xml:space="preserve"> </w:t>
      </w:r>
    </w:p>
    <w:p w:rsidR="005E5928" w:rsidRPr="0017192D" w:rsidRDefault="005E5928" w:rsidP="00C177CF">
      <w:pPr>
        <w:jc w:val="both"/>
        <w:rPr>
          <w:rFonts w:cs="TimesNewRomanPS-BoldMT"/>
          <w:bCs/>
          <w:sz w:val="24"/>
          <w:szCs w:val="24"/>
          <w:lang w:val="fi-FI"/>
        </w:rPr>
      </w:pPr>
      <w:r w:rsidRPr="0017192D">
        <w:rPr>
          <w:rFonts w:cs="TimesNewRomanPS-BoldMT"/>
          <w:bCs/>
          <w:sz w:val="24"/>
          <w:szCs w:val="24"/>
          <w:lang w:val="fi-FI"/>
        </w:rPr>
        <w:t xml:space="preserve">Pitäisi myös huomioida se, että asiat voivat riitautua helpommin, jos yksipuolinen tuomio on ulosottomiehen antama kuin </w:t>
      </w:r>
      <w:r>
        <w:rPr>
          <w:rFonts w:cs="TimesNewRomanPS-BoldMT"/>
          <w:bCs/>
          <w:sz w:val="24"/>
          <w:szCs w:val="24"/>
          <w:lang w:val="fi-FI"/>
        </w:rPr>
        <w:t xml:space="preserve">jos tuomio </w:t>
      </w:r>
      <w:r w:rsidRPr="0017192D">
        <w:rPr>
          <w:rFonts w:cs="TimesNewRomanPS-BoldMT"/>
          <w:bCs/>
          <w:sz w:val="24"/>
          <w:szCs w:val="24"/>
          <w:lang w:val="fi-FI"/>
        </w:rPr>
        <w:t xml:space="preserve">tulee tuomioistuimen nimissä. Jos asia riitautuu, </w:t>
      </w:r>
      <w:r w:rsidRPr="0021347F">
        <w:rPr>
          <w:rFonts w:cs="TimesNewRomanPS-BoldMT"/>
          <w:bCs/>
          <w:i/>
          <w:sz w:val="24"/>
          <w:szCs w:val="24"/>
          <w:lang w:val="fi-FI"/>
        </w:rPr>
        <w:t>access to court</w:t>
      </w:r>
      <w:r w:rsidRPr="0017192D">
        <w:rPr>
          <w:rFonts w:cs="TimesNewRomanPS-BoldMT"/>
          <w:bCs/>
          <w:sz w:val="24"/>
          <w:szCs w:val="24"/>
          <w:lang w:val="fi-FI"/>
        </w:rPr>
        <w:t xml:space="preserve"> –periaate vaatii, ettei ulosottomies juuri voi ryhtyä tutkimaan, onko riitautus perusteeton. Kun sitten asia siirretään käräjäoikeuteen, edessä on täysimittainen riita-asian oikeudenkäynti kulu</w:t>
      </w:r>
      <w:r>
        <w:rPr>
          <w:rFonts w:cs="TimesNewRomanPS-BoldMT"/>
          <w:bCs/>
          <w:sz w:val="24"/>
          <w:szCs w:val="24"/>
          <w:lang w:val="fi-FI"/>
        </w:rPr>
        <w:t xml:space="preserve">ineen. Toinen vaihtoehto olisi järjestää kevennetty menettely ulosotosta riitautuneita asioita varten, mutta hyvä kysymys kuuluu, toisiko tämä työmääräsäästöä tuomareille nykyjärjestelmään verrattuna. Jonkinasteisena riskinä saattaa olla, että itse asiassa summaaristen asioiden siirron jälkeen niiden hoitamiseen tarvitaankin aikaisempaa suurempi </w:t>
      </w:r>
      <w:r w:rsidRPr="009D1A13">
        <w:rPr>
          <w:rFonts w:cs="TimesNewRomanPS-BoldMT"/>
          <w:bCs/>
          <w:i/>
          <w:sz w:val="24"/>
          <w:szCs w:val="24"/>
          <w:lang w:val="fi-FI"/>
        </w:rPr>
        <w:t>tuomari</w:t>
      </w:r>
      <w:r>
        <w:rPr>
          <w:rFonts w:cs="TimesNewRomanPS-BoldMT"/>
          <w:bCs/>
          <w:sz w:val="24"/>
          <w:szCs w:val="24"/>
          <w:lang w:val="fi-FI"/>
        </w:rPr>
        <w:t xml:space="preserve">työpanos. Tällaisia seikkoja tulee harkita tarkoin, koska pienetkin painopisteen muutokset satojentuhansien asiamäärien massa-asioissa aiheuttavat suuria seurannaisvaikutuksia. </w:t>
      </w:r>
    </w:p>
    <w:p w:rsidR="005E5928" w:rsidRPr="0017192D" w:rsidRDefault="005E5928" w:rsidP="00C177CF">
      <w:pPr>
        <w:jc w:val="both"/>
        <w:rPr>
          <w:rFonts w:cs="TimesNewRomanPS-BoldMT"/>
          <w:bCs/>
          <w:sz w:val="24"/>
          <w:szCs w:val="24"/>
          <w:lang w:val="fi-FI"/>
        </w:rPr>
      </w:pPr>
      <w:r w:rsidRPr="0017192D">
        <w:rPr>
          <w:rFonts w:cs="TimesNewRomanPS-BoldMT"/>
          <w:bCs/>
          <w:sz w:val="24"/>
          <w:szCs w:val="24"/>
          <w:lang w:val="fi-FI"/>
        </w:rPr>
        <w:t>Huomioon tulee myös ottaa se, että käräjäoikeuksiin tulee jättää joka tapauksessa summaaristen riita-asioiden mahdollisuus silloin, kun velkoja haluaa varmistaa tuomion Euroopan laajuisen täytäntöönpantavuuden. Suomi tuskin tulee saamaan läpi jälkikäteistä poikkeusta Bryssel I –asetukseen</w:t>
      </w:r>
      <w:r>
        <w:rPr>
          <w:rFonts w:cs="TimesNewRomanPS-BoldMT"/>
          <w:bCs/>
          <w:sz w:val="24"/>
          <w:szCs w:val="24"/>
          <w:lang w:val="fi-FI"/>
        </w:rPr>
        <w:t xml:space="preserve"> (Ruotsin neuvotteli tiettävästi poikkeuksen jo liittymisvaiheessa)</w:t>
      </w:r>
      <w:r w:rsidRPr="0017192D">
        <w:rPr>
          <w:rFonts w:cs="TimesNewRomanPS-BoldMT"/>
          <w:bCs/>
          <w:sz w:val="24"/>
          <w:szCs w:val="24"/>
          <w:lang w:val="fi-FI"/>
        </w:rPr>
        <w:t xml:space="preserve">. Ns. </w:t>
      </w:r>
      <w:r>
        <w:rPr>
          <w:rFonts w:cs="TimesNewRomanPS-BoldMT"/>
          <w:bCs/>
          <w:sz w:val="24"/>
          <w:szCs w:val="24"/>
          <w:lang w:val="fi-FI"/>
        </w:rPr>
        <w:t>eurooppalaiset erityisprosessit (</w:t>
      </w:r>
      <w:r w:rsidRPr="0017192D">
        <w:rPr>
          <w:rFonts w:cs="TimesNewRomanPS-BoldMT"/>
          <w:bCs/>
          <w:sz w:val="24"/>
          <w:szCs w:val="24"/>
          <w:lang w:val="fi-FI"/>
        </w:rPr>
        <w:t xml:space="preserve">vähäisten vaatimusten menettely </w:t>
      </w:r>
      <w:r>
        <w:rPr>
          <w:rFonts w:cs="TimesNewRomanPS-BoldMT"/>
          <w:bCs/>
          <w:sz w:val="24"/>
          <w:szCs w:val="24"/>
          <w:lang w:val="fi-FI"/>
        </w:rPr>
        <w:t xml:space="preserve">ja maksamismääräysmenettely) </w:t>
      </w:r>
      <w:r w:rsidRPr="0017192D">
        <w:rPr>
          <w:rFonts w:cs="TimesNewRomanPS-BoldMT"/>
          <w:bCs/>
          <w:sz w:val="24"/>
          <w:szCs w:val="24"/>
          <w:lang w:val="fi-FI"/>
        </w:rPr>
        <w:t xml:space="preserve">Helsingin käräjäoikeudessa </w:t>
      </w:r>
      <w:r>
        <w:rPr>
          <w:rFonts w:cs="TimesNewRomanPS-BoldMT"/>
          <w:bCs/>
          <w:sz w:val="24"/>
          <w:szCs w:val="24"/>
          <w:lang w:val="fi-FI"/>
        </w:rPr>
        <w:t xml:space="preserve">ovat luonteeltaan </w:t>
      </w:r>
      <w:r w:rsidRPr="0017192D">
        <w:rPr>
          <w:rFonts w:cs="TimesNewRomanPS-BoldMT"/>
          <w:bCs/>
          <w:sz w:val="24"/>
          <w:szCs w:val="24"/>
          <w:lang w:val="fi-FI"/>
        </w:rPr>
        <w:t>valinnai</w:t>
      </w:r>
      <w:r>
        <w:rPr>
          <w:rFonts w:cs="TimesNewRomanPS-BoldMT"/>
          <w:bCs/>
          <w:sz w:val="24"/>
          <w:szCs w:val="24"/>
          <w:lang w:val="fi-FI"/>
        </w:rPr>
        <w:t xml:space="preserve">sia </w:t>
      </w:r>
      <w:r w:rsidRPr="0017192D">
        <w:rPr>
          <w:rFonts w:cs="TimesNewRomanPS-BoldMT"/>
          <w:bCs/>
          <w:sz w:val="24"/>
          <w:szCs w:val="24"/>
          <w:lang w:val="fi-FI"/>
        </w:rPr>
        <w:t>menettely</w:t>
      </w:r>
      <w:r>
        <w:rPr>
          <w:rFonts w:cs="TimesNewRomanPS-BoldMT"/>
          <w:bCs/>
          <w:sz w:val="24"/>
          <w:szCs w:val="24"/>
          <w:lang w:val="fi-FI"/>
        </w:rPr>
        <w:t>jä, eivätkä voi yksin korvata ulosottoperusteen saamista muista käräjäoikeuksista myös summaarisissa asioissa</w:t>
      </w:r>
      <w:r w:rsidRPr="0017192D">
        <w:rPr>
          <w:rFonts w:cs="TimesNewRomanPS-BoldMT"/>
          <w:bCs/>
          <w:sz w:val="24"/>
          <w:szCs w:val="24"/>
          <w:lang w:val="fi-FI"/>
        </w:rPr>
        <w:t>.</w:t>
      </w:r>
    </w:p>
    <w:p w:rsidR="005E5928" w:rsidRPr="0017192D" w:rsidRDefault="005E5928" w:rsidP="00C177CF">
      <w:pPr>
        <w:jc w:val="both"/>
        <w:rPr>
          <w:rFonts w:cs="TimesNewRomanPS-BoldMT"/>
          <w:bCs/>
          <w:sz w:val="24"/>
          <w:szCs w:val="24"/>
          <w:lang w:val="fi-FI"/>
        </w:rPr>
      </w:pPr>
      <w:r w:rsidRPr="0017192D">
        <w:rPr>
          <w:rFonts w:cs="TimesNewRomanPS-BoldMT"/>
          <w:bCs/>
          <w:sz w:val="24"/>
          <w:szCs w:val="24"/>
          <w:lang w:val="fi-FI"/>
        </w:rPr>
        <w:t xml:space="preserve">Kannattaa </w:t>
      </w:r>
      <w:r>
        <w:rPr>
          <w:rFonts w:cs="TimesNewRomanPS-BoldMT"/>
          <w:bCs/>
          <w:sz w:val="24"/>
          <w:szCs w:val="24"/>
          <w:lang w:val="fi-FI"/>
        </w:rPr>
        <w:t xml:space="preserve">lisäksi </w:t>
      </w:r>
      <w:r w:rsidRPr="0017192D">
        <w:rPr>
          <w:rFonts w:cs="TimesNewRomanPS-BoldMT"/>
          <w:bCs/>
          <w:sz w:val="24"/>
          <w:szCs w:val="24"/>
          <w:lang w:val="fi-FI"/>
        </w:rPr>
        <w:t xml:space="preserve">huomata ongelma, joka saattaa seurata hyvän perintätavan kannalta siitä, että asia viedään suoraan ulosottoperintään, ensin yksipuolisen tuomion </w:t>
      </w:r>
      <w:r>
        <w:rPr>
          <w:rFonts w:cs="TimesNewRomanPS-BoldMT"/>
          <w:bCs/>
          <w:sz w:val="24"/>
          <w:szCs w:val="24"/>
          <w:lang w:val="fi-FI"/>
        </w:rPr>
        <w:t xml:space="preserve">(tai sitä vastaavan maksamismääräyksen) </w:t>
      </w:r>
      <w:r w:rsidRPr="0017192D">
        <w:rPr>
          <w:rFonts w:cs="TimesNewRomanPS-BoldMT"/>
          <w:bCs/>
          <w:sz w:val="24"/>
          <w:szCs w:val="24"/>
          <w:lang w:val="fi-FI"/>
        </w:rPr>
        <w:t>saamiseksi ja sen jälkeen seuraava yhteydenotto kuluttajaan tuleekin jo ulosottomieheltä.</w:t>
      </w:r>
      <w:r>
        <w:rPr>
          <w:rFonts w:cs="TimesNewRomanPS-BoldMT"/>
          <w:bCs/>
          <w:sz w:val="24"/>
          <w:szCs w:val="24"/>
          <w:lang w:val="fi-FI"/>
        </w:rPr>
        <w:t xml:space="preserve"> Saattaa myös olla, että esimerkiksi perimistoimistot haluavat ottaa asian väillä pois ulosotosta, koska saavat perintäyrityksistä korvausta ja asiakas välttyy ulosottomaksujen maksamiselta. Näin edestakainen asiakirjaliikenne ei välttämättä vähene. Pikemminkin tulisi kehittää asioiden sähköistä kulkua velkojalta käräjäoikeuteen ja sieltä (eri pyynnöstä) ulosottolaitokseen.</w:t>
      </w:r>
    </w:p>
    <w:p w:rsidR="005E5928" w:rsidRPr="0017192D" w:rsidRDefault="005E5928" w:rsidP="00C177CF">
      <w:pPr>
        <w:jc w:val="both"/>
        <w:rPr>
          <w:rFonts w:cs="TimesNewRomanPS-BoldMT"/>
          <w:bCs/>
          <w:sz w:val="24"/>
          <w:szCs w:val="24"/>
          <w:lang w:val="fi-FI"/>
        </w:rPr>
      </w:pPr>
      <w:r w:rsidRPr="0017192D">
        <w:rPr>
          <w:rFonts w:cs="TimesNewRomanPS-BoldMT"/>
          <w:bCs/>
          <w:sz w:val="24"/>
          <w:szCs w:val="24"/>
          <w:lang w:val="fi-FI"/>
        </w:rPr>
        <w:t xml:space="preserve">Yksipuolisten tuomioiden tiedoksianto </w:t>
      </w:r>
      <w:r>
        <w:rPr>
          <w:rFonts w:cs="TimesNewRomanPS-BoldMT"/>
          <w:bCs/>
          <w:sz w:val="24"/>
          <w:szCs w:val="24"/>
          <w:lang w:val="fi-FI"/>
        </w:rPr>
        <w:t xml:space="preserve">ja sen kustannusvaikutus </w:t>
      </w:r>
      <w:r w:rsidRPr="0017192D">
        <w:rPr>
          <w:rFonts w:cs="TimesNewRomanPS-BoldMT"/>
          <w:bCs/>
          <w:sz w:val="24"/>
          <w:szCs w:val="24"/>
          <w:lang w:val="fi-FI"/>
        </w:rPr>
        <w:t xml:space="preserve">on myös yksi selvitettävä kysymys. Ennen täytäntöönpanoa </w:t>
      </w:r>
      <w:r>
        <w:rPr>
          <w:rFonts w:cs="TimesNewRomanPS-BoldMT"/>
          <w:bCs/>
          <w:sz w:val="24"/>
          <w:szCs w:val="24"/>
          <w:lang w:val="fi-FI"/>
        </w:rPr>
        <w:t xml:space="preserve">tuomio </w:t>
      </w:r>
      <w:r w:rsidRPr="0017192D">
        <w:rPr>
          <w:rFonts w:cs="TimesNewRomanPS-BoldMT"/>
          <w:bCs/>
          <w:sz w:val="24"/>
          <w:szCs w:val="24"/>
          <w:lang w:val="fi-FI"/>
        </w:rPr>
        <w:t>tulisi antaa tiedoksi vastaajalle (velalliselle). Nyt tästä tiedoksiannosta huolehtii osassa asioita velkoja. Tiedoksiantojärjestelmässä on tiettävästi nykyisinkin ongelmia ja oikeusturvapuutteita.</w:t>
      </w:r>
      <w:r>
        <w:rPr>
          <w:rFonts w:cs="TimesNewRomanPS-BoldMT"/>
          <w:bCs/>
          <w:sz w:val="24"/>
          <w:szCs w:val="24"/>
          <w:lang w:val="fi-FI"/>
        </w:rPr>
        <w:t xml:space="preserve"> Tiedoksiantotehtävän antaminen ulosottomiehille aiheuttaisi mittavia kustannuksia ja rasittaisi ulosottolaitosta. Ulosottomiehen velalliselle toimittama vireilletuloilmoitus ei merkitse todiste</w:t>
      </w:r>
      <w:bookmarkStart w:id="0" w:name="_GoBack"/>
      <w:bookmarkEnd w:id="0"/>
      <w:r>
        <w:rPr>
          <w:rFonts w:cs="TimesNewRomanPS-BoldMT"/>
          <w:bCs/>
          <w:sz w:val="24"/>
          <w:szCs w:val="24"/>
          <w:lang w:val="fi-FI"/>
        </w:rPr>
        <w:t xml:space="preserve">ellista tiedoksiantoa. </w:t>
      </w:r>
    </w:p>
    <w:p w:rsidR="005E5928" w:rsidRPr="0017192D" w:rsidRDefault="005E5928" w:rsidP="003E22BF">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26. Rikosprosessia kevennetään näytöllisesti selvissä asioissa ja tiivistetään</w:t>
      </w:r>
    </w:p>
    <w:p w:rsidR="005E5928" w:rsidRPr="00895D09" w:rsidRDefault="005E5928" w:rsidP="003E22BF">
      <w:pPr>
        <w:jc w:val="both"/>
        <w:rPr>
          <w:rFonts w:cs="TimesNewRomanPS-BoldMT"/>
          <w:b/>
          <w:bCs/>
          <w:sz w:val="24"/>
          <w:szCs w:val="24"/>
          <w:lang w:val="fi-FI"/>
        </w:rPr>
      </w:pPr>
      <w:r w:rsidRPr="00895D09">
        <w:rPr>
          <w:rFonts w:cs="TimesNewRomanPS-BoldMT"/>
          <w:b/>
          <w:bCs/>
          <w:sz w:val="24"/>
          <w:szCs w:val="24"/>
          <w:lang w:val="fi-FI"/>
        </w:rPr>
        <w:t>rikosprosessiketjua – keskipitkän aikavälin tavoite</w:t>
      </w:r>
    </w:p>
    <w:p w:rsidR="005E5928" w:rsidRPr="0017192D" w:rsidRDefault="005E5928" w:rsidP="003E22BF">
      <w:pPr>
        <w:jc w:val="both"/>
        <w:rPr>
          <w:rFonts w:cs="TimesNewRomanPS-BoldMT"/>
          <w:bCs/>
          <w:sz w:val="24"/>
          <w:szCs w:val="24"/>
          <w:lang w:val="fi-FI"/>
        </w:rPr>
      </w:pPr>
      <w:r w:rsidRPr="0017192D">
        <w:rPr>
          <w:rFonts w:cs="TimesNewRomanPS-BoldMT"/>
          <w:bCs/>
          <w:sz w:val="24"/>
          <w:szCs w:val="24"/>
          <w:lang w:val="fi-FI"/>
        </w:rPr>
        <w:t xml:space="preserve">Esimerkiksi rattijuopumistapauksissa rikosprosessiketjun tiivistäminen </w:t>
      </w:r>
      <w:r>
        <w:rPr>
          <w:rFonts w:cs="TimesNewRomanPS-BoldMT"/>
          <w:bCs/>
          <w:sz w:val="24"/>
          <w:szCs w:val="24"/>
          <w:lang w:val="fi-FI"/>
        </w:rPr>
        <w:t xml:space="preserve">olisi </w:t>
      </w:r>
      <w:r w:rsidRPr="0017192D">
        <w:rPr>
          <w:rFonts w:cs="TimesNewRomanPS-BoldMT"/>
          <w:bCs/>
          <w:sz w:val="24"/>
          <w:szCs w:val="24"/>
          <w:lang w:val="fi-FI"/>
        </w:rPr>
        <w:t>aiheellista. Rangaistusvaatimuksen tarkka kirjaaminen kirjallisessa menettelyssä antaisi vastaajalle paremman pohjan suostua kirjalliseen menettelyyn. Tässä ei ole kysymys varsinaisesta plea bargaining –</w:t>
      </w:r>
      <w:r>
        <w:rPr>
          <w:rFonts w:cs="TimesNewRomanPS-BoldMT"/>
          <w:bCs/>
          <w:sz w:val="24"/>
          <w:szCs w:val="24"/>
          <w:lang w:val="fi-FI"/>
        </w:rPr>
        <w:t>menettelystä, mutta sellaisen menettelyn suuntaan kirjallista prosessiakin on mahdollista kehittää.</w:t>
      </w:r>
    </w:p>
    <w:p w:rsidR="005E5928" w:rsidRPr="00895D09" w:rsidRDefault="005E5928" w:rsidP="003E22BF">
      <w:pPr>
        <w:jc w:val="both"/>
        <w:rPr>
          <w:rFonts w:cs="TimesNewRomanPS-BoldMT"/>
          <w:b/>
          <w:bCs/>
          <w:sz w:val="24"/>
          <w:szCs w:val="24"/>
          <w:lang w:val="fi-FI"/>
        </w:rPr>
      </w:pPr>
      <w:r w:rsidRPr="00895D09">
        <w:rPr>
          <w:rFonts w:cs="TimesNewRomanPS-BoldMT"/>
          <w:b/>
          <w:bCs/>
          <w:sz w:val="24"/>
          <w:szCs w:val="24"/>
          <w:lang w:val="fi-FI"/>
        </w:rPr>
        <w:t>30. Yksinkertaistetaan velkajärjestelyä – lyhyen aikavälin tavoite</w:t>
      </w:r>
    </w:p>
    <w:p w:rsidR="005E5928" w:rsidRDefault="005E5928" w:rsidP="003E22BF">
      <w:pPr>
        <w:jc w:val="both"/>
        <w:rPr>
          <w:rFonts w:cs="TimesNewRomanPS-BoldMT"/>
          <w:bCs/>
          <w:sz w:val="24"/>
          <w:szCs w:val="24"/>
          <w:lang w:val="fi-FI"/>
        </w:rPr>
      </w:pPr>
      <w:r w:rsidRPr="0017192D">
        <w:rPr>
          <w:rFonts w:cs="TimesNewRomanPS-BoldMT"/>
          <w:bCs/>
          <w:sz w:val="24"/>
          <w:szCs w:val="24"/>
          <w:lang w:val="fi-FI"/>
        </w:rPr>
        <w:t xml:space="preserve">Velkajärjestelyssä on lukuisia ongelmakohtia. Esimerkiksi ns. lisäsuoritusvelvollisuus, joka on seurausta siitä, ettei maksuohjelma jousta tulojen mukaisesti, on erityisen ongelmallinen ja syö turhaan velkaneuvonnan ja tuomioistuinlaitoksen resursseja. Ns. lyhentyvä </w:t>
      </w:r>
      <w:r>
        <w:rPr>
          <w:rFonts w:cs="TimesNewRomanPS-BoldMT"/>
          <w:bCs/>
          <w:sz w:val="24"/>
          <w:szCs w:val="24"/>
          <w:lang w:val="fi-FI"/>
        </w:rPr>
        <w:t xml:space="preserve">viiden vuoden </w:t>
      </w:r>
      <w:r w:rsidRPr="0017192D">
        <w:rPr>
          <w:rFonts w:cs="TimesNewRomanPS-BoldMT"/>
          <w:bCs/>
          <w:sz w:val="24"/>
          <w:szCs w:val="24"/>
          <w:lang w:val="fi-FI"/>
        </w:rPr>
        <w:t>nollaohjelma tulisi ottaa käyttöön</w:t>
      </w:r>
      <w:r>
        <w:rPr>
          <w:rFonts w:cs="TimesNewRomanPS-BoldMT"/>
          <w:bCs/>
          <w:sz w:val="24"/>
          <w:szCs w:val="24"/>
          <w:lang w:val="fi-FI"/>
        </w:rPr>
        <w:t xml:space="preserve">. Siinä </w:t>
      </w:r>
      <w:r w:rsidRPr="0017192D">
        <w:rPr>
          <w:rFonts w:cs="TimesNewRomanPS-BoldMT"/>
          <w:bCs/>
          <w:sz w:val="24"/>
          <w:szCs w:val="24"/>
          <w:lang w:val="fi-FI"/>
        </w:rPr>
        <w:t>velallis</w:t>
      </w:r>
      <w:r>
        <w:rPr>
          <w:rFonts w:cs="TimesNewRomanPS-BoldMT"/>
          <w:bCs/>
          <w:sz w:val="24"/>
          <w:szCs w:val="24"/>
          <w:lang w:val="fi-FI"/>
        </w:rPr>
        <w:t xml:space="preserve">ella on kannuste </w:t>
      </w:r>
      <w:r w:rsidRPr="0017192D">
        <w:rPr>
          <w:rFonts w:cs="TimesNewRomanPS-BoldMT"/>
          <w:bCs/>
          <w:sz w:val="24"/>
          <w:szCs w:val="24"/>
          <w:lang w:val="fi-FI"/>
        </w:rPr>
        <w:t>työllisty</w:t>
      </w:r>
      <w:r>
        <w:rPr>
          <w:rFonts w:cs="TimesNewRomanPS-BoldMT"/>
          <w:bCs/>
          <w:sz w:val="24"/>
          <w:szCs w:val="24"/>
          <w:lang w:val="fi-FI"/>
        </w:rPr>
        <w:t xml:space="preserve">ä </w:t>
      </w:r>
      <w:r w:rsidRPr="0017192D">
        <w:rPr>
          <w:rFonts w:cs="TimesNewRomanPS-BoldMT"/>
          <w:bCs/>
          <w:sz w:val="24"/>
          <w:szCs w:val="24"/>
          <w:lang w:val="fi-FI"/>
        </w:rPr>
        <w:t xml:space="preserve">maksuohjelman aikana, koska jokainen maksukuukausi lyhentäisi ohjelmaa. </w:t>
      </w:r>
      <w:r>
        <w:rPr>
          <w:rFonts w:cs="TimesNewRomanPS-BoldMT"/>
          <w:bCs/>
          <w:sz w:val="24"/>
          <w:szCs w:val="24"/>
          <w:lang w:val="fi-FI"/>
        </w:rPr>
        <w:t xml:space="preserve">Yrittäjien asemassa on paljon korjattavaa. </w:t>
      </w:r>
      <w:r w:rsidRPr="0017192D">
        <w:rPr>
          <w:rFonts w:cs="TimesNewRomanPS-BoldMT"/>
          <w:bCs/>
          <w:sz w:val="24"/>
          <w:szCs w:val="24"/>
          <w:lang w:val="fi-FI"/>
        </w:rPr>
        <w:t xml:space="preserve">Nykyisessä velkajärjestelylaissa on paikka paikan päällä. Olisi jo korkea aika saada kokonaan uusi ja selkeä velkajärjestelylaki. </w:t>
      </w:r>
      <w:r>
        <w:rPr>
          <w:rFonts w:cs="TimesNewRomanPS-BoldMT"/>
          <w:bCs/>
          <w:sz w:val="24"/>
          <w:szCs w:val="24"/>
          <w:lang w:val="fi-FI"/>
        </w:rPr>
        <w:t>Velkajärjestelyn yksinkertaistamisen ääritapa olisi se, että tuomioistuin myöntää velkajärjestelyn ja sen jälkeen velallinen olisi ulosotossa maksuohjelman ajan (3/5 vuotta). Tähän ei kuitenkaan mitä ilmeisimmin olla vielä valmiita.</w:t>
      </w:r>
    </w:p>
    <w:p w:rsidR="005E5928" w:rsidRPr="0017192D" w:rsidRDefault="005E5928" w:rsidP="003E22BF">
      <w:pPr>
        <w:jc w:val="both"/>
        <w:rPr>
          <w:rFonts w:cs="TimesNewRomanPS-BoldMT"/>
          <w:bCs/>
          <w:sz w:val="24"/>
          <w:szCs w:val="24"/>
          <w:lang w:val="fi-FI"/>
        </w:rPr>
      </w:pPr>
      <w:r w:rsidRPr="0017192D">
        <w:rPr>
          <w:rFonts w:cs="TimesNewRomanPS-BoldMT"/>
          <w:bCs/>
          <w:sz w:val="24"/>
          <w:szCs w:val="24"/>
          <w:lang w:val="fi-FI"/>
        </w:rPr>
        <w:t>Sähköisen asioinnin kehittäminen talous- ja velkaneuvonnassa on toiminnan tulevaisuuden kulmakivi.</w:t>
      </w:r>
    </w:p>
    <w:p w:rsidR="005E5928" w:rsidRPr="0017192D" w:rsidRDefault="005E5928" w:rsidP="003E22BF">
      <w:pPr>
        <w:jc w:val="both"/>
        <w:rPr>
          <w:rFonts w:cs="TimesNewRomanPS-BoldMT"/>
          <w:bCs/>
          <w:sz w:val="24"/>
          <w:szCs w:val="24"/>
          <w:lang w:val="fi-FI"/>
        </w:rPr>
      </w:pPr>
      <w:r w:rsidRPr="0017192D">
        <w:rPr>
          <w:rFonts w:cs="TimesNewRomanPS-BoldMT"/>
          <w:bCs/>
          <w:sz w:val="24"/>
          <w:szCs w:val="24"/>
          <w:lang w:val="fi-FI"/>
        </w:rPr>
        <w:t xml:space="preserve">Kiinnittäisin vakavaa huomiota siihen, ettei oikeusministeriössä ole vieläkään huolehdittu niiden velallisten </w:t>
      </w:r>
      <w:r w:rsidRPr="008F04EB">
        <w:rPr>
          <w:rFonts w:cs="TimesNewRomanPS-BoldMT"/>
          <w:bCs/>
          <w:i/>
          <w:sz w:val="24"/>
          <w:szCs w:val="24"/>
          <w:lang w:val="fi-FI"/>
        </w:rPr>
        <w:t>saatavien lopullisesta vanhentumisesta</w:t>
      </w:r>
      <w:r w:rsidRPr="0017192D">
        <w:rPr>
          <w:rFonts w:cs="TimesNewRomanPS-BoldMT"/>
          <w:bCs/>
          <w:sz w:val="24"/>
          <w:szCs w:val="24"/>
          <w:lang w:val="fi-FI"/>
        </w:rPr>
        <w:t>, joi</w:t>
      </w:r>
      <w:r>
        <w:rPr>
          <w:rFonts w:cs="TimesNewRomanPS-BoldMT"/>
          <w:bCs/>
          <w:sz w:val="24"/>
          <w:szCs w:val="24"/>
          <w:lang w:val="fi-FI"/>
        </w:rPr>
        <w:t xml:space="preserve">ta vastaan </w:t>
      </w:r>
      <w:r w:rsidRPr="0017192D">
        <w:rPr>
          <w:rFonts w:cs="TimesNewRomanPS-BoldMT"/>
          <w:bCs/>
          <w:sz w:val="24"/>
          <w:szCs w:val="24"/>
          <w:lang w:val="fi-FI"/>
        </w:rPr>
        <w:t xml:space="preserve">ei ole haettu tuomiota. </w:t>
      </w:r>
      <w:r>
        <w:rPr>
          <w:rFonts w:cs="TimesNewRomanPS-BoldMT"/>
          <w:bCs/>
          <w:sz w:val="24"/>
          <w:szCs w:val="24"/>
          <w:lang w:val="fi-FI"/>
        </w:rPr>
        <w:t xml:space="preserve">Meillä on yhä edellisen laman - toisin sanoen 1990-luvun alun laman - aikana velkaantuneita kansalaisia, joiden velkavastuu jatkuu koko eliniän, koska perimistoimisto katkaisee saatavan vanhentumisen kerta kerran jälkeen. Ulosottokaaressa säädetty saatavan lopullinen vanhentuminen koskee vain niitä velallisia, joiden saatavasta velkoja on hankkinut tuomion. Tämä on täysin velallisesta riippumaton seikka. </w:t>
      </w:r>
      <w:r w:rsidRPr="0017192D">
        <w:rPr>
          <w:rFonts w:cs="TimesNewRomanPS-BoldMT"/>
          <w:bCs/>
          <w:sz w:val="24"/>
          <w:szCs w:val="24"/>
          <w:lang w:val="fi-FI"/>
        </w:rPr>
        <w:t>Mielestäni tilanne on kansalaisten yhdenvertaisuuden kannalta ongelmallinen jopa perustuslain näkökulmasta.</w:t>
      </w:r>
    </w:p>
    <w:p w:rsidR="005E5928" w:rsidRPr="0017192D" w:rsidRDefault="005E5928" w:rsidP="004254A9">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33. Lisätään videotallenteiden käyttöä hovioikeudessa – keskipitkän aikavälin</w:t>
      </w:r>
    </w:p>
    <w:p w:rsidR="005E5928" w:rsidRPr="00895D09" w:rsidRDefault="005E5928" w:rsidP="004254A9">
      <w:pPr>
        <w:jc w:val="both"/>
        <w:rPr>
          <w:rFonts w:cs="TimesNewRomanPS-BoldMT"/>
          <w:b/>
          <w:bCs/>
          <w:sz w:val="24"/>
          <w:szCs w:val="24"/>
          <w:lang w:val="fi-FI"/>
        </w:rPr>
      </w:pPr>
      <w:r w:rsidRPr="00895D09">
        <w:rPr>
          <w:rFonts w:cs="TimesNewRomanPS-BoldMT"/>
          <w:b/>
          <w:bCs/>
          <w:sz w:val="24"/>
          <w:szCs w:val="24"/>
          <w:lang w:val="fi-FI"/>
        </w:rPr>
        <w:t>tavoite</w:t>
      </w:r>
    </w:p>
    <w:p w:rsidR="005E5928" w:rsidRPr="0017192D" w:rsidRDefault="005E5928" w:rsidP="004254A9">
      <w:pPr>
        <w:jc w:val="both"/>
        <w:rPr>
          <w:rFonts w:cs="TimesNewRomanPS-BoldMT"/>
          <w:bCs/>
          <w:sz w:val="24"/>
          <w:szCs w:val="24"/>
          <w:lang w:val="fi-FI"/>
        </w:rPr>
      </w:pPr>
      <w:r w:rsidRPr="0017192D">
        <w:rPr>
          <w:rFonts w:cs="TimesNewRomanPS-BoldMT"/>
          <w:bCs/>
          <w:sz w:val="24"/>
          <w:szCs w:val="24"/>
          <w:lang w:val="fi-FI"/>
        </w:rPr>
        <w:t xml:space="preserve">Asiaa kannattaa selvittää ensin perusteellisesti. Videonauhojen passiivinen katsominen ja kelaaminen muutoksenhakuasteissa muuttaa lainkäytön kuvaa merkittävästi. Mieluummin tulisi keskittää oikeudenkäyntiä välittömyyden ja suullisuuden pohjalta käräjäoikeuksiin, jossa asia ratkaistaisiin sellaisessa monijäsenisessä kokoonpanossa, että näytön vastaanottaminen uudestaan ylemmässä asteessa olisi </w:t>
      </w:r>
      <w:r>
        <w:rPr>
          <w:rFonts w:cs="TimesNewRomanPS-BoldMT"/>
          <w:bCs/>
          <w:sz w:val="24"/>
          <w:szCs w:val="24"/>
          <w:lang w:val="fi-FI"/>
        </w:rPr>
        <w:t xml:space="preserve">vain </w:t>
      </w:r>
      <w:r w:rsidRPr="0017192D">
        <w:rPr>
          <w:rFonts w:cs="TimesNewRomanPS-BoldMT"/>
          <w:bCs/>
          <w:sz w:val="24"/>
          <w:szCs w:val="24"/>
          <w:lang w:val="fi-FI"/>
        </w:rPr>
        <w:t>poikkeuksellis</w:t>
      </w:r>
      <w:r>
        <w:rPr>
          <w:rFonts w:cs="TimesNewRomanPS-BoldMT"/>
          <w:bCs/>
          <w:sz w:val="24"/>
          <w:szCs w:val="24"/>
          <w:lang w:val="fi-FI"/>
        </w:rPr>
        <w:t>es</w:t>
      </w:r>
      <w:r w:rsidRPr="0017192D">
        <w:rPr>
          <w:rFonts w:cs="TimesNewRomanPS-BoldMT"/>
          <w:bCs/>
          <w:sz w:val="24"/>
          <w:szCs w:val="24"/>
          <w:lang w:val="fi-FI"/>
        </w:rPr>
        <w:t>t</w:t>
      </w:r>
      <w:r>
        <w:rPr>
          <w:rFonts w:cs="TimesNewRomanPS-BoldMT"/>
          <w:bCs/>
          <w:sz w:val="24"/>
          <w:szCs w:val="24"/>
          <w:lang w:val="fi-FI"/>
        </w:rPr>
        <w:t>i tarpeen</w:t>
      </w:r>
      <w:r w:rsidRPr="0017192D">
        <w:rPr>
          <w:rFonts w:cs="TimesNewRomanPS-BoldMT"/>
          <w:bCs/>
          <w:sz w:val="24"/>
          <w:szCs w:val="24"/>
          <w:lang w:val="fi-FI"/>
        </w:rPr>
        <w:t>.</w:t>
      </w:r>
    </w:p>
    <w:p w:rsidR="005E5928" w:rsidRPr="0017192D" w:rsidRDefault="005E5928" w:rsidP="005B2A4E">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35. Otetaan rajoitetusti käyttöön tuomioiden suullinen perustelu ja harkitaan</w:t>
      </w:r>
    </w:p>
    <w:p w:rsidR="005E5928" w:rsidRPr="0017192D" w:rsidRDefault="005E5928" w:rsidP="005B2A4E">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myös muita keinoja keventää kirjallisten tuomioiden laatimista – lyhyen aikavälin</w:t>
      </w:r>
    </w:p>
    <w:p w:rsidR="005E5928" w:rsidRPr="00895D09" w:rsidRDefault="005E5928" w:rsidP="005B2A4E">
      <w:pPr>
        <w:jc w:val="both"/>
        <w:rPr>
          <w:rFonts w:cs="TimesNewRomanPS-BoldMT"/>
          <w:b/>
          <w:bCs/>
          <w:sz w:val="24"/>
          <w:szCs w:val="24"/>
          <w:lang w:val="fi-FI"/>
        </w:rPr>
      </w:pPr>
      <w:r w:rsidRPr="00895D09">
        <w:rPr>
          <w:rFonts w:cs="TimesNewRomanPS-BoldMT"/>
          <w:b/>
          <w:bCs/>
          <w:sz w:val="24"/>
          <w:szCs w:val="24"/>
          <w:lang w:val="fi-FI"/>
        </w:rPr>
        <w:t>tavoite</w:t>
      </w:r>
    </w:p>
    <w:p w:rsidR="005E5928" w:rsidRPr="0017192D" w:rsidRDefault="005E5928" w:rsidP="005B2A4E">
      <w:pPr>
        <w:jc w:val="both"/>
        <w:rPr>
          <w:rFonts w:cs="TimesNewRomanPS-BoldMT"/>
          <w:bCs/>
          <w:sz w:val="24"/>
          <w:szCs w:val="24"/>
          <w:lang w:val="fi-FI"/>
        </w:rPr>
      </w:pPr>
      <w:r>
        <w:rPr>
          <w:rFonts w:cs="TimesNewRomanPS-BoldMT"/>
          <w:bCs/>
          <w:sz w:val="24"/>
          <w:szCs w:val="24"/>
          <w:lang w:val="fi-FI"/>
        </w:rPr>
        <w:t>Tuomion perusteleminen on välttämätöntä, mutta käräjäoikeuden t</w:t>
      </w:r>
      <w:r w:rsidRPr="0017192D">
        <w:rPr>
          <w:rFonts w:cs="TimesNewRomanPS-BoldMT"/>
          <w:bCs/>
          <w:sz w:val="24"/>
          <w:szCs w:val="24"/>
          <w:lang w:val="fi-FI"/>
        </w:rPr>
        <w:t>uomio</w:t>
      </w:r>
      <w:r>
        <w:rPr>
          <w:rFonts w:cs="TimesNewRomanPS-BoldMT"/>
          <w:bCs/>
          <w:sz w:val="24"/>
          <w:szCs w:val="24"/>
          <w:lang w:val="fi-FI"/>
        </w:rPr>
        <w:t>ide</w:t>
      </w:r>
      <w:r w:rsidRPr="0017192D">
        <w:rPr>
          <w:rFonts w:cs="TimesNewRomanPS-BoldMT"/>
          <w:bCs/>
          <w:sz w:val="24"/>
          <w:szCs w:val="24"/>
          <w:lang w:val="fi-FI"/>
        </w:rPr>
        <w:t xml:space="preserve">n </w:t>
      </w:r>
      <w:r>
        <w:rPr>
          <w:rFonts w:cs="TimesNewRomanPS-BoldMT"/>
          <w:bCs/>
          <w:sz w:val="24"/>
          <w:szCs w:val="24"/>
          <w:lang w:val="fi-FI"/>
        </w:rPr>
        <w:t xml:space="preserve">kirjallisessa asussa olevat </w:t>
      </w:r>
      <w:r w:rsidRPr="0017192D">
        <w:rPr>
          <w:rFonts w:cs="TimesNewRomanPS-BoldMT"/>
          <w:bCs/>
          <w:sz w:val="24"/>
          <w:szCs w:val="24"/>
          <w:lang w:val="fi-FI"/>
        </w:rPr>
        <w:t>perustel</w:t>
      </w:r>
      <w:r>
        <w:rPr>
          <w:rFonts w:cs="TimesNewRomanPS-BoldMT"/>
          <w:bCs/>
          <w:sz w:val="24"/>
          <w:szCs w:val="24"/>
          <w:lang w:val="fi-FI"/>
        </w:rPr>
        <w:t xml:space="preserve">ut eivät ole </w:t>
      </w:r>
      <w:r w:rsidRPr="0017192D">
        <w:rPr>
          <w:rFonts w:cs="TimesNewRomanPS-BoldMT"/>
          <w:bCs/>
          <w:sz w:val="24"/>
          <w:szCs w:val="24"/>
          <w:lang w:val="fi-FI"/>
        </w:rPr>
        <w:t>itseisarvo</w:t>
      </w:r>
      <w:r>
        <w:rPr>
          <w:rFonts w:cs="TimesNewRomanPS-BoldMT"/>
          <w:bCs/>
          <w:sz w:val="24"/>
          <w:szCs w:val="24"/>
          <w:lang w:val="fi-FI"/>
        </w:rPr>
        <w:t>.</w:t>
      </w:r>
      <w:r w:rsidRPr="0017192D">
        <w:rPr>
          <w:rFonts w:cs="TimesNewRomanPS-BoldMT"/>
          <w:bCs/>
          <w:sz w:val="24"/>
          <w:szCs w:val="24"/>
          <w:lang w:val="fi-FI"/>
        </w:rPr>
        <w:t xml:space="preserve"> Jos tyytymättömyyttä ilmoitetaan, perustelut tulee laatia, samoin muutoinkin pyynnöstä. Asianosaisille tulisi suullisten perustelujen lisäksi antaa kirjallinen lomake, johon on kirjattu tuomion lopputulos ja tuomion diarinumero. Jos tällainen suullinen tuomio otetaan käyttöön, on välttämätöntä samalla kehittää järjestelmä, jossa tuomion lopputulos on saatavissa ulosottoa varten sähköisenä. Ulosottomies ei tietenkään voi toimia yksin ”suullisen tuomion” pohjalta.</w:t>
      </w:r>
    </w:p>
    <w:p w:rsidR="005E5928" w:rsidRPr="0017192D" w:rsidRDefault="005E5928" w:rsidP="005B2A4E">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39. Tuomioistuinmaksujen käyttöalaa laajennetaan ja maksuja korotetaan –</w:t>
      </w:r>
    </w:p>
    <w:p w:rsidR="005E5928" w:rsidRPr="00895D09" w:rsidRDefault="005E5928" w:rsidP="005B2A4E">
      <w:pPr>
        <w:jc w:val="both"/>
        <w:rPr>
          <w:rFonts w:cs="TimesNewRomanPS-BoldMT"/>
          <w:b/>
          <w:bCs/>
          <w:sz w:val="24"/>
          <w:szCs w:val="24"/>
          <w:lang w:val="fi-FI"/>
        </w:rPr>
      </w:pPr>
      <w:r w:rsidRPr="00895D09">
        <w:rPr>
          <w:rFonts w:cs="TimesNewRomanPS-BoldMT"/>
          <w:b/>
          <w:bCs/>
          <w:sz w:val="24"/>
          <w:szCs w:val="24"/>
          <w:lang w:val="fi-FI"/>
        </w:rPr>
        <w:t>lyhyen ja keskipitkän aikavälin tavoite</w:t>
      </w:r>
    </w:p>
    <w:p w:rsidR="005E5928" w:rsidRPr="0017192D" w:rsidRDefault="005E5928" w:rsidP="005B2A4E">
      <w:pPr>
        <w:jc w:val="both"/>
        <w:rPr>
          <w:bCs/>
          <w:sz w:val="24"/>
          <w:szCs w:val="24"/>
          <w:lang w:val="fi-FI"/>
        </w:rPr>
      </w:pPr>
      <w:r w:rsidRPr="0017192D">
        <w:rPr>
          <w:bCs/>
          <w:sz w:val="24"/>
          <w:szCs w:val="24"/>
          <w:lang w:val="fi-FI"/>
        </w:rPr>
        <w:t xml:space="preserve">Tuomioistuinmaksujen korottaminen on perusteltua. Maksut eivät kuitenkaan saa nousta etenkään yksityisten välisissä hakemusasioissa niin, että ne vaikuttaisivat esimerkiksi avioeron tai muiden perheoikeudellisten asioiden vireille panemiseen. Ulosottolaitoksen kuluista katetaan </w:t>
      </w:r>
      <w:r>
        <w:rPr>
          <w:bCs/>
          <w:sz w:val="24"/>
          <w:szCs w:val="24"/>
          <w:lang w:val="fi-FI"/>
        </w:rPr>
        <w:t xml:space="preserve">tuntuvasti </w:t>
      </w:r>
      <w:r w:rsidRPr="0017192D">
        <w:rPr>
          <w:bCs/>
          <w:sz w:val="24"/>
          <w:szCs w:val="24"/>
          <w:lang w:val="fi-FI"/>
        </w:rPr>
        <w:t>suurempi osa asianosaisilta perittävillä maksuilla kuin tuomioistuinlaitoksessa.</w:t>
      </w:r>
      <w:r>
        <w:rPr>
          <w:bCs/>
          <w:sz w:val="24"/>
          <w:szCs w:val="24"/>
          <w:lang w:val="fi-FI"/>
        </w:rPr>
        <w:t xml:space="preserve"> Varaa korotuksiin mitä ilmeisimmin olisi oikeusturvan saatavuuden siitä vielä kärsimättä.</w:t>
      </w:r>
    </w:p>
    <w:p w:rsidR="005E5928" w:rsidRPr="0017192D" w:rsidRDefault="005E5928" w:rsidP="005B2A4E">
      <w:pPr>
        <w:jc w:val="both"/>
        <w:rPr>
          <w:rFonts w:cs="TimesNewRomanPS-BoldMT"/>
          <w:b/>
          <w:bCs/>
          <w:sz w:val="24"/>
          <w:szCs w:val="24"/>
          <w:lang w:val="fi-FI"/>
        </w:rPr>
      </w:pPr>
      <w:r w:rsidRPr="0017192D">
        <w:rPr>
          <w:rFonts w:cs="TimesNewRomanPS-BoldMT"/>
          <w:b/>
          <w:bCs/>
          <w:sz w:val="24"/>
          <w:szCs w:val="24"/>
          <w:lang w:val="fi-FI"/>
        </w:rPr>
        <w:t>42. Otetaan käyttöön syyteneuvottelumenettely – lyhyen aikavälin tavoite</w:t>
      </w:r>
    </w:p>
    <w:p w:rsidR="005E5928" w:rsidRPr="0017192D" w:rsidRDefault="005E5928" w:rsidP="005B2A4E">
      <w:pPr>
        <w:jc w:val="both"/>
        <w:rPr>
          <w:rFonts w:cs="TimesNewRomanPS-BoldMT"/>
          <w:bCs/>
          <w:sz w:val="24"/>
          <w:szCs w:val="24"/>
          <w:lang w:val="fi-FI"/>
        </w:rPr>
      </w:pPr>
      <w:r w:rsidRPr="0017192D">
        <w:rPr>
          <w:rFonts w:cs="TimesNewRomanPS-BoldMT"/>
          <w:bCs/>
          <w:sz w:val="24"/>
          <w:szCs w:val="24"/>
          <w:lang w:val="fi-FI"/>
        </w:rPr>
        <w:t xml:space="preserve">Itse en usko siihen, että esimerkiksi talousrikollinen tunnustaa teon ja paljastaa kätketyt varat tuomion jonkinasteista alentamista tai syytteen rajaamista vastaan. Talousrikoksen tuottaman hyödyn </w:t>
      </w:r>
      <w:r>
        <w:rPr>
          <w:rFonts w:cs="TimesNewRomanPS-BoldMT"/>
          <w:bCs/>
          <w:sz w:val="24"/>
          <w:szCs w:val="24"/>
          <w:lang w:val="fi-FI"/>
        </w:rPr>
        <w:t xml:space="preserve">jättäminen </w:t>
      </w:r>
      <w:r w:rsidRPr="0017192D">
        <w:rPr>
          <w:rFonts w:cs="TimesNewRomanPS-BoldMT"/>
          <w:bCs/>
          <w:sz w:val="24"/>
          <w:szCs w:val="24"/>
          <w:lang w:val="fi-FI"/>
        </w:rPr>
        <w:t>rikoksentekijälle ei tietenkään tule kysymykseen. Vasta kun rangaistukset, joihin lievennystä olisi saatavilla</w:t>
      </w:r>
      <w:r>
        <w:rPr>
          <w:rFonts w:cs="TimesNewRomanPS-BoldMT"/>
          <w:bCs/>
          <w:sz w:val="24"/>
          <w:szCs w:val="24"/>
          <w:lang w:val="fi-FI"/>
        </w:rPr>
        <w:t>,</w:t>
      </w:r>
      <w:r w:rsidRPr="0017192D">
        <w:rPr>
          <w:rFonts w:cs="TimesNewRomanPS-BoldMT"/>
          <w:bCs/>
          <w:sz w:val="24"/>
          <w:szCs w:val="24"/>
          <w:lang w:val="fi-FI"/>
        </w:rPr>
        <w:t xml:space="preserve"> ovat kovia (vuosien ehdottomia vankeustuomioita), saattaisi syytteen tunnustaminen olla riittävän houkuttelevaa. Vastaavassa mittakaavassa kasvaisivat </w:t>
      </w:r>
      <w:r>
        <w:rPr>
          <w:rFonts w:cs="TimesNewRomanPS-BoldMT"/>
          <w:bCs/>
          <w:sz w:val="24"/>
          <w:szCs w:val="24"/>
          <w:lang w:val="fi-FI"/>
        </w:rPr>
        <w:t xml:space="preserve">kuitenkin </w:t>
      </w:r>
      <w:r w:rsidRPr="0017192D">
        <w:rPr>
          <w:rFonts w:cs="TimesNewRomanPS-BoldMT"/>
          <w:bCs/>
          <w:sz w:val="24"/>
          <w:szCs w:val="24"/>
          <w:lang w:val="fi-FI"/>
        </w:rPr>
        <w:t xml:space="preserve">myös menettelyyn liittyvät oikeusturvariskit. </w:t>
      </w:r>
      <w:r>
        <w:rPr>
          <w:rFonts w:cs="TimesNewRomanPS-BoldMT"/>
          <w:bCs/>
          <w:sz w:val="24"/>
          <w:szCs w:val="24"/>
          <w:lang w:val="fi-FI"/>
        </w:rPr>
        <w:t>Jonkin verran ehkä onnistutaan saamaan tunnustuksia erilaisista sivurikoksista, kuten kirjanpito- ja rekisterimerkintärikoksista, sitä vastaan, että ne rajataan syytteen ulkopuolelle.</w:t>
      </w:r>
    </w:p>
    <w:p w:rsidR="005E5928" w:rsidRPr="0017192D" w:rsidRDefault="005E5928" w:rsidP="005B2A4E">
      <w:pPr>
        <w:jc w:val="both"/>
        <w:rPr>
          <w:rFonts w:cs="TimesNewRomanPS-BoldMT"/>
          <w:bCs/>
          <w:sz w:val="24"/>
          <w:szCs w:val="24"/>
          <w:lang w:val="fi-FI"/>
        </w:rPr>
      </w:pPr>
      <w:r w:rsidRPr="0017192D">
        <w:rPr>
          <w:rFonts w:cs="TimesNewRomanPS-BoldMT"/>
          <w:bCs/>
          <w:sz w:val="24"/>
          <w:szCs w:val="24"/>
          <w:lang w:val="fi-FI"/>
        </w:rPr>
        <w:t xml:space="preserve">Syyteneuvottelu </w:t>
      </w:r>
      <w:r>
        <w:rPr>
          <w:rFonts w:cs="TimesNewRomanPS-BoldMT"/>
          <w:bCs/>
          <w:sz w:val="24"/>
          <w:szCs w:val="24"/>
          <w:lang w:val="fi-FI"/>
        </w:rPr>
        <w:t xml:space="preserve">saattaa </w:t>
      </w:r>
      <w:r w:rsidRPr="0017192D">
        <w:rPr>
          <w:rFonts w:cs="TimesNewRomanPS-BoldMT"/>
          <w:bCs/>
          <w:sz w:val="24"/>
          <w:szCs w:val="24"/>
          <w:lang w:val="fi-FI"/>
        </w:rPr>
        <w:t>lopulta osoittautua tehokkaimmaksi pikkurikoksissa, joissa tekijällä tai asianomistajalla ei ole olennaista taloudellista intressiä. Kun meillä on jo pikkurikoksia varten toimiva kirjallinen menettely, tuntuisi tarkoituksenmukaiselta vielä pohtia sen pohjalta kehitettävää syyteneuvottelumenettelyä</w:t>
      </w:r>
      <w:r>
        <w:rPr>
          <w:rFonts w:cs="TimesNewRomanPS-BoldMT"/>
          <w:bCs/>
          <w:sz w:val="24"/>
          <w:szCs w:val="24"/>
          <w:lang w:val="fi-FI"/>
        </w:rPr>
        <w:t xml:space="preserve"> (ks. edellä)</w:t>
      </w:r>
      <w:r w:rsidRPr="0017192D">
        <w:rPr>
          <w:rFonts w:cs="TimesNewRomanPS-BoldMT"/>
          <w:bCs/>
          <w:sz w:val="24"/>
          <w:szCs w:val="24"/>
          <w:lang w:val="fi-FI"/>
        </w:rPr>
        <w:t>. Yksi kustannusvaikutus, joka tulee ottaa huomioon, on avustajan tarve esitutkinnan aikana käytävissä syyteneuvotteluissa. Jos se on tuntuvasti suurempi kuin muutoin (ottaen huomioon ihmisoikeustuomioistuimen viimeaikaiset linjaukset), menettelyn hyötyjä tulee punnita erityisen tarkoin.</w:t>
      </w:r>
    </w:p>
    <w:p w:rsidR="005E5928" w:rsidRPr="0017192D" w:rsidRDefault="005E5928" w:rsidP="00CE79DC">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49. Selvitetään oikeudenkäyntiasiamiehelle asetettavia vaatimuksia hallintolainkäytössä.</w:t>
      </w:r>
    </w:p>
    <w:p w:rsidR="005E5928" w:rsidRPr="0017192D" w:rsidRDefault="005E5928" w:rsidP="00CE79DC">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Selvitetään asiamiespakkoa ja oikeudenkäyntiasiamiehelle asetettavaa</w:t>
      </w:r>
    </w:p>
    <w:p w:rsidR="005E5928" w:rsidRPr="0017192D" w:rsidRDefault="005E5928" w:rsidP="00CE79DC">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erityisosaamisvaatimusta korkeimmissa oikeuksissa – lyhyen ja keskipitkän</w:t>
      </w:r>
    </w:p>
    <w:p w:rsidR="005E5928" w:rsidRPr="00895D09" w:rsidRDefault="005E5928" w:rsidP="00CE79DC">
      <w:pPr>
        <w:jc w:val="both"/>
        <w:rPr>
          <w:rFonts w:cs="TimesNewRomanPS-BoldMT"/>
          <w:b/>
          <w:bCs/>
          <w:sz w:val="24"/>
          <w:szCs w:val="24"/>
          <w:lang w:val="fi-FI"/>
        </w:rPr>
      </w:pPr>
      <w:r w:rsidRPr="00895D09">
        <w:rPr>
          <w:rFonts w:cs="TimesNewRomanPS-BoldMT"/>
          <w:b/>
          <w:bCs/>
          <w:sz w:val="24"/>
          <w:szCs w:val="24"/>
          <w:lang w:val="fi-FI"/>
        </w:rPr>
        <w:t>aikavälin tavoite</w:t>
      </w:r>
    </w:p>
    <w:p w:rsidR="005E5928" w:rsidRPr="0017192D" w:rsidRDefault="005E5928" w:rsidP="00CE79DC">
      <w:pPr>
        <w:jc w:val="both"/>
        <w:rPr>
          <w:bCs/>
          <w:sz w:val="24"/>
          <w:szCs w:val="24"/>
          <w:lang w:val="fi-FI"/>
        </w:rPr>
      </w:pPr>
      <w:r w:rsidRPr="0017192D">
        <w:rPr>
          <w:bCs/>
          <w:sz w:val="24"/>
          <w:szCs w:val="24"/>
          <w:lang w:val="fi-FI"/>
        </w:rPr>
        <w:t>Kun asiamiespakkoa ei ole alemmissakaan asteissa, herää kysymys, minkä vuoksi sellainen pakko tulisi koskea korkeimman oikeuden valituslupa-asioita. Kun samanaikaisesti oikeudenkäyntiasiamiehen kelpoisuusehtoja on tiukennettu, tulee jo eteen kysymys henkilön oikeudesta valita itse asiamiehensä ja avustajansa.</w:t>
      </w:r>
    </w:p>
    <w:p w:rsidR="005E5928" w:rsidRPr="0017192D" w:rsidRDefault="005E5928" w:rsidP="00CE79DC">
      <w:pPr>
        <w:jc w:val="both"/>
        <w:rPr>
          <w:sz w:val="24"/>
          <w:szCs w:val="24"/>
          <w:lang w:val="fi-FI"/>
        </w:rPr>
      </w:pPr>
      <w:r w:rsidRPr="0017192D">
        <w:rPr>
          <w:sz w:val="24"/>
          <w:szCs w:val="24"/>
          <w:lang w:val="fi-FI"/>
        </w:rPr>
        <w:t>Lause “[s]amalla selvitetään erityisen pätevyysjärjestelmän luominen ennakkoratkaisuasioissa korkeimmissa oikeuksissa” ei kerro, mistä on kysymys.</w:t>
      </w:r>
    </w:p>
    <w:p w:rsidR="005E5928" w:rsidRPr="0017192D" w:rsidRDefault="005E5928" w:rsidP="00CE79DC">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53. Selvitetään mahdollisuutta valtiollistaa talous- ja velkaneuvonta ulosoton tai</w:t>
      </w:r>
    </w:p>
    <w:p w:rsidR="005E5928" w:rsidRPr="0017192D" w:rsidRDefault="005E5928" w:rsidP="00CE79DC">
      <w:pPr>
        <w:jc w:val="both"/>
        <w:rPr>
          <w:rFonts w:cs="TimesNewRomanPS-BoldMT"/>
          <w:b/>
          <w:bCs/>
          <w:sz w:val="24"/>
          <w:szCs w:val="24"/>
          <w:lang w:val="fi-FI"/>
        </w:rPr>
      </w:pPr>
      <w:r w:rsidRPr="0017192D">
        <w:rPr>
          <w:rFonts w:cs="TimesNewRomanPS-BoldMT"/>
          <w:b/>
          <w:bCs/>
          <w:sz w:val="24"/>
          <w:szCs w:val="24"/>
          <w:lang w:val="fi-FI"/>
        </w:rPr>
        <w:t>oikeusavun yhteyteen – keskipitkän aikavälin tavoite</w:t>
      </w:r>
    </w:p>
    <w:p w:rsidR="005E5928" w:rsidRPr="0017192D" w:rsidRDefault="005E5928" w:rsidP="00CE79DC">
      <w:pPr>
        <w:jc w:val="both"/>
        <w:rPr>
          <w:rFonts w:cs="TimesNewRomanPS-BoldMT"/>
          <w:bCs/>
          <w:sz w:val="24"/>
          <w:szCs w:val="24"/>
          <w:lang w:val="fi-FI"/>
        </w:rPr>
      </w:pPr>
      <w:r w:rsidRPr="0017192D">
        <w:rPr>
          <w:rFonts w:cs="TimesNewRomanPS-BoldMT"/>
          <w:bCs/>
          <w:sz w:val="24"/>
          <w:szCs w:val="24"/>
          <w:lang w:val="fi-FI"/>
        </w:rPr>
        <w:t xml:space="preserve">Itse näkisin, että keskipitkän aikavälin kehitys tulee olemaan se, että velkajärjestelyasiat siirtyvät </w:t>
      </w:r>
      <w:r>
        <w:rPr>
          <w:rFonts w:cs="TimesNewRomanPS-BoldMT"/>
          <w:bCs/>
          <w:sz w:val="24"/>
          <w:szCs w:val="24"/>
          <w:lang w:val="fi-FI"/>
        </w:rPr>
        <w:t xml:space="preserve">maksuohjelman osalta </w:t>
      </w:r>
      <w:r w:rsidRPr="0017192D">
        <w:rPr>
          <w:rFonts w:cs="TimesNewRomanPS-BoldMT"/>
          <w:bCs/>
          <w:sz w:val="24"/>
          <w:szCs w:val="24"/>
          <w:lang w:val="fi-FI"/>
        </w:rPr>
        <w:t>ulosottolaitoksen hoidettavaksi</w:t>
      </w:r>
      <w:r>
        <w:rPr>
          <w:rFonts w:cs="TimesNewRomanPS-BoldMT"/>
          <w:bCs/>
          <w:sz w:val="24"/>
          <w:szCs w:val="24"/>
          <w:lang w:val="fi-FI"/>
        </w:rPr>
        <w:t>. Sen sijaan itse velkajärjestelyn myöntäminen on ainakin toistaiseksi syytä säilyttää tuomioistuimilla.</w:t>
      </w:r>
      <w:r w:rsidRPr="0017192D">
        <w:rPr>
          <w:rFonts w:cs="TimesNewRomanPS-BoldMT"/>
          <w:bCs/>
          <w:sz w:val="24"/>
          <w:szCs w:val="24"/>
          <w:lang w:val="fi-FI"/>
        </w:rPr>
        <w:t xml:space="preserve"> Tätä kehitysennustetta </w:t>
      </w:r>
      <w:r>
        <w:rPr>
          <w:rFonts w:cs="TimesNewRomanPS-BoldMT"/>
          <w:bCs/>
          <w:sz w:val="24"/>
          <w:szCs w:val="24"/>
          <w:lang w:val="fi-FI"/>
        </w:rPr>
        <w:t xml:space="preserve">silmällä pitäen </w:t>
      </w:r>
      <w:r w:rsidRPr="0017192D">
        <w:rPr>
          <w:rFonts w:cs="TimesNewRomanPS-BoldMT"/>
          <w:bCs/>
          <w:sz w:val="24"/>
          <w:szCs w:val="24"/>
          <w:lang w:val="fi-FI"/>
        </w:rPr>
        <w:t xml:space="preserve">ei ole viisasta sijoittaa talous- ja velkaneuvontaa </w:t>
      </w:r>
      <w:r>
        <w:rPr>
          <w:rFonts w:cs="TimesNewRomanPS-BoldMT"/>
          <w:bCs/>
          <w:sz w:val="24"/>
          <w:szCs w:val="24"/>
          <w:lang w:val="fi-FI"/>
        </w:rPr>
        <w:t>ulosottolaitokseen. Sijoittamalla velkaneuvonta oikeusavun yhteyteen voidaan turvata myös yrittäjien velkaneuvonnan erityisvaatimukset tarvittaessa ostopalvelujen (nykyiset selvittäjät) avulla.</w:t>
      </w:r>
    </w:p>
    <w:p w:rsidR="005E5928" w:rsidRPr="0017192D" w:rsidRDefault="005E5928" w:rsidP="00AA3D0E">
      <w:pPr>
        <w:autoSpaceDE w:val="0"/>
        <w:autoSpaceDN w:val="0"/>
        <w:adjustRightInd w:val="0"/>
        <w:spacing w:after="0" w:line="240" w:lineRule="auto"/>
        <w:rPr>
          <w:rFonts w:cs="TimesNewRomanPS-BoldMT"/>
          <w:b/>
          <w:bCs/>
          <w:sz w:val="24"/>
          <w:szCs w:val="24"/>
          <w:lang w:val="fi-FI"/>
        </w:rPr>
      </w:pPr>
      <w:r w:rsidRPr="0017192D">
        <w:rPr>
          <w:rFonts w:cs="TimesNewRomanPS-BoldMT"/>
          <w:b/>
          <w:bCs/>
          <w:sz w:val="24"/>
          <w:szCs w:val="24"/>
          <w:lang w:val="fi-FI"/>
        </w:rPr>
        <w:t>54. Selvitetään ulosoton organisaation uudistamisen tarve – keskipitkän aikavälin</w:t>
      </w:r>
    </w:p>
    <w:p w:rsidR="005E5928" w:rsidRPr="00895D09" w:rsidRDefault="005E5928" w:rsidP="00AA3D0E">
      <w:pPr>
        <w:jc w:val="both"/>
        <w:rPr>
          <w:rFonts w:cs="TimesNewRomanPS-BoldMT"/>
          <w:b/>
          <w:bCs/>
          <w:sz w:val="24"/>
          <w:szCs w:val="24"/>
          <w:lang w:val="fi-FI"/>
        </w:rPr>
      </w:pPr>
      <w:r w:rsidRPr="00895D09">
        <w:rPr>
          <w:rFonts w:cs="TimesNewRomanPS-BoldMT"/>
          <w:b/>
          <w:bCs/>
          <w:sz w:val="24"/>
          <w:szCs w:val="24"/>
          <w:lang w:val="fi-FI"/>
        </w:rPr>
        <w:t>tavoite</w:t>
      </w:r>
    </w:p>
    <w:p w:rsidR="005E5928" w:rsidRPr="0017192D" w:rsidRDefault="005E5928" w:rsidP="00AA3D0E">
      <w:pPr>
        <w:jc w:val="both"/>
        <w:rPr>
          <w:bCs/>
          <w:sz w:val="24"/>
          <w:szCs w:val="24"/>
          <w:lang w:val="fi-FI"/>
        </w:rPr>
      </w:pPr>
      <w:r w:rsidRPr="0017192D">
        <w:rPr>
          <w:bCs/>
          <w:sz w:val="24"/>
          <w:szCs w:val="24"/>
          <w:lang w:val="fi-FI"/>
        </w:rPr>
        <w:t xml:space="preserve">Ulosottolaitokseenkin näyttää kohdistuvan aivan samanlaiset tehostamispaineet kuin muihinkin toimintoihin, vaikka ulosottolaitos ja sen toiminta on juuri uudistettu täydellisesti ja laitos on osoittanut toimintakykynsä. Viittaan oheiseen Valtakunnanvoudinviraston </w:t>
      </w:r>
      <w:r>
        <w:rPr>
          <w:bCs/>
          <w:sz w:val="24"/>
          <w:szCs w:val="24"/>
          <w:lang w:val="fi-FI"/>
        </w:rPr>
        <w:t xml:space="preserve">vuotta 2011 koskevan </w:t>
      </w:r>
      <w:r w:rsidRPr="0017192D">
        <w:rPr>
          <w:bCs/>
          <w:sz w:val="24"/>
          <w:szCs w:val="24"/>
          <w:lang w:val="fi-FI"/>
        </w:rPr>
        <w:t>toimintakertomuksen</w:t>
      </w:r>
      <w:r>
        <w:rPr>
          <w:bCs/>
          <w:sz w:val="24"/>
          <w:szCs w:val="24"/>
          <w:lang w:val="fi-FI"/>
        </w:rPr>
        <w:t xml:space="preserve"> </w:t>
      </w:r>
      <w:r w:rsidRPr="0017192D">
        <w:rPr>
          <w:bCs/>
          <w:sz w:val="24"/>
          <w:szCs w:val="24"/>
          <w:lang w:val="fi-FI"/>
        </w:rPr>
        <w:t>lausumaan:</w:t>
      </w:r>
    </w:p>
    <w:p w:rsidR="005E5928" w:rsidRPr="0017192D" w:rsidRDefault="005E5928" w:rsidP="00AA3D0E">
      <w:pPr>
        <w:autoSpaceDE w:val="0"/>
        <w:autoSpaceDN w:val="0"/>
        <w:adjustRightInd w:val="0"/>
        <w:spacing w:after="0" w:line="240" w:lineRule="auto"/>
        <w:ind w:left="720"/>
        <w:jc w:val="both"/>
        <w:rPr>
          <w:sz w:val="24"/>
          <w:szCs w:val="24"/>
          <w:lang w:val="fi-FI"/>
        </w:rPr>
      </w:pPr>
      <w:r w:rsidRPr="0017192D">
        <w:rPr>
          <w:sz w:val="24"/>
          <w:szCs w:val="24"/>
          <w:lang w:val="fi-FI"/>
        </w:rPr>
        <w:t>”Ulosottotoimen lainsäädäntö, organisaatio, tietojärjestelmät ja palkkausjärjestelmät on uusittu viimeisen kymmenen vuoden sisällä. Työnkulkuja ja henkilöstön tietotaidon tasoa on parannettu. Tällä on pyritty myös entistä yhtenäisempään käytäntöön koko maan alueella. Tietotekniikan ja organisaation kehittymisen myötä ulosottolaitoksen työntekijöiden määrä on vähentynyt tuntuvasti. Viidessätoista vuodessa henkilöstömäärä on vähentynyt noin 20 prosenttia. Kun ulosottoasioiden määrä on kasvanut, merkitsee tämä tuottavuuden (käsitellyt asiat/henkilötyövuosi) noin 65 prosentin nousua. Myös perimistulos on parantunut.”</w:t>
      </w:r>
    </w:p>
    <w:p w:rsidR="005E5928" w:rsidRPr="0017192D" w:rsidRDefault="005E5928" w:rsidP="00AA3D0E">
      <w:pPr>
        <w:jc w:val="both"/>
        <w:rPr>
          <w:bCs/>
          <w:sz w:val="24"/>
          <w:szCs w:val="24"/>
          <w:lang w:val="fi-FI"/>
        </w:rPr>
      </w:pPr>
    </w:p>
    <w:p w:rsidR="005E5928" w:rsidRPr="0017192D" w:rsidRDefault="005E5928" w:rsidP="005B2A4E">
      <w:pPr>
        <w:jc w:val="both"/>
        <w:rPr>
          <w:rFonts w:cs="TimesNewRomanPS-BoldMT"/>
          <w:bCs/>
          <w:sz w:val="24"/>
          <w:szCs w:val="24"/>
          <w:lang w:val="fi-FI"/>
        </w:rPr>
      </w:pPr>
      <w:r>
        <w:rPr>
          <w:bCs/>
          <w:sz w:val="24"/>
          <w:szCs w:val="24"/>
          <w:lang w:val="fi-FI"/>
        </w:rPr>
        <w:t xml:space="preserve">Ulosottolaitos on siis kyennyt uudistumaan niin, että kustannukset ovat alentuneet samalla kuin tuottavuus on noussut. </w:t>
      </w:r>
      <w:r w:rsidRPr="0017192D">
        <w:rPr>
          <w:bCs/>
          <w:sz w:val="24"/>
          <w:szCs w:val="24"/>
          <w:lang w:val="fi-FI"/>
        </w:rPr>
        <w:t>Kiinnitän huomiota siihen, ett</w:t>
      </w:r>
      <w:r>
        <w:rPr>
          <w:bCs/>
          <w:sz w:val="24"/>
          <w:szCs w:val="24"/>
          <w:lang w:val="fi-FI"/>
        </w:rPr>
        <w:t xml:space="preserve">ei </w:t>
      </w:r>
      <w:r w:rsidRPr="0017192D">
        <w:rPr>
          <w:bCs/>
          <w:sz w:val="24"/>
          <w:szCs w:val="24"/>
          <w:lang w:val="fi-FI"/>
        </w:rPr>
        <w:t>säästöpaineissa teh</w:t>
      </w:r>
      <w:r>
        <w:rPr>
          <w:bCs/>
          <w:sz w:val="24"/>
          <w:szCs w:val="24"/>
          <w:lang w:val="fi-FI"/>
        </w:rPr>
        <w:t xml:space="preserve">täisi tuoreisiin ja toimiviin järjestelmiin </w:t>
      </w:r>
      <w:r w:rsidRPr="0017192D">
        <w:rPr>
          <w:bCs/>
          <w:sz w:val="24"/>
          <w:szCs w:val="24"/>
          <w:lang w:val="fi-FI"/>
        </w:rPr>
        <w:t>sellaisia uudistuksia</w:t>
      </w:r>
      <w:r>
        <w:rPr>
          <w:bCs/>
          <w:sz w:val="24"/>
          <w:szCs w:val="24"/>
          <w:lang w:val="fi-FI"/>
        </w:rPr>
        <w:t xml:space="preserve">, </w:t>
      </w:r>
      <w:r w:rsidRPr="0017192D">
        <w:rPr>
          <w:bCs/>
          <w:sz w:val="24"/>
          <w:szCs w:val="24"/>
          <w:lang w:val="fi-FI"/>
        </w:rPr>
        <w:t xml:space="preserve">jotka </w:t>
      </w:r>
      <w:r>
        <w:rPr>
          <w:bCs/>
          <w:sz w:val="24"/>
          <w:szCs w:val="24"/>
          <w:lang w:val="fi-FI"/>
        </w:rPr>
        <w:t xml:space="preserve">tuovat mukanaan riskin siitä, että järjestelmän toiminta päinvastoin heikkenee. </w:t>
      </w:r>
    </w:p>
    <w:sectPr w:rsidR="005E5928" w:rsidRPr="0017192D" w:rsidSect="00737ACB">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928" w:rsidRDefault="005E5928" w:rsidP="00D56DC2">
      <w:pPr>
        <w:spacing w:after="0" w:line="240" w:lineRule="auto"/>
      </w:pPr>
      <w:r>
        <w:separator/>
      </w:r>
    </w:p>
  </w:endnote>
  <w:endnote w:type="continuationSeparator" w:id="0">
    <w:p w:rsidR="005E5928" w:rsidRDefault="005E5928" w:rsidP="00D56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928" w:rsidRDefault="005E5928" w:rsidP="00D56DC2">
      <w:pPr>
        <w:spacing w:after="0" w:line="240" w:lineRule="auto"/>
      </w:pPr>
      <w:r>
        <w:separator/>
      </w:r>
    </w:p>
  </w:footnote>
  <w:footnote w:type="continuationSeparator" w:id="0">
    <w:p w:rsidR="005E5928" w:rsidRDefault="005E5928" w:rsidP="00D56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28" w:rsidRDefault="005E5928">
    <w:pPr>
      <w:pStyle w:val="Header"/>
      <w:jc w:val="right"/>
    </w:pPr>
    <w:fldSimple w:instr=" PAGE   \* MERGEFORMAT ">
      <w:r>
        <w:rPr>
          <w:noProof/>
        </w:rPr>
        <w:t>1</w:t>
      </w:r>
    </w:fldSimple>
  </w:p>
  <w:p w:rsidR="005E5928" w:rsidRDefault="005E59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BE6"/>
    <w:rsid w:val="0002061D"/>
    <w:rsid w:val="0009479A"/>
    <w:rsid w:val="000A22EB"/>
    <w:rsid w:val="000F1D08"/>
    <w:rsid w:val="0017192D"/>
    <w:rsid w:val="0017697C"/>
    <w:rsid w:val="001B4FD8"/>
    <w:rsid w:val="0021347F"/>
    <w:rsid w:val="002137FB"/>
    <w:rsid w:val="003A6249"/>
    <w:rsid w:val="003C32EC"/>
    <w:rsid w:val="003E22BF"/>
    <w:rsid w:val="004254A9"/>
    <w:rsid w:val="0053691B"/>
    <w:rsid w:val="00537E27"/>
    <w:rsid w:val="0054168D"/>
    <w:rsid w:val="005B1423"/>
    <w:rsid w:val="005B2A4E"/>
    <w:rsid w:val="005E5928"/>
    <w:rsid w:val="00654A54"/>
    <w:rsid w:val="00737ACB"/>
    <w:rsid w:val="008662F1"/>
    <w:rsid w:val="008713B7"/>
    <w:rsid w:val="00895D09"/>
    <w:rsid w:val="008F04EB"/>
    <w:rsid w:val="009D1A13"/>
    <w:rsid w:val="009F5DFD"/>
    <w:rsid w:val="00A566AE"/>
    <w:rsid w:val="00AA3D0E"/>
    <w:rsid w:val="00AE0B4E"/>
    <w:rsid w:val="00B20FBB"/>
    <w:rsid w:val="00B23E67"/>
    <w:rsid w:val="00B754EA"/>
    <w:rsid w:val="00C177CF"/>
    <w:rsid w:val="00C51BE6"/>
    <w:rsid w:val="00C96B97"/>
    <w:rsid w:val="00CE79DC"/>
    <w:rsid w:val="00D56C2D"/>
    <w:rsid w:val="00D56DC2"/>
    <w:rsid w:val="00F12BD9"/>
    <w:rsid w:val="00FE7F79"/>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08"/>
    <w:pPr>
      <w:spacing w:after="200" w:line="276" w:lineRule="auto"/>
    </w:pPr>
    <w:rPr>
      <w:lang w:val="en-US" w:eastAsia="en-US"/>
    </w:rPr>
  </w:style>
  <w:style w:type="paragraph" w:styleId="Heading1">
    <w:name w:val="heading 1"/>
    <w:basedOn w:val="Normal"/>
    <w:next w:val="Normal"/>
    <w:link w:val="Heading1Char"/>
    <w:uiPriority w:val="99"/>
    <w:qFormat/>
    <w:rsid w:val="00FE7F79"/>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9"/>
    <w:qFormat/>
    <w:rsid w:val="00FE7F7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F79"/>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FE7F79"/>
    <w:rPr>
      <w:rFonts w:ascii="Times New Roman" w:hAnsi="Times New Roman" w:cs="Times New Roman"/>
      <w:b/>
      <w:bCs/>
      <w:sz w:val="27"/>
      <w:szCs w:val="27"/>
    </w:rPr>
  </w:style>
  <w:style w:type="paragraph" w:styleId="ListParagraph">
    <w:name w:val="List Paragraph"/>
    <w:basedOn w:val="Normal"/>
    <w:uiPriority w:val="99"/>
    <w:qFormat/>
    <w:rsid w:val="000F1D08"/>
    <w:pPr>
      <w:ind w:left="720"/>
      <w:contextualSpacing/>
    </w:pPr>
  </w:style>
  <w:style w:type="paragraph" w:customStyle="1" w:styleId="py">
    <w:name w:val="py"/>
    <w:basedOn w:val="Normal"/>
    <w:uiPriority w:val="99"/>
    <w:rsid w:val="00FE7F79"/>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rsid w:val="00D56DC2"/>
    <w:pPr>
      <w:spacing w:after="0" w:line="240" w:lineRule="auto"/>
    </w:pPr>
    <w:rPr>
      <w:sz w:val="20"/>
      <w:szCs w:val="20"/>
    </w:rPr>
  </w:style>
  <w:style w:type="character" w:customStyle="1" w:styleId="FootnoteTextChar">
    <w:name w:val="Footnote Text Char"/>
    <w:basedOn w:val="DefaultParagraphFont"/>
    <w:link w:val="FootnoteText"/>
    <w:uiPriority w:val="99"/>
    <w:locked/>
    <w:rsid w:val="00D56DC2"/>
    <w:rPr>
      <w:rFonts w:cs="Times New Roman"/>
      <w:sz w:val="20"/>
      <w:szCs w:val="20"/>
    </w:rPr>
  </w:style>
  <w:style w:type="character" w:styleId="FootnoteReference">
    <w:name w:val="footnote reference"/>
    <w:basedOn w:val="DefaultParagraphFont"/>
    <w:uiPriority w:val="99"/>
    <w:semiHidden/>
    <w:rsid w:val="00D56DC2"/>
    <w:rPr>
      <w:rFonts w:cs="Times New Roman"/>
      <w:vertAlign w:val="superscript"/>
    </w:rPr>
  </w:style>
  <w:style w:type="paragraph" w:styleId="Header">
    <w:name w:val="header"/>
    <w:basedOn w:val="Normal"/>
    <w:link w:val="HeaderChar"/>
    <w:uiPriority w:val="99"/>
    <w:rsid w:val="00AA3D0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A3D0E"/>
    <w:rPr>
      <w:rFonts w:cs="Times New Roman"/>
    </w:rPr>
  </w:style>
  <w:style w:type="paragraph" w:styleId="Footer">
    <w:name w:val="footer"/>
    <w:basedOn w:val="Normal"/>
    <w:link w:val="FooterChar"/>
    <w:uiPriority w:val="99"/>
    <w:rsid w:val="00AA3D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A3D0E"/>
    <w:rPr>
      <w:rFonts w:cs="Times New Roman"/>
    </w:rPr>
  </w:style>
  <w:style w:type="paragraph" w:styleId="BalloonText">
    <w:name w:val="Balloon Text"/>
    <w:basedOn w:val="Normal"/>
    <w:link w:val="BalloonTextChar"/>
    <w:uiPriority w:val="99"/>
    <w:semiHidden/>
    <w:rsid w:val="00020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061D"/>
    <w:rPr>
      <w:rFonts w:ascii="Tahoma" w:hAnsi="Tahoma" w:cs="Tahoma"/>
      <w:sz w:val="16"/>
      <w:szCs w:val="16"/>
    </w:rPr>
  </w:style>
  <w:style w:type="paragraph" w:styleId="NoSpacing">
    <w:name w:val="No Spacing"/>
    <w:uiPriority w:val="99"/>
    <w:qFormat/>
    <w:rsid w:val="008713B7"/>
    <w:rPr>
      <w:lang w:val="en-US" w:eastAsia="en-US"/>
    </w:rPr>
  </w:style>
</w:styles>
</file>

<file path=word/webSettings.xml><?xml version="1.0" encoding="utf-8"?>
<w:webSettings xmlns:r="http://schemas.openxmlformats.org/officeDocument/2006/relationships" xmlns:w="http://schemas.openxmlformats.org/wordprocessingml/2006/main">
  <w:divs>
    <w:div w:id="1211067682">
      <w:marLeft w:val="0"/>
      <w:marRight w:val="0"/>
      <w:marTop w:val="0"/>
      <w:marBottom w:val="0"/>
      <w:divBdr>
        <w:top w:val="none" w:sz="0" w:space="0" w:color="auto"/>
        <w:left w:val="none" w:sz="0" w:space="0" w:color="auto"/>
        <w:bottom w:val="none" w:sz="0" w:space="0" w:color="auto"/>
        <w:right w:val="none" w:sz="0" w:space="0" w:color="auto"/>
      </w:divBdr>
      <w:divsChild>
        <w:div w:id="1211067684">
          <w:marLeft w:val="0"/>
          <w:marRight w:val="0"/>
          <w:marTop w:val="0"/>
          <w:marBottom w:val="0"/>
          <w:divBdr>
            <w:top w:val="none" w:sz="0" w:space="0" w:color="auto"/>
            <w:left w:val="none" w:sz="0" w:space="0" w:color="auto"/>
            <w:bottom w:val="none" w:sz="0" w:space="0" w:color="auto"/>
            <w:right w:val="none" w:sz="0" w:space="0" w:color="auto"/>
          </w:divBdr>
          <w:divsChild>
            <w:div w:id="1211067689">
              <w:marLeft w:val="0"/>
              <w:marRight w:val="0"/>
              <w:marTop w:val="0"/>
              <w:marBottom w:val="0"/>
              <w:divBdr>
                <w:top w:val="none" w:sz="0" w:space="0" w:color="auto"/>
                <w:left w:val="none" w:sz="0" w:space="0" w:color="auto"/>
                <w:bottom w:val="none" w:sz="0" w:space="0" w:color="auto"/>
                <w:right w:val="none" w:sz="0" w:space="0" w:color="auto"/>
              </w:divBdr>
              <w:divsChild>
                <w:div w:id="12110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686">
      <w:marLeft w:val="0"/>
      <w:marRight w:val="0"/>
      <w:marTop w:val="0"/>
      <w:marBottom w:val="0"/>
      <w:divBdr>
        <w:top w:val="none" w:sz="0" w:space="0" w:color="auto"/>
        <w:left w:val="none" w:sz="0" w:space="0" w:color="auto"/>
        <w:bottom w:val="none" w:sz="0" w:space="0" w:color="auto"/>
        <w:right w:val="none" w:sz="0" w:space="0" w:color="auto"/>
      </w:divBdr>
      <w:divsChild>
        <w:div w:id="1211067683">
          <w:marLeft w:val="0"/>
          <w:marRight w:val="0"/>
          <w:marTop w:val="0"/>
          <w:marBottom w:val="0"/>
          <w:divBdr>
            <w:top w:val="none" w:sz="0" w:space="0" w:color="auto"/>
            <w:left w:val="none" w:sz="0" w:space="0" w:color="auto"/>
            <w:bottom w:val="none" w:sz="0" w:space="0" w:color="auto"/>
            <w:right w:val="none" w:sz="0" w:space="0" w:color="auto"/>
          </w:divBdr>
          <w:divsChild>
            <w:div w:id="1211067680">
              <w:marLeft w:val="0"/>
              <w:marRight w:val="0"/>
              <w:marTop w:val="0"/>
              <w:marBottom w:val="0"/>
              <w:divBdr>
                <w:top w:val="none" w:sz="0" w:space="0" w:color="auto"/>
                <w:left w:val="none" w:sz="0" w:space="0" w:color="auto"/>
                <w:bottom w:val="none" w:sz="0" w:space="0" w:color="auto"/>
                <w:right w:val="none" w:sz="0" w:space="0" w:color="auto"/>
              </w:divBdr>
              <w:divsChild>
                <w:div w:id="1211067690">
                  <w:marLeft w:val="0"/>
                  <w:marRight w:val="0"/>
                  <w:marTop w:val="0"/>
                  <w:marBottom w:val="0"/>
                  <w:divBdr>
                    <w:top w:val="none" w:sz="0" w:space="0" w:color="auto"/>
                    <w:left w:val="none" w:sz="0" w:space="0" w:color="auto"/>
                    <w:bottom w:val="none" w:sz="0" w:space="0" w:color="auto"/>
                    <w:right w:val="none" w:sz="0" w:space="0" w:color="auto"/>
                  </w:divBdr>
                  <w:divsChild>
                    <w:div w:id="12110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7691">
      <w:marLeft w:val="0"/>
      <w:marRight w:val="0"/>
      <w:marTop w:val="0"/>
      <w:marBottom w:val="0"/>
      <w:divBdr>
        <w:top w:val="none" w:sz="0" w:space="0" w:color="auto"/>
        <w:left w:val="none" w:sz="0" w:space="0" w:color="auto"/>
        <w:bottom w:val="none" w:sz="0" w:space="0" w:color="auto"/>
        <w:right w:val="none" w:sz="0" w:space="0" w:color="auto"/>
      </w:divBdr>
      <w:divsChild>
        <w:div w:id="1211067688">
          <w:marLeft w:val="0"/>
          <w:marRight w:val="0"/>
          <w:marTop w:val="0"/>
          <w:marBottom w:val="0"/>
          <w:divBdr>
            <w:top w:val="none" w:sz="0" w:space="0" w:color="auto"/>
            <w:left w:val="none" w:sz="0" w:space="0" w:color="auto"/>
            <w:bottom w:val="none" w:sz="0" w:space="0" w:color="auto"/>
            <w:right w:val="none" w:sz="0" w:space="0" w:color="auto"/>
          </w:divBdr>
          <w:divsChild>
            <w:div w:id="1211067681">
              <w:marLeft w:val="3675"/>
              <w:marRight w:val="3675"/>
              <w:marTop w:val="375"/>
              <w:marBottom w:val="0"/>
              <w:divBdr>
                <w:top w:val="none" w:sz="0" w:space="0" w:color="auto"/>
                <w:left w:val="none" w:sz="0" w:space="0" w:color="auto"/>
                <w:bottom w:val="none" w:sz="0" w:space="0" w:color="auto"/>
                <w:right w:val="none" w:sz="0" w:space="0" w:color="auto"/>
              </w:divBdr>
              <w:divsChild>
                <w:div w:id="12110676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2299</Words>
  <Characters>18623</Characters>
  <Application>Microsoft Office Outlook</Application>
  <DocSecurity>0</DocSecurity>
  <Lines>0</Lines>
  <Paragraphs>0</Paragraphs>
  <ScaleCrop>false</ScaleCrop>
  <Company>Lay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Tuula Linna</dc:title>
  <dc:subject/>
  <dc:creator>Linna Tuula</dc:creator>
  <cp:keywords/>
  <dc:description/>
  <cp:lastModifiedBy>O924180</cp:lastModifiedBy>
  <cp:revision>2</cp:revision>
  <cp:lastPrinted>2013-06-06T06:55:00Z</cp:lastPrinted>
  <dcterms:created xsi:type="dcterms:W3CDTF">2013-06-06T06:56:00Z</dcterms:created>
  <dcterms:modified xsi:type="dcterms:W3CDTF">2013-06-06T06:56:00Z</dcterms:modified>
</cp:coreProperties>
</file>