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OIKEUSMINISTERIÖLLE</w:t>
      </w: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Lausunto oikeudenhoidon uudistamisohjelmasta</w:t>
      </w: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vuosille 2013–2025</w:t>
      </w:r>
    </w:p>
    <w:p w:rsidR="00654C2A" w:rsidRDefault="00654C2A" w:rsidP="00DE6EC2">
      <w:pPr>
        <w:spacing w:line="360" w:lineRule="auto"/>
        <w:rPr>
          <w:rFonts w:ascii="Times New Roman" w:hAnsi="Times New Roman"/>
          <w:b/>
          <w:sz w:val="24"/>
          <w:szCs w:val="24"/>
        </w:rPr>
      </w:pPr>
      <w:bookmarkStart w:id="0" w:name="_GoBack"/>
      <w:bookmarkEnd w:id="0"/>
    </w:p>
    <w:p w:rsidR="00654C2A" w:rsidRDefault="00654C2A" w:rsidP="00DE6EC2">
      <w:pPr>
        <w:spacing w:line="360" w:lineRule="auto"/>
        <w:rPr>
          <w:rFonts w:ascii="Times New Roman" w:hAnsi="Times New Roman"/>
          <w:sz w:val="24"/>
          <w:szCs w:val="24"/>
        </w:rPr>
      </w:pPr>
      <w:r>
        <w:rPr>
          <w:rFonts w:ascii="Times New Roman" w:hAnsi="Times New Roman"/>
          <w:sz w:val="24"/>
          <w:szCs w:val="24"/>
        </w:rPr>
        <w:t>Kommentoin ohjelmaa kohta kohdalta.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1.</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kannatettava. Vaikutusarvioinneissa tulee hyödyntää yliopistoja ja muita riippumattomia tutkimuslaitoksia. Seurantatutkimuksen rahoitus on varmistettava. Nykyisin pulmana ei ole yliopistoissa niinkään tekijöiden puute kuin se, ettei tutkimushankkeille saada rahoitusta. Oikeusministeriölle pitäisi varata riittävä rahoitus jaettavaksi eri tutkimushankkeille.</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Tämä ehdotus on kannatettava. Ehdotuksen toteuttaminen parantaisi hallinnon laatua ja karsisi valituksia, jotka johtuvat huonosta hallinnosta.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3.</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kannatettava. Tietojärjestelmien nykyinen toimivuus ei kuitenkaan hyvää lupaa. Esimerkiksi poliisin uutta Vitja-järjestelmää eivät voi hyödyntää ainakaan alussa syyttäjät, mikä on todella suuri ongelma. Tällaisia yhteensopivuusongelmia olisi tulevaisuudessa pystyttävä välttämään. Muutoinkaan palaute tietojärjestelmien käyttäjäystävällisyydestä ei ole ollut rohkaisevaa.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4.</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Koulutusta ei ole koskaan liikaa. Poliisien ja syyttäjien jatkokoulutus on hyvällä mallilla, mutta tuomarikoulutus on varsin hajanaista. Tuomareille tulisi luoda samanlainen koulutuspolku kuin syyttäjille. Tuomarikoulutusta tulisi kehittää yliopistojen oikeustieteellisten yksiköiden yhteistyönä, jota oikeusministeriö koordinoisi.</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5.</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mitä kannatettavin.</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6.</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 xml:space="preserve">En pidä ehdotusta perusteltuna. Yhdyn kaikessa oleellisessa Pekka Vihervuoren eriävään näkemykseen. Nykyjärjestelmässä ei ole todellisia ongelmia. Riippumattomuudesta on tehty näennäinen ongelma. Tuomioistuinvirastokin saisi rahoituksen eduskunnalta, siis poliittiselta elimeltä. Poliisihallituksen perustaminen paisutti poliisin keskushallintoa kenttätyön kustannuksella. Vastaavaan ei ole varaa oikeudenhoidossa. Tuomioistuinvirastosta on tullut mantra, jota hoetaan kritiikittä. Tuomioistuinten toimintaa pitää voida kritisoida myös poliittisella agendalla. Näyttää siltä, että tuomioistuinviraston perustamisella kuviteltaisiin suojauduttavan tällaiselta kritiikiltä. </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7.</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Tässäkin yhdyn Vihervuoren näkemykseen. Erillisyydestä ei ole aiheutunut ongelmia, eikä yhdistämisellä saavutettaisi mitään toiminnallisia etuja tai kustannushyötyjä.</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8.</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Hyötyjä ja haittoja pitää selvittää. Tässä vaiheessa en näe syytä tuomioistuinlinjojen yhdistämiseen. Muutoin yhdyn Pekka Vihervuoren perusteltuun kantaan. Tuomioistuinten hallinto on varsin kevyt, eikä hallinto- ja käräjäoikeuksien yhdistäminen vähentäisi sanottavasti kustannuksia.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9.</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Selvittämisen tarve on ilmeinen. Olennaisempaa kuin järjestelmän nimi on kuitenkin järjestelmän yksinkertaisuus. Hallinnollisia seuraamuksia määrättäessä ei voida poiketa keskeisistä perusoikeuksista. Menettelyjä voidaan yksinkertaistaa myös rikosoikeudellisen järjestelmän sisällä, menettelyä keventämällä ja toimivaltaa poliisille siirtämällä. Summaarinen sakotusmenettely pitäisi säätää yksinomaan poliisin tehtäväksi. Tämä vapauttaisi syyttäjien työaikaa oikeiden rikosjuttujen käsittelyyn.</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10.</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lähtökohtaisesti kannatettava. Koska en ole tämän alan erityisasiantuntija, en ota kantaa ehdotuksen yksityiskohtiin.</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11.</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Käräjäoikeuksia vähentämällä ei saatane merkittäviä kustannussäästöjä. Käräjäoikeuksien hallinto on varsin kevyt. Nykyinen käräjäoikeuksien määrä on tästä näkökulmasta perusteltu. Harkittava vaihtoehto on kuitenkin se, että käräjäoikeuksien, poliisin ja syyttäjien toimialueet olisivat keskenään yhtenevät.</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12.</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Hovioikeuksien määrää voitaneen vähentää vielä yhdellä, samoin hallinto-oikeuksien. Poliittisesti kysymys on vaikea, eikä vähentämiseen ole akuuttia tarvetta. Ehdotuksen perustelut ovat kannatettavia.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sz w:val="24"/>
          <w:szCs w:val="24"/>
        </w:rPr>
      </w:pPr>
      <w:r>
        <w:rPr>
          <w:rFonts w:ascii="Times New Roman" w:hAnsi="Times New Roman"/>
          <w:b/>
          <w:sz w:val="24"/>
          <w:szCs w:val="24"/>
        </w:rPr>
        <w:t>13.</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 xml:space="preserve">Ehdotus on kannatettava. Hallinto-oikeuksien vähentäminen tukee ehdotuksen tavoitteita. </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14.</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Kannatan summaaristen riita-asioiden siirtämistä ulosottovirastojen ratkaistavaksi. Näihin asioihin ei liity erityisiä oikeusturvaongelmia ja palvelu olisi kuitenkin asiakasta lähempänä verrattuna siihen, että summaariset asiat keskitetään muutamaan käräjäoikeuteen.</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15.</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vaikuttaa ennenaikaiselta. Jatkokäsittelyluvan toimivuudesta kaivataan tutkimusta.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16.</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kannatettava.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17.</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Hallinto-oikeusasioissa olisi syytä omaksua riita- ja rikosasioiden valituslupajärjestelmää vastaava lupajärjestelmä. Hallinto-oikeuksien tuomioiden laatu on parantunut siinä määrin, että valituslupajärjestelmä voitaisiin omaksua kaikkia asiaryhmiä koskevaksi. Myös valituskiellot voivat olla perusteltuja asioissa, joissa valitusintressi on vähäinen.</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18.</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Tämä ehdotus liittyy edelliseen ehdotukseen. Oikaisuvaatimusjärjestelmällä saadaan aikaiseksi tilanne, jossa kaksi muutoksenhakuelintä voi käsitellä asiaa. Esimerkiksi verotuksen oikaisulautakuntamenettelystä on saatu hyviä kokemuksia.</w:t>
      </w:r>
    </w:p>
    <w:p w:rsidR="00654C2A" w:rsidRDefault="00654C2A" w:rsidP="00DE6EC2">
      <w:pPr>
        <w:spacing w:line="360" w:lineRule="auto"/>
        <w:rPr>
          <w:rFonts w:ascii="Times New Roman" w:hAnsi="Times New Roman"/>
          <w:sz w:val="24"/>
          <w:szCs w:val="24"/>
        </w:rPr>
      </w:pPr>
    </w:p>
    <w:p w:rsidR="00654C2A" w:rsidRPr="00CC4989" w:rsidRDefault="00654C2A" w:rsidP="00DE6EC2">
      <w:pPr>
        <w:spacing w:line="360" w:lineRule="auto"/>
        <w:rPr>
          <w:rFonts w:ascii="Times New Roman" w:hAnsi="Times New Roman"/>
          <w:b/>
          <w:sz w:val="24"/>
          <w:szCs w:val="24"/>
        </w:rPr>
      </w:pPr>
      <w:r>
        <w:rPr>
          <w:rFonts w:ascii="Times New Roman" w:hAnsi="Times New Roman"/>
          <w:b/>
          <w:sz w:val="24"/>
          <w:szCs w:val="24"/>
        </w:rPr>
        <w:t>19.</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perusteltu ja sen tueksi esitetyt näkökohdat kannatettavia. Hallinto-oikeuden oikeussuojajärjestelmään sopii huonosti se, että hallinto-oikeus joutuu itse asiassa tekemään hallintopäätöksen. Hallinto-oikeuden rooli oikeusturvatienä hallinnon ratkaisuun hämärtyy nykyjärjestelmässä.</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20.</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Kannatan ehdotusta. Luonnollinen oikeusturvatie on valitus.</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21.</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kannatettava.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22.</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perusteltu.</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23.</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Menettelystä on saatu hyviä kokemuksia ja sen laajentaminen on perusteltua myös kansalaisten yhdenvertaisen kohtelun näkökulmasta katsottuna.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24.</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En kannata ehdotusta. Lautamiesten määrää ei ole tarkasteltava vain kustannuskysymyksenä. Jokseenkin kaikissa maissa käytetään (eri muodoissa) maallikoita oikeudenhoidossa. Lautamiesten merkitystä kansalaisten luottamuksen ylläpitäjänä on perusteettomasti vähätelty. Maallikkojärjestelmä tuo oikeudenhoitoon kansalaisnäkökulman- ja kontrollin. Tuomitsemista ei ole syytä uskoa vain ammattituomareille.</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25.</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 xml:space="preserve">Ehdotus on pulmallinen. Toki asiaa pitää selvittää, mutta tässä vaiheessa en kannata rikosoikeudellisten sanktioiden korvaamista hallinnollisilla maksuilla. </w:t>
      </w:r>
    </w:p>
    <w:p w:rsidR="00654C2A" w:rsidRDefault="00654C2A" w:rsidP="00DE6EC2">
      <w:pPr>
        <w:spacing w:line="360" w:lineRule="auto"/>
        <w:rPr>
          <w:rFonts w:ascii="Times New Roman" w:hAnsi="Times New Roman"/>
          <w:sz w:val="24"/>
          <w:szCs w:val="24"/>
        </w:rPr>
      </w:pPr>
    </w:p>
    <w:p w:rsidR="00654C2A" w:rsidRPr="008F5ECC" w:rsidRDefault="00654C2A" w:rsidP="007E6552">
      <w:pPr>
        <w:spacing w:line="360" w:lineRule="auto"/>
        <w:rPr>
          <w:rFonts w:ascii="Times New Roman" w:hAnsi="Times New Roman"/>
          <w:sz w:val="24"/>
          <w:szCs w:val="24"/>
        </w:rPr>
      </w:pPr>
      <w:r w:rsidRPr="008F5ECC">
        <w:rPr>
          <w:rFonts w:ascii="Times New Roman" w:hAnsi="Times New Roman"/>
          <w:sz w:val="24"/>
          <w:szCs w:val="24"/>
        </w:rPr>
        <w:t>Suomen oikeuskirjallisuudessa suhtautuminen hallinnollisiin sanktioihin on vaihdellut varovaisen myönteisestä (Lahti</w:t>
      </w:r>
      <w:r>
        <w:rPr>
          <w:rFonts w:ascii="Times New Roman" w:hAnsi="Times New Roman"/>
          <w:sz w:val="24"/>
          <w:szCs w:val="24"/>
        </w:rPr>
        <w:t>, Kiiski</w:t>
      </w:r>
      <w:r w:rsidRPr="008F5ECC">
        <w:rPr>
          <w:rFonts w:ascii="Times New Roman" w:hAnsi="Times New Roman"/>
          <w:sz w:val="24"/>
          <w:szCs w:val="24"/>
        </w:rPr>
        <w:t xml:space="preserve"> ja Tuori) jyrkän kielteiseen (Nuutila ja Tolvanen). Kunnollista keskustelua asiasta ei ole saatu aikaiseksi. </w:t>
      </w:r>
    </w:p>
    <w:p w:rsidR="00654C2A" w:rsidRPr="008F5ECC" w:rsidRDefault="00654C2A" w:rsidP="007E6552">
      <w:pPr>
        <w:spacing w:line="360" w:lineRule="auto"/>
        <w:rPr>
          <w:rFonts w:ascii="Times New Roman" w:hAnsi="Times New Roman"/>
          <w:sz w:val="24"/>
          <w:szCs w:val="24"/>
        </w:rPr>
      </w:pPr>
    </w:p>
    <w:p w:rsidR="00654C2A" w:rsidRPr="008F5ECC" w:rsidRDefault="00654C2A" w:rsidP="007E6552">
      <w:pPr>
        <w:spacing w:line="360" w:lineRule="auto"/>
        <w:rPr>
          <w:rFonts w:ascii="Times New Roman" w:hAnsi="Times New Roman"/>
          <w:sz w:val="24"/>
          <w:szCs w:val="24"/>
        </w:rPr>
      </w:pPr>
      <w:r w:rsidRPr="008F5ECC">
        <w:rPr>
          <w:rFonts w:ascii="Times New Roman" w:hAnsi="Times New Roman"/>
          <w:sz w:val="24"/>
          <w:szCs w:val="24"/>
        </w:rPr>
        <w:t>Erinäisten lainsäädäntöhankkeiden yhteydessä on toki pohdittu myös hallinnollisia sanktioita sakon vaihtoehtona. Viimeksi hallinnollisten maksujen käyttöönottoa pohdittiin säädettäessä niin sanotusta ehdollisesta rikesakosta liikenteessä. Tuolloin päätettiin kuitenkin pitäytyä perinteisessä rikosoikeudessa. Asiaa valmistelleen työryhmän jäsenenä olen osaltani vaikuttanut siihen, että hallinnolliset maksut tulivat torjutuiksi.</w:t>
      </w:r>
    </w:p>
    <w:p w:rsidR="00654C2A" w:rsidRPr="008F5ECC" w:rsidRDefault="00654C2A" w:rsidP="007E6552">
      <w:pPr>
        <w:spacing w:line="360" w:lineRule="auto"/>
        <w:rPr>
          <w:rFonts w:ascii="Times New Roman" w:hAnsi="Times New Roman"/>
          <w:sz w:val="24"/>
          <w:szCs w:val="24"/>
        </w:rPr>
      </w:pPr>
    </w:p>
    <w:p w:rsidR="00654C2A" w:rsidRPr="008F5ECC" w:rsidRDefault="00654C2A" w:rsidP="007E6552">
      <w:pPr>
        <w:spacing w:line="360" w:lineRule="auto"/>
        <w:rPr>
          <w:rFonts w:ascii="Times New Roman" w:hAnsi="Times New Roman"/>
          <w:sz w:val="24"/>
          <w:szCs w:val="24"/>
        </w:rPr>
      </w:pPr>
      <w:r w:rsidRPr="008F5ECC">
        <w:rPr>
          <w:rFonts w:ascii="Times New Roman" w:hAnsi="Times New Roman"/>
          <w:sz w:val="24"/>
          <w:szCs w:val="24"/>
        </w:rPr>
        <w:t>Torjuva asenne hallinnollisiin maksuihin on johtunut ainakin osaksi siitä, että hallinnollisten maksujen järjestelmää on yritetty tuoda Suomen lainsäädäntöön muodossa, joka tarkoittaisi ankaran vastuun omaksumista eli rikosoikeuden eräästä kulmakivestä, syyllisyysperiaatteesta, luopumista. On esitetty niin sanotun haltijavastuun mallia, jonka mukaan liikennerikkomuksesta määrättäisiin hallinnollinen maksu ajoneuvon omistajalle tai haltijalle selvittämättä sitä, kuka ajoneuvoa kuljetti sääntöä rikkoen. Tällaista mallia ovat esitelleet erityisesti insinööritieteiden edustajat. Syyllisyysperiaatteeseen pitäytyneet oikeustieteilijät ovat jokseenkin yksimielisesti pitäneet haltijavastuuta Suomen oikeusjärjestelmään sopimattomana.</w:t>
      </w:r>
    </w:p>
    <w:p w:rsidR="00654C2A" w:rsidRPr="008F5ECC" w:rsidRDefault="00654C2A" w:rsidP="007E6552">
      <w:pPr>
        <w:spacing w:line="360" w:lineRule="auto"/>
        <w:rPr>
          <w:rFonts w:ascii="Times New Roman" w:hAnsi="Times New Roman"/>
          <w:sz w:val="24"/>
          <w:szCs w:val="24"/>
        </w:rPr>
      </w:pPr>
    </w:p>
    <w:p w:rsidR="00654C2A" w:rsidRDefault="00654C2A" w:rsidP="007E6552">
      <w:pPr>
        <w:spacing w:line="360" w:lineRule="auto"/>
        <w:rPr>
          <w:rFonts w:ascii="Times New Roman" w:hAnsi="Times New Roman"/>
          <w:sz w:val="24"/>
          <w:szCs w:val="24"/>
        </w:rPr>
      </w:pPr>
      <w:r w:rsidRPr="008F5ECC">
        <w:rPr>
          <w:rFonts w:ascii="Times New Roman" w:hAnsi="Times New Roman"/>
          <w:sz w:val="24"/>
          <w:szCs w:val="24"/>
        </w:rPr>
        <w:t xml:space="preserve">Kun puhumme hallinnollisista maksuista, puhumme oikeastaan kahdesta eri asiasta. Toisaalta kysymys on siitä, korvataanko vähäisistä rikkomuksista määrättävät sakot tai rikesakot muutaman kymmenen tai enintään muutaman sadan euron suuruisella hallinnollisella maksulla ja toisaalta esimerkiksi kilpailun rajoittamisesta määrättävistä miljoonasanktioista. </w:t>
      </w:r>
    </w:p>
    <w:p w:rsidR="00654C2A" w:rsidRPr="008F5ECC" w:rsidRDefault="00654C2A" w:rsidP="007E6552">
      <w:pPr>
        <w:spacing w:line="360" w:lineRule="auto"/>
        <w:rPr>
          <w:rFonts w:ascii="Times New Roman" w:hAnsi="Times New Roman"/>
          <w:sz w:val="24"/>
          <w:szCs w:val="24"/>
        </w:rPr>
      </w:pPr>
    </w:p>
    <w:p w:rsidR="00654C2A" w:rsidRPr="008F5ECC" w:rsidRDefault="00654C2A" w:rsidP="007E6552">
      <w:pPr>
        <w:spacing w:line="360" w:lineRule="auto"/>
        <w:rPr>
          <w:rFonts w:ascii="Times New Roman" w:hAnsi="Times New Roman"/>
          <w:sz w:val="24"/>
          <w:szCs w:val="24"/>
        </w:rPr>
      </w:pPr>
      <w:r w:rsidRPr="008F5ECC">
        <w:rPr>
          <w:rFonts w:ascii="Times New Roman" w:hAnsi="Times New Roman"/>
          <w:sz w:val="24"/>
          <w:szCs w:val="24"/>
        </w:rPr>
        <w:t>Paineita hallinnollisen sanktioinnin käyttöön ottamisen selvittämiseen tulee lähinnä kahdelta taholta. Ensinnäkin on kotimainen syy eli poliisien valvontaresurssien rajallisuus. On kysytty, voitaisiinko poliisivalvontaan perustuva rikosoikeudellinen sanktiojärjestelmä korvata jollain halvemmalla ja tehokkaammalla järjestelmällä. Toinen syy tulee Euroopan yhdentymisestä, hyvänä esimerkkinä tästä ovat kilpailunrajoitusmaksut. Myös yleiseurooppalaiseen sakkojen perintäjärjestelmään siirtymisen on katsottu vaativan sanktiojärjestelmien yhdenmukaistamista, mikä valitettavasti näyttää tarkoittavan ainakin Suomessa käydyn keskustelun perusteella lähinnä Saksan mallin omaksumista.</w:t>
      </w:r>
    </w:p>
    <w:p w:rsidR="00654C2A" w:rsidRPr="00A37E50"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sz w:val="24"/>
          <w:szCs w:val="24"/>
        </w:rPr>
      </w:pPr>
      <w:r>
        <w:rPr>
          <w:rFonts w:ascii="Times New Roman" w:hAnsi="Times New Roman"/>
          <w:sz w:val="24"/>
          <w:szCs w:val="24"/>
        </w:rPr>
        <w:t xml:space="preserve">Lopuksi on kysyttävä, olisiko sittenkin valittavissa kolmas tie. Tämä tarkoittaisi laajamittaista vähäisten rikkomusten </w:t>
      </w:r>
      <w:r w:rsidRPr="00B55BCC">
        <w:rPr>
          <w:rFonts w:ascii="Times New Roman" w:hAnsi="Times New Roman"/>
          <w:sz w:val="24"/>
          <w:szCs w:val="24"/>
        </w:rPr>
        <w:t>dekriminalisointi</w:t>
      </w:r>
      <w:r>
        <w:rPr>
          <w:rFonts w:ascii="Times New Roman" w:hAnsi="Times New Roman"/>
          <w:sz w:val="24"/>
          <w:szCs w:val="24"/>
        </w:rPr>
        <w:t>a, sovittelun lisäämistä ja asioiden jättämistä entistä enemmän ihmisten itsensä ratkottaviksi. Lainsäätäjä on merkittävä rikollisuuden lisääjä. Mitä laajemmalle rangaistavuus ulotetaan, sitä muhkeampia ovat rikostilastot. Kysymys on myös vallankäytöstä ja siitä, miten pitkälle valtion on syytä säännellä ihmisten välisiä suhteita.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26.</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kannatettava. Yksinkertaisissa asioissa olisi ajateltavissa malli, jossa juttu etenisi suoraan poliisilta tuomarille. Olisi valmis menemään jopa niin pitkälle, että valtaosa nyt kirjallisessa menettelyssä käsiteltävistä jutuista hoidettaisiin tällä yhden kosketuksen mallilla. Menettelyn yksinkertaistamisella saataisiin aikaan merkittäviä säästöjä.</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27.</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perusteltu.</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28.</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En ole alan asiantuntija, mutta periaatteessa ehdotus on selvittämisen arvoinen.</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29.</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 xml:space="preserve">Viittaan vastaukseen kohdassa 26. </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30.</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vaikuttaa punnitulta.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31. ja 32.</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 xml:space="preserve">Kannanotto on perusteltu. </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33.</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pulmallinen. Todistelu on vuorovaikutusta. Videotallennetta käytettäessä vuorovaikutus ei toteudu. Pidän parempana radikaalia uudistusta, jossa näyttö arvioitaisiin pääsääntöisesti vain yhteen kertaan, käräjäoikeudessa. Muutosta voisi hakea vain oikeuskysymyksiin. Korostan, että luotettavan näytön arvioinnin edellytys on se, että näytön on vastaanottanut näyttöä arvioiva tuomioistuin.</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34.</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Tämä ehdotus on mitä kannatettavin. Videokuuleminen on vuorovaikutteista ja säästää kustannuksia. Videokuuleminen mahdollistaa myös entistä tehokkaamman todistajien suojelun. Todistelun luotettavuus on jokseenkin yhtä hyvä kuin perinteisessä kuulemisessa.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35.</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Kannatan tätäkin ehdotusta. Perustelut annetaan ensi sijassa asianosaisille. Rikosasiassa syyttäjälle riittävät yleensä suulliset perustelut. Muun asianosaisen tarve kirjallisiin perusteluihin pitää erikseen selvittää ja pohtia.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36.</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Viittaan kommenttini kohdassa 4.</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37. ja 38.</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Ehdotukset vaikuttavat punnituilta.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39.</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Ehdotus on kannatettava, jos jätetään maksujen ulkopuolelle rikosasiat. Myös hallinto-oikeudellisissa asioissa maksujen määräämiseen on suhtauduttava varoen. Oikeusturvan toteutumista ei saa vaarantaa maksuilla.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40.</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En näe tarvetta syyttäjälaitoksen organisaation uudistamiseen. Organisaatio on nyt varsin virtaviivainen ja toimiva. Pulmana on ainoastaan syyttäjien liian vähäinen lukumäärä ja siitä johtuva kohtuuton työtaakka.</w:t>
      </w:r>
    </w:p>
    <w:p w:rsidR="00654C2A"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b/>
          <w:sz w:val="24"/>
          <w:szCs w:val="24"/>
        </w:rPr>
      </w:pPr>
      <w:r>
        <w:rPr>
          <w:rFonts w:ascii="Times New Roman" w:hAnsi="Times New Roman"/>
          <w:b/>
          <w:sz w:val="24"/>
          <w:szCs w:val="24"/>
        </w:rPr>
        <w:t>41.</w:t>
      </w:r>
    </w:p>
    <w:p w:rsidR="00654C2A" w:rsidRDefault="00654C2A" w:rsidP="00DE6EC2">
      <w:pPr>
        <w:spacing w:line="360" w:lineRule="auto"/>
        <w:rPr>
          <w:rFonts w:ascii="Times New Roman" w:hAnsi="Times New Roman"/>
          <w:sz w:val="24"/>
          <w:szCs w:val="24"/>
        </w:rPr>
      </w:pPr>
      <w:r>
        <w:rPr>
          <w:rFonts w:ascii="Times New Roman" w:hAnsi="Times New Roman"/>
          <w:sz w:val="24"/>
          <w:szCs w:val="24"/>
        </w:rPr>
        <w:t xml:space="preserve">Ehdotus on kannatettava. </w:t>
      </w:r>
    </w:p>
    <w:p w:rsidR="00654C2A" w:rsidRDefault="00654C2A" w:rsidP="00DE6EC2">
      <w:pPr>
        <w:spacing w:line="360" w:lineRule="auto"/>
        <w:rPr>
          <w:rFonts w:ascii="Times New Roman" w:hAnsi="Times New Roman"/>
          <w:sz w:val="24"/>
          <w:szCs w:val="24"/>
        </w:rPr>
      </w:pPr>
    </w:p>
    <w:p w:rsidR="00654C2A" w:rsidRDefault="00654C2A" w:rsidP="006629EF">
      <w:pPr>
        <w:pStyle w:val="NormalWeb"/>
        <w:spacing w:line="360" w:lineRule="auto"/>
      </w:pPr>
      <w:r>
        <w:t>Tutkinnanjohtajan tehtävän uskomista poliisille perusteltiin aiemmin sillä, ettei syyttäjälaitos ollut Suomessa organisaatioltaan yhtenäinen ja syyttäjän tehtävä ei ollut läheskään aina päätoiminen. Syyttäjälaitoksen uudelleen järjestämisen jälkeen tältä argumentilta on pudonnut pohja pois. Syyttäjät ovat päätoimisia ja rikosoikeudenkäynnin parhaita ammattilaisia. Syyttäjän tehtävien ja tutkinnan johtamisen erillisyyden on saatettu katsoa myös lisäävän tutkinnan tasapuolisuutta. Tämä argumentti onkin mielestäni painava (vrt. HE 222/2010 vp s. 31). Syyttäjän tehtävänä esitutkinnassa on myös vaihtoehtoisten hypoteesien pohdinta, mikä voisi olla hankalampaa, jos syyttäjä vastaisi tutkinnanjohtajana rikosvastuun toteuttamisesta. Argumentin painoarvoa heikentää se, että nykyisessäkin järjestelmässä esitutkintaan aktiivisesti osallistuva syyttäjä sitoutuu juttuun vahvasti jo esitutkinnan aikana ja suorittaa samalla syyteharkintaa jo ennen kuin asia muodollisesti siirtyy hänen ratkaistavakseen.</w:t>
      </w:r>
    </w:p>
    <w:p w:rsidR="00654C2A" w:rsidRDefault="00654C2A" w:rsidP="006629EF">
      <w:pPr>
        <w:pStyle w:val="NormalWeb"/>
        <w:spacing w:line="360" w:lineRule="auto"/>
      </w:pPr>
    </w:p>
    <w:p w:rsidR="00654C2A" w:rsidRDefault="00654C2A" w:rsidP="006629EF">
      <w:pPr>
        <w:pStyle w:val="NormalWeb"/>
        <w:spacing w:line="360" w:lineRule="auto"/>
      </w:pPr>
      <w:r>
        <w:t xml:space="preserve">Syyttäjän tutkinnanjohtajuus ei kuitenkaan näytä tässä vaiheessa realistiselta tavoitteelta. Syyttäjälaitoksen niukat voimavarat eivät riittäisi tutkinnanjohtajan tehtävien asianmukaiseen hoitamiseen. Lisärahaa syyttäjälaitokselle ei olisi helposti saatavissa, eikä poliisien toiminnasta vastaava sisäasiainministeriö varmaan olisi valmis siihen, että poliisien momentilta siirrettäisiin rahaa syyttäjille. Poliisi toimii nykyiselläänkin taloudellisen ja inhimillisen kestokyvyn äärirajoilla. Kysymys on myös ammattitaidosta ja työnjaosta. Syyttäjä on asiantuntija oikeuskysymyksissä ja rikosasian ajamisen ammattilainen. Hän tietää, millaista näyttöä vaaditaan langettavaan tuomioon. Poliisi puolestaan on tutkintataktiikan ja tekniikan asiantuntija. Syyttäjillä ei ole tämän alan kokemusta. Taktisissa ja teknisissä kysymyksissä ratkaisuvalta olisi tämän ylivoimaisen asiantuntemuksen vuoksi käytännössä poliisilla, vaikka syyttäjä olisikin muodollisesti tutkinnanjohtaja. </w:t>
      </w:r>
    </w:p>
    <w:p w:rsidR="00654C2A" w:rsidRDefault="00654C2A" w:rsidP="006629EF">
      <w:pPr>
        <w:pStyle w:val="NormalWeb"/>
        <w:spacing w:line="360" w:lineRule="auto"/>
      </w:pPr>
    </w:p>
    <w:p w:rsidR="00654C2A" w:rsidRDefault="00654C2A" w:rsidP="006629EF">
      <w:pPr>
        <w:pStyle w:val="NormalWeb"/>
        <w:spacing w:line="360" w:lineRule="auto"/>
      </w:pPr>
      <w:r>
        <w:t>Syyttäjällä on laaja oikeus pakkokeinojen käyttöön. Tutkinnanjohtajuus ei lisäisi syyttäjän toimivaltaa tässä suhteessa. S</w:t>
      </w:r>
      <w:r w:rsidRPr="00A47025">
        <w:t>yyttäjän muodollinen asema tutkinnanjohtajana ei välttämättä vielä kerro hänen t</w:t>
      </w:r>
      <w:r>
        <w:t>osiasiallisista t</w:t>
      </w:r>
      <w:r w:rsidRPr="00A47025">
        <w:t>oimivaltuuksistaan esitutkinnassa eikä ainakaan siitä, miten rikostutkinnassa käytännössä toimitaan. Ruotsissa syyttäjä ei esitutkinnassa tutkinnanjohtajan asemastaan huolimatta näytä käyttävän mitään sellaisia menetelmiä, joihin suomalaisen syyttäjän toimivaltuudet eivät riitä.</w:t>
      </w:r>
      <w:r>
        <w:t xml:space="preserve"> Näyttäisi siltä, että syyttäjän asema tutkinnanjohtajana on ainakin Ruotsissa varsin muodollinen.</w:t>
      </w:r>
    </w:p>
    <w:p w:rsidR="00654C2A" w:rsidRDefault="00654C2A" w:rsidP="006629EF">
      <w:pPr>
        <w:pStyle w:val="NormalWeb"/>
        <w:spacing w:line="360" w:lineRule="auto"/>
      </w:pPr>
    </w:p>
    <w:p w:rsidR="00654C2A" w:rsidRDefault="00654C2A" w:rsidP="006629EF">
      <w:pPr>
        <w:pStyle w:val="NormalWeb"/>
        <w:spacing w:line="360" w:lineRule="auto"/>
      </w:pPr>
      <w:r>
        <w:t>Kokemus on osoittanut, ettei toimiva yhteistyö synny määräämällä. Yhteistyön onnistuminen riippuu syyttäjien ja poliisien välisistä henkilösuhteista. Siellä, missä henkilösuhteet ovat mutkattomat ja toimivat, myös yhteistyö esitutkinnassa toimii hyvin. Tarkatkaan määräykset eivät toimi, jos jommallakummalla tai molemmilla osapuolilla on taipumusta pitäytyä muodollisiin toimivaltasuhteisiin. Tämä tosiasia ei poista tarvetta määritellä yhteistyön ääriviivoja lainsäädännön tasolla.</w:t>
      </w:r>
    </w:p>
    <w:p w:rsidR="00654C2A" w:rsidRDefault="00654C2A" w:rsidP="006629EF">
      <w:pPr>
        <w:pStyle w:val="NormalWeb"/>
        <w:spacing w:line="360" w:lineRule="auto"/>
      </w:pPr>
    </w:p>
    <w:p w:rsidR="00654C2A" w:rsidRDefault="00654C2A" w:rsidP="006629EF">
      <w:pPr>
        <w:pStyle w:val="NormalWeb"/>
        <w:spacing w:line="360" w:lineRule="auto"/>
      </w:pPr>
      <w:r>
        <w:t>Yhteistyövelvoitteesta on säädetty (uuden) ETL 5 luvun 3 §:ssä. Sen mukaan e</w:t>
      </w:r>
      <w:r w:rsidRPr="007D2589">
        <w:t>situtkintaviranomaisen tulee asian laadun tai laajuuden edellyttämällä tavalla ilmoittaa syyttäjälle esitutkinnan toimittamiseen ja esitutkintatoimenpiteisiin liittyvistä seikoista sekä tutkinnan edistymisestä muuten. Pakkokeinojen käyttöön liittyvästä ilmoittamisvelvollisuudesta säädetään pakkokeinolaissa</w:t>
      </w:r>
      <w:r>
        <w:t xml:space="preserve">. </w:t>
      </w:r>
      <w:r w:rsidRPr="00050A09">
        <w:t xml:space="preserve">Syyttäjän on tarvittavassa määrin osallistuttava esitutkintaan sen varmistamiseksi, että asia selvitetään </w:t>
      </w:r>
      <w:r>
        <w:t xml:space="preserve">ETL </w:t>
      </w:r>
      <w:r w:rsidRPr="00050A09">
        <w:t>1 luvun 2 §:ssä tarkoitetulla tavalla.</w:t>
      </w:r>
      <w:r>
        <w:t xml:space="preserve"> </w:t>
      </w:r>
      <w:r w:rsidRPr="00050A09">
        <w:t>Esitutkintaviranomaisen ja syyttäjän tulee neuvotella esitutkintayhteistyön järjestämiseen liittyvistä kysymyksistä.</w:t>
      </w:r>
    </w:p>
    <w:p w:rsidR="00654C2A" w:rsidRDefault="00654C2A" w:rsidP="006629EF">
      <w:pPr>
        <w:pStyle w:val="NormalWeb"/>
        <w:spacing w:line="360" w:lineRule="auto"/>
      </w:pPr>
    </w:p>
    <w:p w:rsidR="00654C2A" w:rsidRDefault="00654C2A" w:rsidP="006629EF">
      <w:pPr>
        <w:pStyle w:val="NormalWeb"/>
        <w:spacing w:line="360" w:lineRule="auto"/>
      </w:pPr>
      <w:r>
        <w:t xml:space="preserve">Esitutkintalaissa on säädetty yhteistyöstä poliisin ja syyttäjän välillä. Laki vaikenee täysin mahdollisesta yhteistyöstä syyttäjän ja epäillyn </w:t>
      </w:r>
      <w:r w:rsidRPr="00F94C95">
        <w:rPr>
          <w:i/>
        </w:rPr>
        <w:t>avustajan</w:t>
      </w:r>
      <w:r>
        <w:t xml:space="preserve"> kanssa. </w:t>
      </w:r>
      <w:r w:rsidRPr="00F94C95">
        <w:rPr>
          <w:i/>
        </w:rPr>
        <w:t>Syyteharkinnan</w:t>
      </w:r>
      <w:r>
        <w:t xml:space="preserve"> aikaisista neuvotteluista asianosaisten tai heidän avustajiensa kanssa on säädetty ROL 1 luvun 8a §:ssä. Onko neuvottelu epäillyn avustajan kanssa kielletty ETL:ssa? Tällaista tulkintaa lain vaikenemisesta ei ole syytä tehdä. Avustajalla on oikeus pyytää syyttäjältä, että syyttäjä määräisi poliisin suorittamaan tutkimukset, joista poliisi on kieltäytynyt. Lisätutkinnan tarpeen selvittämiseksi saattaa olla viisasta neuvotella syyttäjän ja avustajan kesken. Pidän jopa toivottavana, että syyttäjä ja epäillyn avustaja jo esitutkinnan aikana keskustelevat vaihtoehtoisista tapahtumainkuluista ja todistelun tarpeesta. Jos Suomessa omaksutaan jossain muodossa syytteestä sopimisen järjestelmä, syyttäjän ja epäillyn avustajan neuvottelua esitutkinnassa ei voida välttää. Rikoksen tunnustamisesta on suurin hyöty silloin, kun tunnustus ajoittuu esitutkinnan varhaiseen vaiheeseen. </w:t>
      </w:r>
    </w:p>
    <w:p w:rsidR="00654C2A" w:rsidRDefault="00654C2A" w:rsidP="006629EF">
      <w:pPr>
        <w:pStyle w:val="NormalWeb"/>
        <w:spacing w:line="360" w:lineRule="auto"/>
      </w:pPr>
    </w:p>
    <w:p w:rsidR="00654C2A" w:rsidRDefault="00654C2A" w:rsidP="006629EF">
      <w:pPr>
        <w:pStyle w:val="NormalWeb"/>
        <w:spacing w:line="360" w:lineRule="auto"/>
      </w:pPr>
      <w:r>
        <w:t>Kaiken kaikkiaan tehokas yhteistyö esitutkintaan osallistuvien eri tahojen välillä lyhentää tutkinta-aikoja ja aikaansaa siten merkittäviä kustannussäästöjä.</w:t>
      </w:r>
    </w:p>
    <w:p w:rsidR="00654C2A" w:rsidRDefault="00654C2A" w:rsidP="006629EF">
      <w:pPr>
        <w:pStyle w:val="NormalWeb"/>
        <w:spacing w:line="360" w:lineRule="auto"/>
      </w:pPr>
    </w:p>
    <w:p w:rsidR="00654C2A" w:rsidRDefault="00654C2A" w:rsidP="006629EF">
      <w:pPr>
        <w:pStyle w:val="NormalWeb"/>
        <w:spacing w:line="360" w:lineRule="auto"/>
        <w:rPr>
          <w:b/>
        </w:rPr>
      </w:pPr>
      <w:r>
        <w:rPr>
          <w:b/>
        </w:rPr>
        <w:t>42.</w:t>
      </w:r>
    </w:p>
    <w:p w:rsidR="00654C2A" w:rsidRDefault="00654C2A" w:rsidP="006629EF">
      <w:pPr>
        <w:pStyle w:val="NormalWeb"/>
        <w:spacing w:line="360" w:lineRule="auto"/>
      </w:pPr>
      <w:r>
        <w:t>Ehdotus on kannatettava. Lausun ehdotuksesta tältä osin myös periaatteellisella tasolla.</w:t>
      </w:r>
    </w:p>
    <w:p w:rsidR="00654C2A" w:rsidRDefault="00654C2A" w:rsidP="006629EF">
      <w:pPr>
        <w:pStyle w:val="NormalWeb"/>
        <w:spacing w:line="360" w:lineRule="auto"/>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Syyteneuvottelulla on katsottu saavutettavan ensinnäkin k</w:t>
      </w:r>
      <w:r w:rsidRPr="007F63B4">
        <w:rPr>
          <w:rFonts w:ascii="Times New Roman" w:hAnsi="Times New Roman"/>
          <w:sz w:val="24"/>
          <w:szCs w:val="24"/>
        </w:rPr>
        <w:t>ustannusten säästö</w:t>
      </w:r>
      <w:r>
        <w:rPr>
          <w:rFonts w:ascii="Times New Roman" w:hAnsi="Times New Roman"/>
          <w:sz w:val="24"/>
          <w:szCs w:val="24"/>
        </w:rPr>
        <w:t>ä</w:t>
      </w:r>
      <w:r w:rsidRPr="007F63B4">
        <w:rPr>
          <w:rFonts w:ascii="Times New Roman" w:hAnsi="Times New Roman"/>
          <w:sz w:val="24"/>
          <w:szCs w:val="24"/>
        </w:rPr>
        <w:t xml:space="preserve">, </w:t>
      </w:r>
      <w:r>
        <w:rPr>
          <w:rFonts w:ascii="Times New Roman" w:hAnsi="Times New Roman"/>
          <w:sz w:val="24"/>
          <w:szCs w:val="24"/>
        </w:rPr>
        <w:t xml:space="preserve">erityisesti viranomaiskustannusten säästöä. </w:t>
      </w:r>
      <w:r w:rsidRPr="007F63B4">
        <w:rPr>
          <w:rFonts w:ascii="Times New Roman" w:hAnsi="Times New Roman"/>
          <w:sz w:val="24"/>
          <w:szCs w:val="24"/>
        </w:rPr>
        <w:t>Syyttäjä sa</w:t>
      </w:r>
      <w:r>
        <w:rPr>
          <w:rFonts w:ascii="Times New Roman" w:hAnsi="Times New Roman"/>
          <w:sz w:val="24"/>
          <w:szCs w:val="24"/>
        </w:rPr>
        <w:t>a ainakin jonkin syytteen läpi ja s</w:t>
      </w:r>
      <w:r w:rsidRPr="007F63B4">
        <w:rPr>
          <w:rFonts w:ascii="Times New Roman" w:hAnsi="Times New Roman"/>
          <w:sz w:val="24"/>
          <w:szCs w:val="24"/>
        </w:rPr>
        <w:t>yytetty hyötyy lievemmän rangaistuksen muodossa</w:t>
      </w:r>
      <w:r>
        <w:rPr>
          <w:rFonts w:ascii="Times New Roman" w:hAnsi="Times New Roman"/>
          <w:sz w:val="24"/>
          <w:szCs w:val="24"/>
        </w:rPr>
        <w:t xml:space="preserve">. </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Syyteneuvottelussa on kuitenkin monia riskitekijöitä. Suurimmat pulmat liittyvät rikoksesta epäillyn oikeusturvaan. Riskinä ovat v</w:t>
      </w:r>
      <w:r w:rsidRPr="007F63B4">
        <w:rPr>
          <w:rFonts w:ascii="Times New Roman" w:hAnsi="Times New Roman"/>
          <w:sz w:val="24"/>
          <w:szCs w:val="24"/>
        </w:rPr>
        <w:t>äärät tunnustukset esitutkinnassa</w:t>
      </w:r>
      <w:r>
        <w:rPr>
          <w:rFonts w:ascii="Times New Roman" w:hAnsi="Times New Roman"/>
          <w:sz w:val="24"/>
          <w:szCs w:val="24"/>
        </w:rPr>
        <w:t xml:space="preserve"> ja oikeudenkäynnissä. Rikosprosessi on vaarassa etääntyä tosielämän tapahtumista. Menettelyyn liittyy yhdenvertaisuusongelmia </w:t>
      </w:r>
      <w:r w:rsidRPr="007F63B4">
        <w:rPr>
          <w:rFonts w:ascii="Times New Roman" w:hAnsi="Times New Roman"/>
          <w:sz w:val="24"/>
          <w:szCs w:val="24"/>
        </w:rPr>
        <w:t>eri rikostyyppien välillä</w:t>
      </w:r>
      <w:r>
        <w:rPr>
          <w:rFonts w:ascii="Times New Roman" w:hAnsi="Times New Roman"/>
          <w:sz w:val="24"/>
          <w:szCs w:val="24"/>
        </w:rPr>
        <w:t xml:space="preserve"> ja </w:t>
      </w:r>
      <w:r w:rsidRPr="007F63B4">
        <w:rPr>
          <w:rFonts w:ascii="Times New Roman" w:hAnsi="Times New Roman"/>
          <w:sz w:val="24"/>
          <w:szCs w:val="24"/>
        </w:rPr>
        <w:t>eri tekijätyyppien välillä</w:t>
      </w:r>
      <w:r>
        <w:rPr>
          <w:rFonts w:ascii="Times New Roman" w:hAnsi="Times New Roman"/>
          <w:sz w:val="24"/>
          <w:szCs w:val="24"/>
        </w:rPr>
        <w:t>. Syyteneuvottelusta voi tulla syyttäjän painostuskeino ja a</w:t>
      </w:r>
      <w:r w:rsidRPr="007F63B4">
        <w:rPr>
          <w:rFonts w:ascii="Times New Roman" w:hAnsi="Times New Roman"/>
          <w:sz w:val="24"/>
          <w:szCs w:val="24"/>
        </w:rPr>
        <w:t>vustajat</w:t>
      </w:r>
      <w:r>
        <w:rPr>
          <w:rFonts w:ascii="Times New Roman" w:hAnsi="Times New Roman"/>
          <w:sz w:val="24"/>
          <w:szCs w:val="24"/>
        </w:rPr>
        <w:t>kin saattavat</w:t>
      </w:r>
      <w:r w:rsidRPr="007F63B4">
        <w:rPr>
          <w:rFonts w:ascii="Times New Roman" w:hAnsi="Times New Roman"/>
          <w:sz w:val="24"/>
          <w:szCs w:val="24"/>
        </w:rPr>
        <w:t xml:space="preserve"> tyytyvät helppoi</w:t>
      </w:r>
      <w:r>
        <w:rPr>
          <w:rFonts w:ascii="Times New Roman" w:hAnsi="Times New Roman"/>
          <w:sz w:val="24"/>
          <w:szCs w:val="24"/>
        </w:rPr>
        <w:t>hin ratkaisuihin. Tässä menettelyssä l</w:t>
      </w:r>
      <w:r w:rsidRPr="007F63B4">
        <w:rPr>
          <w:rFonts w:ascii="Times New Roman" w:hAnsi="Times New Roman"/>
          <w:sz w:val="24"/>
          <w:szCs w:val="24"/>
        </w:rPr>
        <w:t xml:space="preserve">ieventämisperusteet </w:t>
      </w:r>
      <w:r>
        <w:rPr>
          <w:rFonts w:ascii="Times New Roman" w:hAnsi="Times New Roman"/>
          <w:sz w:val="24"/>
          <w:szCs w:val="24"/>
        </w:rPr>
        <w:t xml:space="preserve">voivat jäädä soveltamatta. </w:t>
      </w:r>
      <w:r w:rsidRPr="007F63B4">
        <w:rPr>
          <w:rFonts w:ascii="Times New Roman" w:hAnsi="Times New Roman"/>
          <w:sz w:val="24"/>
          <w:szCs w:val="24"/>
        </w:rPr>
        <w:t>Asianomistajan asema pulmallinen</w:t>
      </w:r>
      <w:r>
        <w:rPr>
          <w:rFonts w:ascii="Times New Roman" w:hAnsi="Times New Roman"/>
          <w:sz w:val="24"/>
          <w:szCs w:val="24"/>
        </w:rPr>
        <w:t xml:space="preserve">, vaikka hänen suostumuksensa olisi edellytys menettelyn käytölle. </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 xml:space="preserve">Rikosoikeuden perinteisenä vaikutusmekanismina on pidetty </w:t>
      </w:r>
      <w:r>
        <w:rPr>
          <w:rFonts w:ascii="Times New Roman" w:hAnsi="Times New Roman"/>
          <w:i/>
          <w:sz w:val="24"/>
          <w:szCs w:val="24"/>
        </w:rPr>
        <w:t>pelotusta.</w:t>
      </w:r>
      <w:r>
        <w:rPr>
          <w:rFonts w:ascii="Times New Roman" w:hAnsi="Times New Roman"/>
          <w:sz w:val="24"/>
          <w:szCs w:val="24"/>
        </w:rPr>
        <w:t xml:space="preserve"> Ajatuksena on toisaalta, että rangaistusuhilla ja rankaisemisella saadaan sellainen vaikutus, etteivät ihmiset ylipäätään syyllisty tiettyihin yhteiskunnassa haitallisina pidettyihin tekoihin (yleisestävä vaikutus). Toisaalta vaikutus voidaan nähdä myös tekijäkohtaisena ja olettaa, että rankaiseminen motivoi rikokseen jo syyllistynyttä olemaan syyllistymättä uusiin rangaistaviin tekoihin (erityisestävä vaikutus). Pelotusvaikutus voi syntyä ensinnäkin vain, jos ihmiset tuntevat rangaistusuhat ja tulevat tietämään, että rikoksista todella rangaistaan. Mekanismin keskeisin elementti on kiinnijäämisen riski tai oikeastaan se, miten todennäköisenä ihmiset pitävät rikoksen ilmituloa ja joutumista rikosvastuuseen. Rangaistuksen ankaruus on kolmas pelotusvaikutuksen osatekijä. Pelotusvaikutukseen liittyy kiistanalainen ja pääosin todistamatta jäänyt olettama siitä, että ihmiset laskevat rikoksen tuottamia hyötyjä ja rangaistukseen liittyviä haittoja ja kiinnijäämisen riskiä sekä niiden keskinäisen vertailun jälkeen päätyvät joko noudattamaan tai rikkomaan lakia. Jonkinasteista hyötyjen ja haittojen vertailua esiintyy tutkimustenkin mukaan talousrikoksissa ja myös liikennerikosten tyyppisissä massarikoksissa. Monissa rikostyypeissä, esimerkiksi seksuaalirikoksissa ja tyypillisissä suomalaisissa juovuksissa tehdyissä henkirikoksissa, hyötyjen ja haittojen laskeminen kuulostaa kovin vieraalta ajatukselta.</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 xml:space="preserve">Pidän aika uskottavana hypoteesia, jonka mukaan syyteneuvottelu ei ainakaan </w:t>
      </w:r>
      <w:r>
        <w:rPr>
          <w:rFonts w:ascii="Times New Roman" w:hAnsi="Times New Roman"/>
          <w:i/>
          <w:sz w:val="24"/>
          <w:szCs w:val="24"/>
        </w:rPr>
        <w:t xml:space="preserve">lisää </w:t>
      </w:r>
      <w:r>
        <w:rPr>
          <w:rFonts w:ascii="Times New Roman" w:hAnsi="Times New Roman"/>
          <w:sz w:val="24"/>
          <w:szCs w:val="24"/>
        </w:rPr>
        <w:t xml:space="preserve">pelotusvaikutusta. Voitaisiin tietysti väittää, että menettelyn nopeutuminen lisäisi sanktiovarmuutta niissä rikoksissa, jotka oikeudessa käsitellään tunnustamisoikeudenkäynnissä. Prosessin tehostuminen johtanee voimavarojen vapautumiseen entistä useamman rikoksen tutkimiseen. Olisi kuitenkin perusteetonta olettaa, että prosessin tehostuminen lisäisi nimenomaan rangaistuksen pelkoa. On otettava huomioon myös se, että syyteneuvottelumenettelyssä monia rikoksia jätettäisiin kokonaan tutkimatta. Vaarana voi olla se, että tietyissä rikostyypeissä toimenpiteistä luopumisesta tulee </w:t>
      </w:r>
      <w:r>
        <w:rPr>
          <w:rFonts w:ascii="Times New Roman" w:hAnsi="Times New Roman"/>
          <w:i/>
          <w:sz w:val="24"/>
          <w:szCs w:val="24"/>
        </w:rPr>
        <w:t xml:space="preserve">säännönmukainen </w:t>
      </w:r>
      <w:r>
        <w:rPr>
          <w:rFonts w:ascii="Times New Roman" w:hAnsi="Times New Roman"/>
          <w:sz w:val="24"/>
          <w:szCs w:val="24"/>
        </w:rPr>
        <w:t xml:space="preserve">lopputulos etenkin silloin, kun ne yhdistyvät juttuihin, joissa on kysymys vakavammista rikoksista. Eikö laajamittainen toimenpiteistä luopuminen pikemmin </w:t>
      </w:r>
      <w:r>
        <w:rPr>
          <w:rFonts w:ascii="Times New Roman" w:hAnsi="Times New Roman"/>
          <w:i/>
          <w:sz w:val="24"/>
          <w:szCs w:val="24"/>
        </w:rPr>
        <w:t xml:space="preserve">heikennä </w:t>
      </w:r>
      <w:r>
        <w:rPr>
          <w:rFonts w:ascii="Times New Roman" w:hAnsi="Times New Roman"/>
          <w:sz w:val="24"/>
          <w:szCs w:val="24"/>
        </w:rPr>
        <w:t>pelotusvaikutusta? Muutokset olisivat tuskin dramaattisia. Ihmisillä on ylipäätään aika vähän tietoa toimenpiteistä luopumisen laajuudesta.</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Rangaistusjärjestelmän on oletettu myös ja viime vuosikymmenien rangaistusteoreettisessa keskustelussa ehkä jopa pääasiallisesti vaikuttavan</w:t>
      </w:r>
      <w:r w:rsidRPr="00D67703">
        <w:rPr>
          <w:rFonts w:ascii="Times New Roman" w:hAnsi="Times New Roman"/>
          <w:i/>
          <w:sz w:val="24"/>
          <w:szCs w:val="24"/>
        </w:rPr>
        <w:t xml:space="preserve"> yhteiskuntamoraalia</w:t>
      </w:r>
      <w:r>
        <w:rPr>
          <w:rFonts w:ascii="Times New Roman" w:hAnsi="Times New Roman"/>
          <w:sz w:val="24"/>
          <w:szCs w:val="24"/>
        </w:rPr>
        <w:t xml:space="preserve"> luovasti, sitä ylläpitävästi taikka sitä vahvistavasti. Rankaiseminen takaisi sen, ettei lain rikkominen muodostu yleiseksi tavaksi. Moraalisen vaikutuksen kannalta syyteneuvottelu voi olla ongelmallinen. Tämä mekanismi on kiinteässä yhteydessä oikeusjärjestelmää kohtaan tunnettavaan </w:t>
      </w:r>
      <w:r>
        <w:rPr>
          <w:rFonts w:ascii="Times New Roman" w:hAnsi="Times New Roman"/>
          <w:i/>
          <w:sz w:val="24"/>
          <w:szCs w:val="24"/>
        </w:rPr>
        <w:t>luottamukseen</w:t>
      </w:r>
      <w:r>
        <w:rPr>
          <w:rFonts w:ascii="Times New Roman" w:hAnsi="Times New Roman"/>
          <w:sz w:val="24"/>
          <w:szCs w:val="24"/>
        </w:rPr>
        <w:t>. Tutkimusten mukaan rikollisuus on vähiten ongelmallista yhteiskunnissa, joissa ihmiset luottavat toisiinsa ja viranomaisiin. Tässä en viittaa ensi sijassa rikollisuuden määrään vaan nimenomaan rikollisuuteen ongelmana. Kahdessa valtiossa voi olla sama määrä rikollisuutta, mutta rikollisuus on merkittävästi suurempi ongelma siinä valtiossa, jossa luottamus on vähäisempää. Ongelmaa kuvaa esimerkiksi vankiluku ja muut ankarat puuttumiset ihmisten henkilökohtaiseen koskemattomuuteen. Laajamittainen syyteneuvottelun soveltaminen saattaisi pitkällä aikavälillä heikentää luottamusta viranomaistoiminnan tasapuolisuuteen. Tämä on vain hypoteesi, jonka toteutumista olisi kuitenkin syytä seurata myös tutkimuksen menetelmin.</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 xml:space="preserve">Rankaisemisessa on myös </w:t>
      </w:r>
      <w:r>
        <w:rPr>
          <w:rFonts w:ascii="Times New Roman" w:hAnsi="Times New Roman"/>
          <w:i/>
          <w:sz w:val="24"/>
          <w:szCs w:val="24"/>
        </w:rPr>
        <w:t>sovituselementti</w:t>
      </w:r>
      <w:r>
        <w:rPr>
          <w:rFonts w:ascii="Times New Roman" w:hAnsi="Times New Roman"/>
          <w:sz w:val="24"/>
          <w:szCs w:val="24"/>
        </w:rPr>
        <w:t>. Suorittamalla laissa säädetyn ja tuomioistuimen määräämä rangaistuksen rikoksentekijän katsotaan sovittavan tekonsa. Sovittamiseen liittyy rangaistusta suorittavan katumus. Rankaisemisen oletetaan herättävän rikoksentekijässä katumusta ja katumuksesta pitäisi seurata halu uudistumiseen, mikä puolestaan tarkoittaa elämää ilman rikoksia. Tekoansa näin katuva ja sen kautta uudistuva rikoksensa sovittanut yksilö otetaan tämän jälkeen yhteiskunnan täysivertaisena jäsenenä vertaistensa joukkoon eli integroidaan yhteiskuntaan. Kyseessä on tietysti ideaalimalli. Läheskään kaikki rikokseen syyllistyneet eivät ankarankaan rangaistuksen kärsittyään tunne katumusta tai halua muuttaa elämäntapaansa. Yhteiskunta ei ole valmis varauksitta integroimaan rangaistuksen kärsinyttä ja erityisesti vankeuden jälkihuolto on aika lailla olematonta, huolimatta sen tuomista kiistattomista rahallisista ja muista hyödyistä.</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 xml:space="preserve">Sovitusnäkökulmasta syyteneuvottelu on rajatusti käytettynä puollettavissa ja kriminaalipoliittisesti perusteltavissa. On syytäkin korostaa sitä, että rikokseen syyllistynyt saa tunnustamalla tekonsa ilmaista valmiutensa kantaa vastuun teon seurauksista. Ajan henki on ollut se, että erityisesti prosessioikeuden tutkijat korostavat sitä, mitä rikoksesta epäillyn ei </w:t>
      </w:r>
      <w:r>
        <w:rPr>
          <w:rFonts w:ascii="Times New Roman" w:hAnsi="Times New Roman"/>
          <w:i/>
          <w:sz w:val="24"/>
          <w:szCs w:val="24"/>
        </w:rPr>
        <w:t xml:space="preserve">tarvitse </w:t>
      </w:r>
      <w:r>
        <w:rPr>
          <w:rFonts w:ascii="Times New Roman" w:hAnsi="Times New Roman"/>
          <w:sz w:val="24"/>
          <w:szCs w:val="24"/>
        </w:rPr>
        <w:t>tehdä tai mihin häntä ei voida pakottaa. Asetelmaa on syytä muuttaa niin, että kysytäänkin, mihin rikoksesta epäillyllä on oikeus. Tällöin päädytään kiistatta siihen, että hänellä on oikeus halutessaan myötävaikuttaa rikosvastuun toteuttamisessa ja rangaistuksen lievennys on puolestaan yhteiskunnan osoitus siitä, että yhteiskunta antaa tälle asenteelle arvoa.</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 xml:space="preserve">Ehdotetussa syyteneuvottelussa rikoksen uhrin oikeuksia ei heikennettäisi nykyisestä. Tunnustamisoikeudenkäyntiin pitäisi olla asianomistajan suostumus ja toimenpiteistä ei saa luopua, jos asianomistajan tärkeä etu vaatii tutkinnan jatkamista tai syyttämistä. Ongelmia ei näyttäisi tulevan rikoksesta epäillynkään näkökulmasta, koska työryhmä korostaa sitä, että tuomioistuimen tulee vakuuttua tekijän syyllisyydestä myös tässä menettelyssä ja syyteneuvottelussa sekä tunnustamisoikeudenkäynnissä olisi käytännössä aina puolustusasianajaja mukana. </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Ongelmat liittyvät rikoksentekijöiden yhdenvertaiseen kohteluun, jonka keskeisenä ideana on se, että keskenään samanlaisia tapauksia käsitellään yhdenvertaisesti. Syyteneuvottelussa samanlaiseen rikokseen syyllistyneitä kohdellaan eri tavalla sen mukaan, onko epäilty tunnustanut tekonsa vai ei. Hyvin perustein voidaan kuitenkin väittää, että tapaukset eivät olekaan rinnasteisia. Toisessa tapauksessa tekijä ilmaiseen valmiutensa rikosvastuun kantamiseen ja toisessa ei. Minun mielestäni on perusteltua ottaa tämä erilaisuus huomioon rangaistusta määrättäessä. Laki on jo nyt tällä kannalla, eikä syyteneuvottelu muuttaisi rangaistuksen määräytymisen perusteita radikaalisti. Eri rikoksiin syyllistyneitä kohdeltaisiin toki muodollisesti eri tavoin, kun syyteneuvottelun ulkopuolelle jäisi merkittävä osa tavanomaisia rikoksia. Saatetaan jopa väittää, että syyteneuvottelusta on vaarana tulla talousrikollisten ”vapaakaista” rikosprosessissa. Tätä pulmaa voidaan lieventää harkitsemalla vielä syyteneuvottelussa kyseeseen tulevien rikostunnusmerkistöjen lisäämistä.</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r>
        <w:rPr>
          <w:rFonts w:ascii="Times New Roman" w:hAnsi="Times New Roman"/>
          <w:sz w:val="24"/>
          <w:szCs w:val="24"/>
        </w:rPr>
        <w:t xml:space="preserve">Tunnustamisoikeudenkäynti parantaisi syytetyn oikeusturvaa, koska rangaistus voisi olla enintään laissa määritelty murto-osa maksimirangaistuksesta. Käytännön mittaamisen tasolla tämä tarkoittaisi, ettei konkreettisessa tapauksessa rangaistukseksi mitattaisi kuin enintään kaksi kolmasosaa (juuri eduskunnalle annetun HE:n mukaan) normaalirangaistuksesta. Alennus voisi olla tätä suurempikin, useimmissa tapauksissa jopa kunkin rangaistuslajin vähimmäisrangaistukseen asti ulottuva. </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43.</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Syyttäjien koulutusjärjestelmä on jo nyt toimiva. Suunnitelmallisuuden lisääminen ei ole koskaan pahaksi.</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44.</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Ehdotus on suorastaan hylättävä. Asianomistaja ei useimmissa tapauksissa saa tuomittuja korvauksia perityksi. Olisi kohtuutonta, jos hän vielä joutuisi maksamaan syyttäjälle korvausvaatimuksen ajamisesta. Kyseessä on sellainen palvelu asianomistajalle, jota ei pidä kaventaa. Oikeudenhoidossa on pyritty rikoksen uhrin aseman parantamiseen, tämä ehdotus johtaa tämän tavoitteen kanssa ristiriitaan. Asianomistajan vaatimusten ajaminen ei lisää sanottavasti syyttäjän työmäärää silloin, kun syyttäjä ajaa vain perusteeltaan ja määrältään selviä vaatimuksia.</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45.</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Ehdotus on perusteltu.</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46.</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Tämäkin ehdotus on perusteltu. Alueellinen kattavuus tulee kaikissa tapauksissa turvata.</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47.</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Tämäkin ehdotus on perusteltu. Etäpalvelussa on toki riskejä, avustamisessakin on vuorovaikutus keskeistä.</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48.</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Katson, että valvonta on jo nykyisellään asianmukaisella tasolla.</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49.</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Hallintolainkäytössä pitäisi omaksua sama sääntö, joka on voimassa käräjä- ja hovioikeuksissa. Asiamieheksi siis kelpaisi vain asianajaja tai lupalakimies. Ei ole enää perustelua soveltaa eri sääntöjä eri tuomioistuinlinjoilla. Kelpoisuusvaatimukset edistävät oikeusturvan toteutumista ja vapauttavat tuomarit varsinaiseen tuomitsemistoimintaan.</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50.</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Ehdotus on arveluttava. Oikeusavun saatavuutta ei tulisi riskeerata missään oloissa.</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51.</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Ehdotus ei ole aivan ongelmaton. Rikosasioissa sovittelun määrää ei ilmeisesti voida sanottavasti lisätä (soviteltavien asioiden määrä on jopa lievässä laskussa). Sama koskenee riita-asioita. Ihmisten täytyy antaa myös riidellä. Epäilen sovittelun ulottamista hallintolainkäyttöön, lähinnä sovittelu tulisi kyseeseen hallintoriita-asioissa. Esimerkiksi veroasioissa sovittelulle ei ole sijaa.</w:t>
      </w:r>
    </w:p>
    <w:p w:rsidR="00654C2A" w:rsidRDefault="00654C2A" w:rsidP="00396376">
      <w:pPr>
        <w:spacing w:line="360" w:lineRule="auto"/>
        <w:rPr>
          <w:rFonts w:ascii="Times New Roman" w:hAnsi="Times New Roman"/>
          <w:sz w:val="24"/>
          <w:szCs w:val="24"/>
        </w:rPr>
      </w:pPr>
    </w:p>
    <w:p w:rsidR="00654C2A" w:rsidRDefault="00654C2A" w:rsidP="00C51B99">
      <w:pPr>
        <w:spacing w:line="360" w:lineRule="auto"/>
        <w:rPr>
          <w:rFonts w:ascii="Times New Roman" w:hAnsi="Times New Roman"/>
          <w:sz w:val="24"/>
          <w:szCs w:val="24"/>
        </w:rPr>
      </w:pPr>
      <w:r>
        <w:rPr>
          <w:rFonts w:ascii="Times New Roman" w:hAnsi="Times New Roman"/>
          <w:sz w:val="24"/>
          <w:szCs w:val="24"/>
        </w:rPr>
        <w:t xml:space="preserve">Hallintolainkäytön perinteisenä funktiona on pidetty viranomaisvalvontaa ja virheellisten hallintopäätösten oikaisua. Nykytila ei ole enää näin yksioikoinen. Myös hallintolainkäytössä on alettu tiedostaa oikeussuoja-aspekti, käyttäytymisen ohjaaminen ja jopa konfliktinratkaisufunktio. Työryhmä näyttää ennakoineen kehitystä, jossa myös hallintolainkäytössä painottuisi nykyistä enemmän konfliktin ratkaisun näkökulma. Tämä kai edellyttäisi hallintoriitamenettelyn voimaperäistä kehittämistä. Valitus- ja hakemusmenettelyyn konfliktin ratkaisun idea on vaikeammin sovitettavissa, etenkin asioissa, joissa kysymys on sanktion määräämisestä tai luvan myöntämisestä taikka peruuttamisesta. Sanktioiden määräämisen perusteet, etuuksien myöntämisen edellytykset sekä lupien myöntämisen ja peruuttamisen perusteet on tarkoin kirjattu lakiin. Ampuma-aselupaa ei saa myöntää henkilölle, joka saattaisi käyttää asetta toisten vahingoittamiseen ja väkivaltarikoksiin syyllistynee luvat on lain mukaan peruutettava. On vaikea kuvitella, miten näissä asioissa olisi mahdollista hakea sovinnollista ratkaisua lainkäytössä. Lakimääräisten etuuksien myöntämisessä puolestaan on vahvasti käsillä yhdenvertaisuuden näkökulma, mikä voi vähentää sovintomenettelyn käyttöalaa. Konfliktin ratkaisun idea voisi kuitenkin olla esillä muun muassa lastensuojeluasioissa ja joihinkin harkinnanvaraisiin yhteiskunnan myöntämiin tukiin liittyvissä asiaryhmissä. </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52.</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Ehdotus on sinänsä kannatettava, kunhan neuvonnalla ei vaaranneta jutun puolueettoman käsittelyn vaatimusta.</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53.</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Ehdotus vaikuttaa punnitulta.</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54.</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En näe tarvetta ulosotto-organisaation muutokselle. Muutoksen kustannusvaikutusta sopii epäillä.</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55.</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En osaa ottaa tähän ehdotukseen kantaa, kun en riittävästi tunne ulosoton työmenetelmiä</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56.</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Kuten edellä olen todennut, koulutukselle on aina tarvetta. Ulosoton henkilöstöä koulutetaan jo nyt varsin monipuolisesti.</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57.</w:t>
      </w:r>
    </w:p>
    <w:p w:rsidR="00654C2A" w:rsidRDefault="00654C2A" w:rsidP="00396376">
      <w:pPr>
        <w:spacing w:line="360" w:lineRule="auto"/>
        <w:rPr>
          <w:rFonts w:ascii="Times New Roman" w:hAnsi="Times New Roman"/>
          <w:sz w:val="24"/>
          <w:szCs w:val="24"/>
        </w:rPr>
      </w:pPr>
      <w:r>
        <w:rPr>
          <w:rFonts w:ascii="Times New Roman" w:hAnsi="Times New Roman"/>
          <w:sz w:val="24"/>
          <w:szCs w:val="24"/>
        </w:rPr>
        <w:t>Ehdotus on perusteltu.</w:t>
      </w:r>
    </w:p>
    <w:p w:rsidR="00654C2A" w:rsidRDefault="00654C2A" w:rsidP="00396376">
      <w:pPr>
        <w:spacing w:line="360" w:lineRule="auto"/>
        <w:rPr>
          <w:rFonts w:ascii="Times New Roman" w:hAnsi="Times New Roman"/>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Joensuussa 19.6.2013</w:t>
      </w:r>
    </w:p>
    <w:p w:rsidR="00654C2A" w:rsidRDefault="00654C2A" w:rsidP="00396376">
      <w:pPr>
        <w:spacing w:line="360" w:lineRule="auto"/>
        <w:rPr>
          <w:rFonts w:ascii="Times New Roman" w:hAnsi="Times New Roman"/>
          <w:b/>
          <w:sz w:val="24"/>
          <w:szCs w:val="24"/>
        </w:rPr>
      </w:pP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Matti Tolvanen</w:t>
      </w:r>
    </w:p>
    <w:p w:rsidR="00654C2A" w:rsidRDefault="00654C2A" w:rsidP="00396376">
      <w:pPr>
        <w:spacing w:line="360" w:lineRule="auto"/>
        <w:rPr>
          <w:rFonts w:ascii="Times New Roman" w:hAnsi="Times New Roman"/>
          <w:b/>
          <w:sz w:val="24"/>
          <w:szCs w:val="24"/>
        </w:rPr>
      </w:pPr>
      <w:r>
        <w:rPr>
          <w:rFonts w:ascii="Times New Roman" w:hAnsi="Times New Roman"/>
          <w:b/>
          <w:sz w:val="24"/>
          <w:szCs w:val="24"/>
        </w:rPr>
        <w:t>OTT, rikos- ja prosessioikeuden professori</w:t>
      </w:r>
    </w:p>
    <w:p w:rsidR="00654C2A" w:rsidRPr="0042062C" w:rsidRDefault="00654C2A" w:rsidP="00396376">
      <w:pPr>
        <w:spacing w:line="360" w:lineRule="auto"/>
        <w:rPr>
          <w:rFonts w:ascii="Times New Roman" w:hAnsi="Times New Roman"/>
          <w:b/>
          <w:sz w:val="24"/>
          <w:szCs w:val="24"/>
        </w:rPr>
      </w:pPr>
      <w:r>
        <w:rPr>
          <w:rFonts w:ascii="Times New Roman" w:hAnsi="Times New Roman"/>
          <w:b/>
          <w:sz w:val="24"/>
          <w:szCs w:val="24"/>
        </w:rPr>
        <w:t>Itä-Suomen yliopisto, Oikeustieteiden laitos</w:t>
      </w:r>
    </w:p>
    <w:p w:rsidR="00654C2A" w:rsidRDefault="00654C2A" w:rsidP="00396376">
      <w:pPr>
        <w:spacing w:line="360" w:lineRule="auto"/>
        <w:rPr>
          <w:rFonts w:ascii="Times New Roman" w:hAnsi="Times New Roman"/>
          <w:sz w:val="24"/>
          <w:szCs w:val="24"/>
        </w:rPr>
      </w:pPr>
    </w:p>
    <w:p w:rsidR="00654C2A" w:rsidRPr="00E31C95" w:rsidRDefault="00654C2A" w:rsidP="00396376">
      <w:pPr>
        <w:spacing w:line="360" w:lineRule="auto"/>
        <w:rPr>
          <w:rFonts w:ascii="Times New Roman" w:hAnsi="Times New Roman"/>
          <w:b/>
          <w:sz w:val="24"/>
          <w:szCs w:val="24"/>
        </w:rPr>
      </w:pPr>
    </w:p>
    <w:p w:rsidR="00654C2A" w:rsidRPr="007F63B4" w:rsidRDefault="00654C2A" w:rsidP="00396376">
      <w:pPr>
        <w:spacing w:line="360" w:lineRule="auto"/>
        <w:rPr>
          <w:rFonts w:ascii="Times New Roman" w:hAnsi="Times New Roman"/>
          <w:sz w:val="24"/>
          <w:szCs w:val="24"/>
        </w:rPr>
      </w:pPr>
    </w:p>
    <w:p w:rsidR="00654C2A" w:rsidRPr="00396376" w:rsidRDefault="00654C2A" w:rsidP="006629EF">
      <w:pPr>
        <w:pStyle w:val="NormalWeb"/>
        <w:spacing w:line="360" w:lineRule="auto"/>
      </w:pPr>
    </w:p>
    <w:p w:rsidR="00654C2A" w:rsidRPr="00A47025" w:rsidRDefault="00654C2A" w:rsidP="006629EF">
      <w:pPr>
        <w:pStyle w:val="NormalWeb"/>
        <w:spacing w:line="360" w:lineRule="auto"/>
      </w:pPr>
    </w:p>
    <w:p w:rsidR="00654C2A" w:rsidRPr="0040071A" w:rsidRDefault="00654C2A" w:rsidP="00DE6EC2">
      <w:pPr>
        <w:spacing w:line="360" w:lineRule="auto"/>
        <w:rPr>
          <w:rFonts w:ascii="Times New Roman" w:hAnsi="Times New Roman"/>
          <w:sz w:val="24"/>
          <w:szCs w:val="24"/>
        </w:rPr>
      </w:pPr>
    </w:p>
    <w:p w:rsidR="00654C2A" w:rsidRPr="0040071A" w:rsidRDefault="00654C2A" w:rsidP="00DE6EC2">
      <w:pPr>
        <w:spacing w:line="360" w:lineRule="auto"/>
        <w:rPr>
          <w:rFonts w:ascii="Times New Roman" w:hAnsi="Times New Roman"/>
          <w:sz w:val="24"/>
          <w:szCs w:val="24"/>
        </w:rPr>
      </w:pPr>
    </w:p>
    <w:p w:rsidR="00654C2A" w:rsidRPr="0040071A" w:rsidRDefault="00654C2A" w:rsidP="00DE6EC2">
      <w:pPr>
        <w:spacing w:line="360" w:lineRule="auto"/>
        <w:rPr>
          <w:rFonts w:ascii="Times New Roman" w:hAnsi="Times New Roman"/>
          <w:sz w:val="24"/>
          <w:szCs w:val="24"/>
        </w:rPr>
      </w:pPr>
    </w:p>
    <w:p w:rsidR="00654C2A" w:rsidRPr="00CC285F" w:rsidRDefault="00654C2A" w:rsidP="00DE6EC2">
      <w:pPr>
        <w:spacing w:line="360" w:lineRule="auto"/>
        <w:rPr>
          <w:rFonts w:ascii="Times New Roman" w:hAnsi="Times New Roman"/>
          <w:sz w:val="24"/>
          <w:szCs w:val="24"/>
        </w:rPr>
      </w:pPr>
    </w:p>
    <w:p w:rsidR="00654C2A" w:rsidRDefault="00654C2A" w:rsidP="00DE6EC2">
      <w:pPr>
        <w:spacing w:line="360" w:lineRule="auto"/>
        <w:rPr>
          <w:rFonts w:ascii="Times New Roman" w:hAnsi="Times New Roman"/>
          <w:sz w:val="24"/>
          <w:szCs w:val="24"/>
        </w:rPr>
      </w:pPr>
    </w:p>
    <w:p w:rsidR="00654C2A" w:rsidRPr="00DE6EC2" w:rsidRDefault="00654C2A" w:rsidP="00DE6EC2">
      <w:pPr>
        <w:spacing w:line="360" w:lineRule="auto"/>
        <w:rPr>
          <w:rFonts w:ascii="Times New Roman" w:hAnsi="Times New Roman"/>
          <w:sz w:val="24"/>
          <w:szCs w:val="24"/>
        </w:rPr>
      </w:pPr>
    </w:p>
    <w:sectPr w:rsidR="00654C2A" w:rsidRPr="00DE6EC2" w:rsidSect="003305D8">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C2A" w:rsidRDefault="00654C2A" w:rsidP="006629EF">
      <w:pPr>
        <w:spacing w:after="0" w:line="240" w:lineRule="auto"/>
      </w:pPr>
      <w:r>
        <w:separator/>
      </w:r>
    </w:p>
  </w:endnote>
  <w:endnote w:type="continuationSeparator" w:id="0">
    <w:p w:rsidR="00654C2A" w:rsidRDefault="00654C2A" w:rsidP="00662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C2A" w:rsidRDefault="00654C2A" w:rsidP="006629EF">
      <w:pPr>
        <w:spacing w:after="0" w:line="240" w:lineRule="auto"/>
      </w:pPr>
      <w:r>
        <w:separator/>
      </w:r>
    </w:p>
  </w:footnote>
  <w:footnote w:type="continuationSeparator" w:id="0">
    <w:p w:rsidR="00654C2A" w:rsidRDefault="00654C2A" w:rsidP="006629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EC2"/>
    <w:rsid w:val="00007C79"/>
    <w:rsid w:val="00050A09"/>
    <w:rsid w:val="001C31AD"/>
    <w:rsid w:val="001D3E1B"/>
    <w:rsid w:val="002C08CA"/>
    <w:rsid w:val="003305D8"/>
    <w:rsid w:val="00396376"/>
    <w:rsid w:val="003F1964"/>
    <w:rsid w:val="0040071A"/>
    <w:rsid w:val="0042062C"/>
    <w:rsid w:val="00654C2A"/>
    <w:rsid w:val="006629EF"/>
    <w:rsid w:val="0069042F"/>
    <w:rsid w:val="006A2B90"/>
    <w:rsid w:val="006B45CA"/>
    <w:rsid w:val="007D2589"/>
    <w:rsid w:val="007E6552"/>
    <w:rsid w:val="007F63B4"/>
    <w:rsid w:val="008159DD"/>
    <w:rsid w:val="00894038"/>
    <w:rsid w:val="008A3339"/>
    <w:rsid w:val="008F5ECC"/>
    <w:rsid w:val="00A37E50"/>
    <w:rsid w:val="00A47025"/>
    <w:rsid w:val="00A9720F"/>
    <w:rsid w:val="00B01BF7"/>
    <w:rsid w:val="00B55BCC"/>
    <w:rsid w:val="00C51B99"/>
    <w:rsid w:val="00CC285F"/>
    <w:rsid w:val="00CC4989"/>
    <w:rsid w:val="00D67703"/>
    <w:rsid w:val="00D82603"/>
    <w:rsid w:val="00DE6EC2"/>
    <w:rsid w:val="00E31C95"/>
    <w:rsid w:val="00EA6608"/>
    <w:rsid w:val="00F94C95"/>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5D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629EF"/>
    <w:pPr>
      <w:spacing w:after="0" w:line="240" w:lineRule="auto"/>
    </w:pPr>
    <w:rPr>
      <w:rFonts w:ascii="Times New Roman" w:eastAsia="Times New Roman" w:hAnsi="Times New Roman"/>
      <w:sz w:val="20"/>
      <w:szCs w:val="20"/>
      <w:lang w:eastAsia="fi-FI"/>
    </w:rPr>
  </w:style>
  <w:style w:type="character" w:customStyle="1" w:styleId="FootnoteTextChar">
    <w:name w:val="Footnote Text Char"/>
    <w:basedOn w:val="DefaultParagraphFont"/>
    <w:link w:val="FootnoteText"/>
    <w:uiPriority w:val="99"/>
    <w:semiHidden/>
    <w:locked/>
    <w:rsid w:val="006629EF"/>
    <w:rPr>
      <w:rFonts w:ascii="Times New Roman" w:hAnsi="Times New Roman" w:cs="Times New Roman"/>
      <w:sz w:val="20"/>
      <w:szCs w:val="20"/>
      <w:lang w:eastAsia="fi-FI"/>
    </w:rPr>
  </w:style>
  <w:style w:type="character" w:styleId="FootnoteReference">
    <w:name w:val="footnote reference"/>
    <w:basedOn w:val="DefaultParagraphFont"/>
    <w:uiPriority w:val="99"/>
    <w:semiHidden/>
    <w:rsid w:val="006629EF"/>
    <w:rPr>
      <w:rFonts w:cs="Times New Roman"/>
      <w:vertAlign w:val="superscript"/>
    </w:rPr>
  </w:style>
  <w:style w:type="paragraph" w:styleId="NormalWeb">
    <w:name w:val="Normal (Web)"/>
    <w:basedOn w:val="Normal"/>
    <w:uiPriority w:val="99"/>
    <w:rsid w:val="006629EF"/>
    <w:pPr>
      <w:spacing w:before="100" w:beforeAutospacing="1" w:after="100" w:afterAutospacing="1" w:line="240" w:lineRule="auto"/>
    </w:pPr>
    <w:rPr>
      <w:rFonts w:ascii="Times New Roman" w:eastAsia="Times New Roman" w:hAnsi="Times New Roman"/>
      <w:sz w:val="24"/>
      <w:szCs w:val="24"/>
      <w:lang w:eastAsia="fi-FI"/>
    </w:rPr>
  </w:style>
</w:styles>
</file>

<file path=word/webSettings.xml><?xml version="1.0" encoding="utf-8"?>
<w:webSettings xmlns:r="http://schemas.openxmlformats.org/officeDocument/2006/relationships" xmlns:w="http://schemas.openxmlformats.org/wordprocessingml/2006/main">
  <w:divs>
    <w:div w:id="1580095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19</Pages>
  <Words>3087</Words>
  <Characters>25010</Characters>
  <Application>Microsoft Office Outlook</Application>
  <DocSecurity>0</DocSecurity>
  <Lines>0</Lines>
  <Paragraphs>0</Paragraphs>
  <ScaleCrop>false</ScaleCrop>
  <Company>University of Eastern Finland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OIKEUSMINISTERIÖLLE</dc:title>
  <dc:subject/>
  <dc:creator>Matti Tolvanen</dc:creator>
  <cp:keywords/>
  <dc:description/>
  <cp:lastModifiedBy>O924180</cp:lastModifiedBy>
  <cp:revision>2</cp:revision>
  <cp:lastPrinted>2013-06-19T10:14:00Z</cp:lastPrinted>
  <dcterms:created xsi:type="dcterms:W3CDTF">2013-06-19T10:14:00Z</dcterms:created>
  <dcterms:modified xsi:type="dcterms:W3CDTF">2013-06-19T10:14:00Z</dcterms:modified>
</cp:coreProperties>
</file>