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21F7" w14:textId="593E18C1" w:rsidR="002D1F82" w:rsidRPr="00DB37C9" w:rsidRDefault="002D1F82" w:rsidP="009A52AD">
      <w:pPr>
        <w:jc w:val="both"/>
      </w:pPr>
      <w:bookmarkStart w:id="0" w:name="_GoBack"/>
      <w:bookmarkEnd w:id="0"/>
      <w:r w:rsidRPr="00DB37C9">
        <w:t>UTU-työryhmän m</w:t>
      </w:r>
      <w:r w:rsidR="006B02CC" w:rsidRPr="00DB37C9">
        <w:t xml:space="preserve">ietintö </w:t>
      </w:r>
      <w:r w:rsidRPr="00DB37C9">
        <w:tab/>
      </w:r>
      <w:r w:rsidRPr="00DB37C9">
        <w:tab/>
      </w:r>
      <w:r w:rsidRPr="00DB37C9">
        <w:tab/>
      </w:r>
      <w:r w:rsidRPr="00DB37C9">
        <w:tab/>
      </w:r>
      <w:r w:rsidR="00031907" w:rsidRPr="00A21222">
        <w:t>[</w:t>
      </w:r>
      <w:r w:rsidR="005F54D1" w:rsidRPr="00A21222">
        <w:t>huhtikuu</w:t>
      </w:r>
      <w:r w:rsidR="00A81880" w:rsidRPr="00A21222">
        <w:t>2023</w:t>
      </w:r>
      <w:r w:rsidR="00031907" w:rsidRPr="00A21222">
        <w:t>]</w:t>
      </w:r>
    </w:p>
    <w:p w14:paraId="6E4AF448" w14:textId="7401A032" w:rsidR="006B02CC" w:rsidRPr="00DB37C9" w:rsidRDefault="002D1F82" w:rsidP="009A52AD">
      <w:pPr>
        <w:ind w:left="5216" w:firstLine="1304"/>
        <w:jc w:val="both"/>
      </w:pPr>
      <w:r w:rsidRPr="00DB37C9">
        <w:t>LUONNOS</w:t>
      </w:r>
    </w:p>
    <w:p w14:paraId="0A3D346A" w14:textId="4D175340" w:rsidR="006B02CC" w:rsidRPr="00DB37C9" w:rsidRDefault="006B02CC" w:rsidP="009A52AD">
      <w:pPr>
        <w:jc w:val="both"/>
      </w:pPr>
      <w:r w:rsidRPr="00DB37C9">
        <w:t>Sisällys</w:t>
      </w:r>
    </w:p>
    <w:p w14:paraId="2CA33BDE" w14:textId="26CAE994" w:rsidR="00BD50D2" w:rsidRDefault="00BD50D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 w:rsidRPr="00DB37C9">
        <w:rPr>
          <w:color w:val="auto"/>
        </w:rPr>
        <w:t>Johdanto</w:t>
      </w:r>
    </w:p>
    <w:p w14:paraId="3C25342D" w14:textId="77777777" w:rsidR="00766488" w:rsidRDefault="00766488" w:rsidP="009A52AD">
      <w:pPr>
        <w:pStyle w:val="Luettelokappale"/>
        <w:numPr>
          <w:ilvl w:val="0"/>
          <w:numId w:val="38"/>
        </w:numPr>
        <w:jc w:val="both"/>
      </w:pPr>
      <w:r>
        <w:t>työryhmän toimeksianto ja tavoitteet</w:t>
      </w:r>
    </w:p>
    <w:p w14:paraId="7A4F7896" w14:textId="77777777" w:rsidR="00766488" w:rsidRDefault="00766488" w:rsidP="009A52AD">
      <w:pPr>
        <w:pStyle w:val="Luettelokappale"/>
        <w:numPr>
          <w:ilvl w:val="0"/>
          <w:numId w:val="38"/>
        </w:numPr>
        <w:jc w:val="both"/>
      </w:pPr>
      <w:r>
        <w:t>väliraportin johtopäätökset</w:t>
      </w:r>
    </w:p>
    <w:p w14:paraId="55D21551" w14:textId="77777777" w:rsidR="00766488" w:rsidRDefault="00766488" w:rsidP="009A52AD">
      <w:pPr>
        <w:pStyle w:val="Luettelokappale"/>
        <w:numPr>
          <w:ilvl w:val="0"/>
          <w:numId w:val="38"/>
        </w:numPr>
        <w:jc w:val="both"/>
      </w:pPr>
      <w:r>
        <w:t xml:space="preserve">kirjallisuus-/historiakatsaus: EEJ-sääntely ja lupamenettelyiden sujuvoittaminen </w:t>
      </w:r>
    </w:p>
    <w:p w14:paraId="516F9587" w14:textId="70FBE493" w:rsidR="00766488" w:rsidRDefault="00766488" w:rsidP="009A52AD">
      <w:pPr>
        <w:pStyle w:val="Luettelokappale"/>
        <w:numPr>
          <w:ilvl w:val="0"/>
          <w:numId w:val="38"/>
        </w:numPr>
        <w:jc w:val="both"/>
      </w:pPr>
      <w:r>
        <w:t>tiiviisti esimerkkejä muiden maiden EoW-sääntelystä ja käytännöistä</w:t>
      </w:r>
    </w:p>
    <w:p w14:paraId="0A7CD311" w14:textId="775C0EDE" w:rsidR="005F54D1" w:rsidRDefault="005F54D1" w:rsidP="009A52AD">
      <w:pPr>
        <w:pStyle w:val="Luettelokappale"/>
        <w:numPr>
          <w:ilvl w:val="0"/>
          <w:numId w:val="38"/>
        </w:numPr>
        <w:jc w:val="both"/>
      </w:pPr>
      <w:r>
        <w:t>mietinnön rakenne ja raportissa käytetyt termit</w:t>
      </w:r>
    </w:p>
    <w:p w14:paraId="312B0C04" w14:textId="77777777" w:rsidR="00766488" w:rsidRPr="00766488" w:rsidRDefault="00766488" w:rsidP="009A52AD">
      <w:pPr>
        <w:pStyle w:val="Luettelokappale"/>
        <w:jc w:val="both"/>
      </w:pPr>
    </w:p>
    <w:p w14:paraId="0D3C7A9C" w14:textId="77777777" w:rsidR="00BD50D2" w:rsidRPr="00DB37C9" w:rsidRDefault="00BD50D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 w:rsidRPr="00DB37C9">
        <w:rPr>
          <w:color w:val="auto"/>
        </w:rPr>
        <w:t>Toimivaltainen viranomainen</w:t>
      </w:r>
    </w:p>
    <w:p w14:paraId="6FDE6139" w14:textId="77777777" w:rsidR="00766488" w:rsidRPr="00766488" w:rsidRDefault="00766488" w:rsidP="009A52AD">
      <w:pPr>
        <w:pStyle w:val="Otsikko2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66488">
        <w:rPr>
          <w:rFonts w:asciiTheme="minorHAnsi" w:eastAsiaTheme="minorHAnsi" w:hAnsiTheme="minorHAnsi" w:cstheme="minorBidi"/>
          <w:color w:val="auto"/>
          <w:sz w:val="22"/>
          <w:szCs w:val="22"/>
        </w:rPr>
        <w:t>perustelut keskitetylle päätöksentekoviranomaiselle, hyödyt ja haitat/riskit</w:t>
      </w:r>
    </w:p>
    <w:p w14:paraId="4144C37D" w14:textId="77777777" w:rsidR="00766488" w:rsidRPr="00766488" w:rsidRDefault="00766488" w:rsidP="009A52AD">
      <w:pPr>
        <w:pStyle w:val="Otsikko2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66488">
        <w:rPr>
          <w:rFonts w:asciiTheme="minorHAnsi" w:eastAsiaTheme="minorHAnsi" w:hAnsiTheme="minorHAnsi" w:cstheme="minorBidi"/>
          <w:color w:val="auto"/>
          <w:sz w:val="22"/>
          <w:szCs w:val="22"/>
        </w:rPr>
        <w:t>mahdolliset keskitetyt viranomaistahot (yksittäinen AVI/ELY tai SYKE)</w:t>
      </w:r>
    </w:p>
    <w:p w14:paraId="163FE56A" w14:textId="699439CB" w:rsidR="00766488" w:rsidRDefault="00766488" w:rsidP="009A52AD">
      <w:pPr>
        <w:pStyle w:val="Otsikko2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66488">
        <w:rPr>
          <w:rFonts w:asciiTheme="minorHAnsi" w:eastAsiaTheme="minorHAnsi" w:hAnsiTheme="minorHAnsi" w:cstheme="minorBidi"/>
          <w:color w:val="auto"/>
          <w:sz w:val="22"/>
          <w:szCs w:val="22"/>
        </w:rPr>
        <w:t>viranomaistahon valintaan vaikuttavat seikat</w:t>
      </w:r>
    </w:p>
    <w:p w14:paraId="767A0F7D" w14:textId="77777777" w:rsidR="00766488" w:rsidRPr="00766488" w:rsidRDefault="00766488" w:rsidP="009A52AD">
      <w:pPr>
        <w:jc w:val="both"/>
      </w:pPr>
    </w:p>
    <w:p w14:paraId="6B7D1BC2" w14:textId="77777777" w:rsidR="00BD50D2" w:rsidRPr="00DB37C9" w:rsidRDefault="00BD50D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 w:rsidRPr="00DB37C9">
        <w:rPr>
          <w:color w:val="auto"/>
        </w:rPr>
        <w:t>Päätöksentekomenettelyn suhde ympäristölupaan</w:t>
      </w:r>
    </w:p>
    <w:p w14:paraId="226AE57C" w14:textId="1D93FC05" w:rsidR="00070AF1" w:rsidRPr="00A21222" w:rsidRDefault="00A21222" w:rsidP="00A21222">
      <w:pPr>
        <w:pStyle w:val="Luettelokappale"/>
        <w:numPr>
          <w:ilvl w:val="0"/>
          <w:numId w:val="40"/>
        </w:numPr>
        <w:jc w:val="both"/>
      </w:pPr>
      <w:r>
        <w:t>tavoitteet ja keskeiset ratkaistavat kysymykset</w:t>
      </w:r>
    </w:p>
    <w:p w14:paraId="1F3642AE" w14:textId="0C77A27E" w:rsidR="00BD50D2" w:rsidRPr="00DB37C9" w:rsidRDefault="00A21222" w:rsidP="009A52AD">
      <w:pPr>
        <w:pStyle w:val="Luettelokappale"/>
        <w:numPr>
          <w:ilvl w:val="0"/>
          <w:numId w:val="40"/>
        </w:numPr>
        <w:jc w:val="both"/>
      </w:pPr>
      <w:r>
        <w:t>sääntely</w:t>
      </w:r>
      <w:r w:rsidR="00070AF1" w:rsidRPr="00DB37C9">
        <w:t>vaihtoehtojen</w:t>
      </w:r>
      <w:r>
        <w:t xml:space="preserve"> </w:t>
      </w:r>
      <w:r w:rsidR="00070AF1" w:rsidRPr="00DB37C9">
        <w:t>kuvaus (pykälämuutoksineen)</w:t>
      </w:r>
    </w:p>
    <w:p w14:paraId="55352D6A" w14:textId="77777777" w:rsidR="00766488" w:rsidRDefault="00766488" w:rsidP="009A52AD">
      <w:pPr>
        <w:pStyle w:val="Luettelokappale"/>
        <w:numPr>
          <w:ilvl w:val="0"/>
          <w:numId w:val="40"/>
        </w:numPr>
        <w:jc w:val="both"/>
      </w:pPr>
      <w:r>
        <w:t xml:space="preserve">vaihtoehtojen tarkastelu ja vertailu </w:t>
      </w:r>
    </w:p>
    <w:p w14:paraId="741C17AB" w14:textId="502C3BC7" w:rsidR="00766488" w:rsidRDefault="00766488" w:rsidP="009A52AD">
      <w:pPr>
        <w:pStyle w:val="Luettelokappale"/>
        <w:numPr>
          <w:ilvl w:val="0"/>
          <w:numId w:val="40"/>
        </w:numPr>
        <w:jc w:val="both"/>
      </w:pPr>
      <w:r>
        <w:t xml:space="preserve">johtopäätökset: mikä </w:t>
      </w:r>
      <w:r w:rsidR="00A21222">
        <w:t>vaihtoehto valitaan</w:t>
      </w:r>
    </w:p>
    <w:p w14:paraId="7C427237" w14:textId="77777777" w:rsidR="00766488" w:rsidRPr="00751AB7" w:rsidRDefault="00766488" w:rsidP="009A52AD">
      <w:pPr>
        <w:pStyle w:val="Luettelokappale"/>
        <w:jc w:val="both"/>
      </w:pPr>
    </w:p>
    <w:p w14:paraId="4599FB8A" w14:textId="391E87FD" w:rsidR="00BD50D2" w:rsidRPr="00DB37C9" w:rsidRDefault="00A2122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UTU-p</w:t>
      </w:r>
      <w:r w:rsidR="00BD50D2" w:rsidRPr="00DB37C9">
        <w:rPr>
          <w:color w:val="auto"/>
        </w:rPr>
        <w:t>äätöksentekomenettely</w:t>
      </w:r>
    </w:p>
    <w:p w14:paraId="3F53ACC8" w14:textId="77777777" w:rsidR="00BD50D2" w:rsidRPr="00DB37C9" w:rsidRDefault="00BD50D2" w:rsidP="009A52AD">
      <w:pPr>
        <w:spacing w:after="0"/>
        <w:ind w:firstLine="360"/>
        <w:jc w:val="both"/>
      </w:pPr>
      <w:r w:rsidRPr="00DB37C9">
        <w:t>Keskeiset asiat:</w:t>
      </w:r>
    </w:p>
    <w:p w14:paraId="08185D2F" w14:textId="77777777" w:rsidR="00BD50D2" w:rsidRPr="00DB37C9" w:rsidRDefault="00BD50D2" w:rsidP="009A52AD">
      <w:pPr>
        <w:pStyle w:val="Luettelokappale"/>
        <w:numPr>
          <w:ilvl w:val="0"/>
          <w:numId w:val="41"/>
        </w:numPr>
        <w:spacing w:after="0"/>
        <w:jc w:val="both"/>
      </w:pPr>
      <w:r w:rsidRPr="00DB37C9">
        <w:t>hakemuksen tekeminen ja käsittely</w:t>
      </w:r>
    </w:p>
    <w:p w14:paraId="1BB0D82D" w14:textId="77777777" w:rsidR="00766488" w:rsidRDefault="00766488" w:rsidP="009A52AD">
      <w:pPr>
        <w:pStyle w:val="Luettelokappale"/>
        <w:numPr>
          <w:ilvl w:val="0"/>
          <w:numId w:val="41"/>
        </w:numPr>
        <w:spacing w:after="0"/>
        <w:jc w:val="both"/>
      </w:pPr>
      <w:r>
        <w:t>hakemuksen täydentäminen</w:t>
      </w:r>
    </w:p>
    <w:p w14:paraId="6A61F596" w14:textId="77777777" w:rsidR="00766488" w:rsidRDefault="00766488" w:rsidP="009A52AD">
      <w:pPr>
        <w:pStyle w:val="Luettelokappale"/>
        <w:numPr>
          <w:ilvl w:val="1"/>
          <w:numId w:val="41"/>
        </w:numPr>
        <w:spacing w:after="0"/>
        <w:jc w:val="both"/>
      </w:pPr>
      <w:r>
        <w:t>viranomainen kehottaa täydentämään hakemusta määräajassa uhalla, että hakemus jätetään tutkimatta</w:t>
      </w:r>
    </w:p>
    <w:p w14:paraId="278C17C6" w14:textId="77777777" w:rsidR="00465589" w:rsidRDefault="00766488" w:rsidP="009A52AD">
      <w:pPr>
        <w:pStyle w:val="Luettelokappale"/>
        <w:numPr>
          <w:ilvl w:val="1"/>
          <w:numId w:val="41"/>
        </w:numPr>
        <w:spacing w:after="0"/>
        <w:jc w:val="both"/>
      </w:pPr>
      <w:r>
        <w:t>YSL 40 §:n tarkastelu ja soveltuvuus täydentämistä koskevaan sääntelyyn</w:t>
      </w:r>
    </w:p>
    <w:p w14:paraId="2465EDFD" w14:textId="77777777" w:rsidR="00465589" w:rsidRDefault="00465589" w:rsidP="009A52AD">
      <w:pPr>
        <w:pStyle w:val="Luettelokappale"/>
        <w:numPr>
          <w:ilvl w:val="0"/>
          <w:numId w:val="41"/>
        </w:numPr>
        <w:spacing w:after="0"/>
        <w:jc w:val="both"/>
      </w:pPr>
      <w:r>
        <w:t xml:space="preserve">kuuleminen </w:t>
      </w:r>
    </w:p>
    <w:p w14:paraId="7567D3FB" w14:textId="77777777" w:rsidR="00465589" w:rsidRDefault="00465589" w:rsidP="009A52AD">
      <w:pPr>
        <w:pStyle w:val="Luettelokappale"/>
        <w:numPr>
          <w:ilvl w:val="1"/>
          <w:numId w:val="41"/>
        </w:numPr>
        <w:spacing w:after="0"/>
        <w:jc w:val="both"/>
      </w:pPr>
      <w:r>
        <w:t>taustana perustuslain ja Århusin sopimuksen asettamat reunaehdot osallistumis- ja vaikuttamisoikeuksiin</w:t>
      </w:r>
    </w:p>
    <w:p w14:paraId="2B3C328E" w14:textId="440A1E28" w:rsidR="00465589" w:rsidRDefault="00465589" w:rsidP="009A52AD">
      <w:pPr>
        <w:pStyle w:val="Luettelokappale"/>
        <w:numPr>
          <w:ilvl w:val="1"/>
          <w:numId w:val="41"/>
        </w:numPr>
        <w:spacing w:after="0"/>
        <w:jc w:val="both"/>
      </w:pPr>
      <w:r>
        <w:t xml:space="preserve">tiettyjen olemassa olevien menettelyiden tarkastelu, vertailu ja soveltuvuus uuteen menettelyyn: ympäristölainsäädännön menettelyt (YSL 96 §, 115 a-e §), tuotehyväksyntälainsäädännön hyväksyntämenettelyt (rakennustuotehyväksyntä, laitoshyväksyntä) sekä hallintolain 62 a §:n julkista kuulutusta koskevan sääntelyn tarkastelu </w:t>
      </w:r>
    </w:p>
    <w:p w14:paraId="79CFFD97" w14:textId="77777777" w:rsidR="00465589" w:rsidRDefault="00465589" w:rsidP="009A52AD">
      <w:pPr>
        <w:pStyle w:val="Luettelokappale"/>
        <w:numPr>
          <w:ilvl w:val="0"/>
          <w:numId w:val="41"/>
        </w:numPr>
        <w:spacing w:after="0"/>
        <w:jc w:val="both"/>
      </w:pPr>
      <w:r>
        <w:t>lausunnot</w:t>
      </w:r>
    </w:p>
    <w:p w14:paraId="4B176105" w14:textId="528E12FB" w:rsidR="00766488" w:rsidRDefault="00465589" w:rsidP="009A52AD">
      <w:pPr>
        <w:pStyle w:val="Luettelokappale"/>
        <w:numPr>
          <w:ilvl w:val="1"/>
          <w:numId w:val="41"/>
        </w:numPr>
        <w:spacing w:after="0"/>
        <w:jc w:val="both"/>
      </w:pPr>
      <w:r>
        <w:t>laitoksen ympäristölupa- ja valvontaviranomainen, muut asiantuntijalausunnot tarpeen mukaan</w:t>
      </w:r>
    </w:p>
    <w:p w14:paraId="1F80E6C4" w14:textId="77777777" w:rsidR="00BD50D2" w:rsidRPr="00DB37C9" w:rsidRDefault="00BD50D2" w:rsidP="009A52AD">
      <w:pPr>
        <w:pStyle w:val="Luettelokappale"/>
        <w:numPr>
          <w:ilvl w:val="0"/>
          <w:numId w:val="41"/>
        </w:numPr>
        <w:spacing w:after="0"/>
        <w:jc w:val="both"/>
      </w:pPr>
      <w:r w:rsidRPr="00DB37C9">
        <w:t xml:space="preserve">ennakolliseen neuvontaan liittyvät menettelyt </w:t>
      </w:r>
    </w:p>
    <w:p w14:paraId="2F21A148" w14:textId="46B71F23" w:rsidR="00BD50D2" w:rsidRPr="00DB37C9" w:rsidRDefault="00465589" w:rsidP="009A52AD">
      <w:pPr>
        <w:pStyle w:val="Luettelokappale"/>
        <w:numPr>
          <w:ilvl w:val="1"/>
          <w:numId w:val="41"/>
        </w:numPr>
        <w:spacing w:after="0"/>
        <w:jc w:val="both"/>
      </w:pPr>
      <w:r>
        <w:t xml:space="preserve">ennakollisten menettelyiden taustoitus ja </w:t>
      </w:r>
      <w:r w:rsidR="00BD50D2" w:rsidRPr="00DB37C9">
        <w:t>esim. YSL 39 a §: tarkastelu ja soveltuvuus uuteen menettelyyn</w:t>
      </w:r>
    </w:p>
    <w:p w14:paraId="25C57511" w14:textId="0DFEC6AA" w:rsidR="00BD50D2" w:rsidRDefault="00BD50D2" w:rsidP="009A52AD">
      <w:pPr>
        <w:pStyle w:val="Luettelokappale"/>
        <w:numPr>
          <w:ilvl w:val="0"/>
          <w:numId w:val="41"/>
        </w:numPr>
        <w:spacing w:after="0"/>
        <w:jc w:val="both"/>
      </w:pPr>
      <w:r w:rsidRPr="00DB37C9">
        <w:t>päätöksen sisältövaatimukset</w:t>
      </w:r>
    </w:p>
    <w:p w14:paraId="3E51AC9F" w14:textId="216DA6BB" w:rsidR="00465589" w:rsidRPr="00DB37C9" w:rsidRDefault="00465589" w:rsidP="009A52AD">
      <w:pPr>
        <w:pStyle w:val="Luettelokappale"/>
        <w:numPr>
          <w:ilvl w:val="1"/>
          <w:numId w:val="41"/>
        </w:numPr>
        <w:spacing w:after="0"/>
        <w:jc w:val="both"/>
      </w:pPr>
      <w:r>
        <w:t>vähimmäisvaatimuksina ainakin JL 5 b § 2 mom. tarkoitetut tiedot</w:t>
      </w:r>
    </w:p>
    <w:p w14:paraId="2328D03D" w14:textId="06A2101B" w:rsidR="00BD50D2" w:rsidRDefault="00BD50D2" w:rsidP="009A52AD">
      <w:pPr>
        <w:pStyle w:val="Luettelokappale"/>
        <w:numPr>
          <w:ilvl w:val="0"/>
          <w:numId w:val="41"/>
        </w:numPr>
        <w:spacing w:after="0"/>
        <w:jc w:val="both"/>
      </w:pPr>
      <w:r w:rsidRPr="00DB37C9">
        <w:lastRenderedPageBreak/>
        <w:t>määräaika/tavoiteaika (tarkastelu)</w:t>
      </w:r>
    </w:p>
    <w:p w14:paraId="125089D1" w14:textId="77777777" w:rsidR="00465589" w:rsidRPr="00DB37C9" w:rsidRDefault="00465589" w:rsidP="009A52AD">
      <w:pPr>
        <w:pStyle w:val="Luettelokappale"/>
        <w:spacing w:after="0"/>
        <w:jc w:val="both"/>
      </w:pPr>
    </w:p>
    <w:p w14:paraId="6FC97D70" w14:textId="77C3B751" w:rsidR="00BD50D2" w:rsidRPr="00DB37C9" w:rsidRDefault="00A2122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UTU-p</w:t>
      </w:r>
      <w:r w:rsidR="00BD50D2" w:rsidRPr="00DB37C9">
        <w:rPr>
          <w:color w:val="auto"/>
        </w:rPr>
        <w:t>äätöksen muuttaminen ja peruuttaminen</w:t>
      </w:r>
    </w:p>
    <w:p w14:paraId="1FDE2441" w14:textId="77777777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yleiset edellytykset päätöksen muuttamiselle tai peruuttamiselle (hallinto-oikeudellinen näkökulma)</w:t>
      </w:r>
    </w:p>
    <w:p w14:paraId="2821A11D" w14:textId="77777777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päätöksen oltava muutettavissa valvonnallisin perustein tai tiedon/olosuhteiden muutoksen johdosta</w:t>
      </w:r>
    </w:p>
    <w:p w14:paraId="2D2EA4A9" w14:textId="77777777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päätöksen oltava muutettavissa toiminnanharjoittajan aloitteesta tai viranomaisen omasta aloitteesta</w:t>
      </w:r>
    </w:p>
    <w:p w14:paraId="716FBA0A" w14:textId="77777777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muuttamisen tai peruuttamisen edellytykset</w:t>
      </w:r>
    </w:p>
    <w:p w14:paraId="6640F8E2" w14:textId="3A9197CD" w:rsidR="00BD50D2" w:rsidRPr="00DB37C9" w:rsidRDefault="00BD50D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 w:rsidRPr="00DB37C9">
        <w:rPr>
          <w:color w:val="auto"/>
        </w:rPr>
        <w:t>Muutoksenhaku</w:t>
      </w:r>
      <w:r w:rsidR="00A21222">
        <w:rPr>
          <w:color w:val="auto"/>
        </w:rPr>
        <w:t xml:space="preserve"> UTU-päätöksestä</w:t>
      </w:r>
    </w:p>
    <w:p w14:paraId="6598DBA1" w14:textId="77777777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muutoksenhakureitti (Vaasan hallinto-oikeuteen)</w:t>
      </w:r>
    </w:p>
    <w:p w14:paraId="342E8E0D" w14:textId="7F36E289" w:rsidR="00BD50D2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valitusoikeuden määräytyminen (asianosaisuus): valitusoikeus JL mukaan?</w:t>
      </w:r>
    </w:p>
    <w:p w14:paraId="532E81CA" w14:textId="77777777" w:rsidR="00465589" w:rsidRPr="00465589" w:rsidRDefault="00465589" w:rsidP="009A52AD">
      <w:pPr>
        <w:pStyle w:val="Otsikko1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465589">
        <w:rPr>
          <w:color w:val="auto"/>
          <w:sz w:val="26"/>
          <w:szCs w:val="26"/>
        </w:rPr>
        <w:t>Vanhat päätökset</w:t>
      </w:r>
    </w:p>
    <w:p w14:paraId="3A3608BC" w14:textId="77777777" w:rsidR="00465589" w:rsidRDefault="00465589" w:rsidP="009A52AD">
      <w:pPr>
        <w:pStyle w:val="Luettelokappale"/>
        <w:numPr>
          <w:ilvl w:val="0"/>
          <w:numId w:val="33"/>
        </w:numPr>
        <w:jc w:val="both"/>
      </w:pPr>
      <w:r>
        <w:t>millä edellytyksin vanhat päätökset pysyvät voimassa?</w:t>
      </w:r>
    </w:p>
    <w:p w14:paraId="779DAF88" w14:textId="28439743" w:rsidR="00465589" w:rsidRPr="00DB37C9" w:rsidRDefault="00465589" w:rsidP="009A52AD">
      <w:pPr>
        <w:pStyle w:val="Luettelokappale"/>
        <w:numPr>
          <w:ilvl w:val="0"/>
          <w:numId w:val="33"/>
        </w:numPr>
        <w:jc w:val="both"/>
      </w:pPr>
      <w:r>
        <w:t>siirtymäajat ja toimet vanhojen, uusittavien päätösten osalta</w:t>
      </w:r>
    </w:p>
    <w:p w14:paraId="790C4509" w14:textId="77777777" w:rsidR="00BD50D2" w:rsidRPr="00DB37C9" w:rsidRDefault="00BD50D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 w:rsidRPr="00DB37C9">
        <w:rPr>
          <w:color w:val="auto"/>
        </w:rPr>
        <w:t>Päätöstietokanta ja sähköinen asiointi</w:t>
      </w:r>
    </w:p>
    <w:p w14:paraId="66C172F0" w14:textId="08050418" w:rsidR="00BD50D2" w:rsidRPr="00DB37C9" w:rsidRDefault="00E77C00" w:rsidP="009A52AD">
      <w:pPr>
        <w:pStyle w:val="Luettelokappale"/>
        <w:numPr>
          <w:ilvl w:val="0"/>
          <w:numId w:val="33"/>
        </w:numPr>
        <w:jc w:val="both"/>
      </w:pPr>
      <w:r w:rsidRPr="00DB37C9">
        <w:t>Työryhmän näkemysten kartoittaminen: m</w:t>
      </w:r>
      <w:r w:rsidR="00BD50D2" w:rsidRPr="00DB37C9">
        <w:t>i</w:t>
      </w:r>
      <w:r w:rsidRPr="00DB37C9">
        <w:t>ten tämä luku tulisi rakentaa? m</w:t>
      </w:r>
      <w:r w:rsidR="00BD50D2" w:rsidRPr="00DB37C9">
        <w:t>itkä ovat keskeiset asiat, jotka ratkaistava?</w:t>
      </w:r>
    </w:p>
    <w:p w14:paraId="26634704" w14:textId="77777777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 xml:space="preserve">ainakin arviot päätösmääristä, erityisesti niistä, jotka ovat tällä hetkellä ns. harmaalla alueella, uuden menettelyn vaikutukset päätöstietokantaan ja sähköiseen asiointiin </w:t>
      </w:r>
    </w:p>
    <w:p w14:paraId="49A83886" w14:textId="6CF0C8E0" w:rsidR="00BD50D2" w:rsidRPr="00DB37C9" w:rsidRDefault="00E77C00" w:rsidP="009A52AD">
      <w:pPr>
        <w:pStyle w:val="Luettelokappale"/>
        <w:numPr>
          <w:ilvl w:val="0"/>
          <w:numId w:val="33"/>
        </w:numPr>
        <w:jc w:val="both"/>
      </w:pPr>
      <w:r w:rsidRPr="00DB37C9">
        <w:t>työryhmän näkemykset</w:t>
      </w:r>
      <w:r w:rsidR="00BD50D2" w:rsidRPr="00DB37C9">
        <w:t>: mitä tietoja/mitä ominaisuuksia päätöstietokannassa ainakin oltava?</w:t>
      </w:r>
    </w:p>
    <w:p w14:paraId="558D3EE0" w14:textId="77777777" w:rsidR="00BD50D2" w:rsidRPr="00DB37C9" w:rsidRDefault="00BD50D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 w:rsidRPr="00DB37C9">
        <w:rPr>
          <w:color w:val="auto"/>
        </w:rPr>
        <w:t>Rajapinnat kemikaali- ja tuotesääntelyyn</w:t>
      </w:r>
    </w:p>
    <w:p w14:paraId="26B1FB2E" w14:textId="77777777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erillinen selvitystyö</w:t>
      </w:r>
    </w:p>
    <w:p w14:paraId="14FDEB74" w14:textId="133309EC" w:rsidR="00BD50D2" w:rsidRPr="00DB37C9" w:rsidRDefault="00BD50D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 w:rsidRPr="00DB37C9">
        <w:rPr>
          <w:color w:val="auto"/>
        </w:rPr>
        <w:t>Materiaalien ja riskien systemaattinen arviointi</w:t>
      </w:r>
    </w:p>
    <w:p w14:paraId="6C3E8F83" w14:textId="0E1335DA" w:rsidR="00BD50D2" w:rsidRPr="00DB37C9" w:rsidRDefault="00E77C00" w:rsidP="009A52AD">
      <w:pPr>
        <w:pStyle w:val="Luettelokappale"/>
        <w:numPr>
          <w:ilvl w:val="0"/>
          <w:numId w:val="33"/>
        </w:numPr>
        <w:jc w:val="both"/>
      </w:pPr>
      <w:r w:rsidRPr="00DB37C9">
        <w:t>mietintöön yleinen kehikko</w:t>
      </w:r>
    </w:p>
    <w:p w14:paraId="371494A5" w14:textId="3851F078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ympäristövaikutusten ja riskienarvioinnin systematisoinnin lopputuotoksena kuitenkin oma ohjeistuksensa toiminnanharjoittajille?</w:t>
      </w:r>
      <w:r w:rsidR="00E77C00" w:rsidRPr="00DB37C9">
        <w:t xml:space="preserve"> Oma hanke, arviointikehikon valmistelu vuosille 23-24.</w:t>
      </w:r>
    </w:p>
    <w:p w14:paraId="2B9741C1" w14:textId="77777777" w:rsidR="00BD50D2" w:rsidRPr="00DB37C9" w:rsidRDefault="00BD50D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 w:rsidRPr="00DB37C9">
        <w:rPr>
          <w:color w:val="auto"/>
        </w:rPr>
        <w:t>Uuden menettelyn vaikuttavuus ja vaikutukset</w:t>
      </w:r>
    </w:p>
    <w:p w14:paraId="64C24B59" w14:textId="77777777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nykytila (ennustettavissa olevat päätösmäärät)</w:t>
      </w:r>
    </w:p>
    <w:p w14:paraId="0CD1850E" w14:textId="77777777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vaikuttavuus: sujuvoituminen ja ennakoitavuuden parantuminen</w:t>
      </w:r>
    </w:p>
    <w:p w14:paraId="5B1BAED7" w14:textId="03CB6F4A" w:rsidR="00BD50D2" w:rsidRPr="00DB37C9" w:rsidRDefault="00BD50D2" w:rsidP="009A52AD">
      <w:pPr>
        <w:pStyle w:val="Luettelokappale"/>
        <w:numPr>
          <w:ilvl w:val="0"/>
          <w:numId w:val="33"/>
        </w:numPr>
        <w:jc w:val="both"/>
      </w:pPr>
      <w:r w:rsidRPr="00DB37C9">
        <w:t>muut vaikutukset (mm. harmaan alueen EEJ-asiat)</w:t>
      </w:r>
    </w:p>
    <w:p w14:paraId="1B7D1A7F" w14:textId="77777777" w:rsidR="00BD50D2" w:rsidRPr="00DB37C9" w:rsidRDefault="00BD50D2" w:rsidP="009A52AD">
      <w:pPr>
        <w:pStyle w:val="Otsikko2"/>
        <w:numPr>
          <w:ilvl w:val="0"/>
          <w:numId w:val="2"/>
        </w:numPr>
        <w:jc w:val="both"/>
        <w:rPr>
          <w:color w:val="auto"/>
        </w:rPr>
      </w:pPr>
      <w:r w:rsidRPr="00DB37C9">
        <w:rPr>
          <w:color w:val="auto"/>
        </w:rPr>
        <w:t>Jatkotoimet</w:t>
      </w:r>
    </w:p>
    <w:p w14:paraId="23E4B9A8" w14:textId="62F6D50C" w:rsidR="00031907" w:rsidRPr="00DB37C9" w:rsidRDefault="00E77C00" w:rsidP="009A52AD">
      <w:pPr>
        <w:jc w:val="both"/>
      </w:pPr>
      <w:r w:rsidRPr="00DB37C9">
        <w:t xml:space="preserve">+ </w:t>
      </w:r>
      <w:r w:rsidR="00031907" w:rsidRPr="00DB37C9">
        <w:t>Pykäläluonnokset</w:t>
      </w:r>
      <w:r w:rsidRPr="00DB37C9">
        <w:t xml:space="preserve"> mietinnön</w:t>
      </w:r>
      <w:r w:rsidR="00031907" w:rsidRPr="00DB37C9">
        <w:t xml:space="preserve"> liitteeksi</w:t>
      </w:r>
    </w:p>
    <w:p w14:paraId="134C68C6" w14:textId="77777777" w:rsidR="00A21222" w:rsidRDefault="00A2122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B1BC67B" w14:textId="7E796CB5" w:rsidR="006344DD" w:rsidRPr="00DB37C9" w:rsidRDefault="00ED287B" w:rsidP="009A52AD">
      <w:pPr>
        <w:pStyle w:val="Otsikko1"/>
        <w:numPr>
          <w:ilvl w:val="0"/>
          <w:numId w:val="15"/>
        </w:numPr>
        <w:jc w:val="both"/>
        <w:rPr>
          <w:color w:val="auto"/>
        </w:rPr>
      </w:pPr>
      <w:r w:rsidRPr="00DB37C9">
        <w:rPr>
          <w:color w:val="auto"/>
        </w:rPr>
        <w:lastRenderedPageBreak/>
        <w:t>Johdanto</w:t>
      </w:r>
    </w:p>
    <w:p w14:paraId="2E95F3FF" w14:textId="66D405D6" w:rsidR="00DB37C9" w:rsidRPr="00036F85" w:rsidRDefault="00194A1A" w:rsidP="009A52AD">
      <w:pPr>
        <w:pStyle w:val="Otsikko2"/>
        <w:numPr>
          <w:ilvl w:val="1"/>
          <w:numId w:val="15"/>
        </w:numPr>
        <w:jc w:val="both"/>
        <w:rPr>
          <w:color w:val="auto"/>
        </w:rPr>
      </w:pPr>
      <w:r w:rsidRPr="00DB37C9">
        <w:rPr>
          <w:color w:val="auto"/>
        </w:rPr>
        <w:t>Tausta</w:t>
      </w:r>
    </w:p>
    <w:p w14:paraId="15C09D5A" w14:textId="61401C25" w:rsidR="00036F85" w:rsidRDefault="00F2593D" w:rsidP="009A52AD">
      <w:pPr>
        <w:jc w:val="both"/>
      </w:pPr>
      <w:r>
        <w:t>Pyrittäessä kohti</w:t>
      </w:r>
      <w:r w:rsidR="00036F85">
        <w:t xml:space="preserve"> k</w:t>
      </w:r>
      <w:r>
        <w:t>iertotaloutta</w:t>
      </w:r>
      <w:r w:rsidR="00036F85">
        <w:t xml:space="preserve"> </w:t>
      </w:r>
      <w:r>
        <w:t xml:space="preserve">yhtenä keinona on </w:t>
      </w:r>
      <w:r w:rsidR="00363CFC">
        <w:t>jäteperäisten materiaalien (</w:t>
      </w:r>
      <w:r>
        <w:t>uusiomateriaalien</w:t>
      </w:r>
      <w:r w:rsidR="00363CFC">
        <w:t>) tuotteistamisen helpottaminen.</w:t>
      </w:r>
      <w:r w:rsidR="00036F85">
        <w:t xml:space="preserve"> </w:t>
      </w:r>
      <w:r>
        <w:t>Oikeudellisesti kyse on siitä, että m</w:t>
      </w:r>
      <w:r w:rsidR="00036F85">
        <w:t>ateriaalin jätteeksi luokittelu</w:t>
      </w:r>
      <w:r w:rsidR="00363CFC">
        <w:t xml:space="preserve"> voi päättyä</w:t>
      </w:r>
      <w:r w:rsidR="00036F85">
        <w:t xml:space="preserve"> tai teollisen prosessin ylijäämä voidaan luokitella sivutuott</w:t>
      </w:r>
      <w:r w:rsidR="00363CFC">
        <w:t>eeksi, jos</w:t>
      </w:r>
      <w:r w:rsidR="00036F85">
        <w:t xml:space="preserve"> jätelaissa </w:t>
      </w:r>
      <w:r>
        <w:t>ja jäte</w:t>
      </w:r>
      <w:r w:rsidR="00363CFC">
        <w:t xml:space="preserve">direktiivissä säädetyt edellytykset </w:t>
      </w:r>
      <w:r>
        <w:t xml:space="preserve">täyttyvät. </w:t>
      </w:r>
      <w:r w:rsidR="00036F85">
        <w:t xml:space="preserve">      </w:t>
      </w:r>
    </w:p>
    <w:p w14:paraId="27089A95" w14:textId="5A40F838" w:rsidR="008C73E0" w:rsidRPr="00DB37C9" w:rsidRDefault="008C73E0" w:rsidP="009A52AD">
      <w:pPr>
        <w:jc w:val="both"/>
      </w:pPr>
      <w:r w:rsidRPr="00DB37C9">
        <w:t xml:space="preserve">Päätökset jätteeksi luokittelun päättymisestä (ei enää jätettä, EEJ) voidaan tehdä jätelajikohtaisesti EU-harmonisoituina säädöksinä tai kansallisesti valtioneuvoston asetuksella. Euroopan unionissa on säädetty </w:t>
      </w:r>
      <w:r w:rsidR="00624EA8">
        <w:t>EEJ-</w:t>
      </w:r>
      <w:r w:rsidRPr="00DB37C9">
        <w:t>arviointiperusteita rauta-, teräs- ja alumiiniromulle, lasimurskalle ja kupariromulle. Lisäksi EU:n lannoitevalmisteasetuksessa (2019/1009/EU) säädetään tiettyjen jätemateriaalien jätteeksi luokittelun päättymisestä silloin, kun ne sisältyvät vaatimustenmukaiseen EU-lannoitevalmisteeseen (artikla 19). Ensimmäinen kansallinen valtioneuvoston asetus betonimurskeen jätteeksi luokittelun päättymistä koskevista arviointiperusteista</w:t>
      </w:r>
      <w:r w:rsidR="00D63F9B" w:rsidRPr="00DB37C9">
        <w:t xml:space="preserve"> tuli voimaan syyskuussa 2022. </w:t>
      </w:r>
      <w:r w:rsidR="00C26B4B" w:rsidRPr="00DB37C9">
        <w:t>Lisäksi valmistelussa on kansallinen valtioneuvoston asetus mekaanisesti kierrätetyn muovijätteen jätteeksi luokittelun päättymistä koskevista arviointiperusteista, jota valmistellaan samanaikaisesti EU:ssa käynnissä olevan EU-tasoisen muovin arviointiperus</w:t>
      </w:r>
      <w:r w:rsidR="00363CFC">
        <w:t>teita koskevan asetuksen kanssa</w:t>
      </w:r>
      <w:r w:rsidR="00C26B4B" w:rsidRPr="00DB37C9">
        <w:t>.</w:t>
      </w:r>
      <w:r w:rsidR="00970E4B">
        <w:t xml:space="preserve"> Säädöksen ovat sikäli luonteeltaan yleisiä, että ne koskevat kaikkia toiminnanharjoittajia, jotka tuottavat tai joilla on hallussaan säädöksessä tarkoitettua uusiomateriaalia.</w:t>
      </w:r>
      <w:r w:rsidR="00624EA8" w:rsidRPr="00624EA8">
        <w:t xml:space="preserve"> Sivutuotteeksi luokittelua koskevia EU-säädöksiä tai kansallisia asetuksia ei ole annettu.</w:t>
      </w:r>
      <w:r w:rsidR="00970E4B">
        <w:t xml:space="preserve">  </w:t>
      </w:r>
    </w:p>
    <w:p w14:paraId="562A3064" w14:textId="36955BA5" w:rsidR="008C73E0" w:rsidRPr="00DB37C9" w:rsidRDefault="008C73E0" w:rsidP="009A52AD">
      <w:pPr>
        <w:jc w:val="both"/>
      </w:pPr>
      <w:r w:rsidRPr="00DB37C9">
        <w:t xml:space="preserve">Jos EU-tason tai kansallista säädöstä ei ole, jätteeksi luokittelun päättyminen </w:t>
      </w:r>
      <w:r w:rsidR="00624EA8">
        <w:t xml:space="preserve">tai sivutuotteeksi määrittäminen </w:t>
      </w:r>
      <w:r w:rsidRPr="00DB37C9">
        <w:t>voida</w:t>
      </w:r>
      <w:r w:rsidR="00363CFC">
        <w:t xml:space="preserve">an ratkaista </w:t>
      </w:r>
      <w:r w:rsidR="00970E4B">
        <w:t xml:space="preserve">jokaisen toiminnanharjoittajan ja tämän hallussa olevan materiaalin osalta erikseen </w:t>
      </w:r>
      <w:r w:rsidRPr="00DB37C9">
        <w:t xml:space="preserve">tapauskohtaisessa päätöksentekomenettelyssä. </w:t>
      </w:r>
      <w:r w:rsidR="00F2593D">
        <w:t>Nykyisin t</w:t>
      </w:r>
      <w:r w:rsidRPr="00DB37C9">
        <w:t xml:space="preserve">apauskohtaisesta jätteeksi luokittelun päättymisestä päätetään pääsäännön mukaan ympäristönsuojelulain (YSL, 527/2014) mukaisessa ympäristölupamenettelyssä osana laitoksen lupahakemusta tai tarpeen mukaan erillisenä </w:t>
      </w:r>
      <w:r w:rsidR="00624EA8">
        <w:t>luvan muutoksena</w:t>
      </w:r>
      <w:r w:rsidR="00AA7EA2">
        <w:t>.</w:t>
      </w:r>
      <w:r w:rsidRPr="00DB37C9">
        <w:t xml:space="preserve"> Tällöin asian rat</w:t>
      </w:r>
      <w:r w:rsidR="00624EA8">
        <w:t xml:space="preserve">kaisee laitoksen </w:t>
      </w:r>
      <w:r w:rsidRPr="00DB37C9">
        <w:t>ympäristölupaviranomainen eli kunnan ympäristönsuojeluviranomainen tai aluehallintovirasto. Lupaviranomaisen päätökseen haetaan muutosta Vaasan hallinto-oikeudelta. Lisäksi valvontaviranomainen voi edelleen toiminnanharjoittajan pyynnöstä ja tämän esittämillä perusteilla todentaa, ettei kyse ole jätteestä. Valituskel</w:t>
      </w:r>
      <w:r w:rsidR="00624EA8">
        <w:t xml:space="preserve">poisen </w:t>
      </w:r>
      <w:r w:rsidRPr="00DB37C9">
        <w:t xml:space="preserve">päätöksen saadakseen toiminnanharjoittajan on kuitenkin tehtävä ympäristönsuojelulain mukainen lupahakemus. </w:t>
      </w:r>
    </w:p>
    <w:p w14:paraId="5E0CFA16" w14:textId="00C24FCE" w:rsidR="00D63F9B" w:rsidRPr="00DB37C9" w:rsidRDefault="00254204" w:rsidP="009A52AD">
      <w:pPr>
        <w:jc w:val="both"/>
      </w:pPr>
      <w:r w:rsidRPr="00DB37C9">
        <w:t>Y</w:t>
      </w:r>
      <w:r w:rsidR="00F2593D">
        <w:t xml:space="preserve">mpäristölupamenettely soveltuu huonosti </w:t>
      </w:r>
      <w:r w:rsidRPr="00DB37C9">
        <w:t>pelkkää</w:t>
      </w:r>
      <w:r w:rsidR="00F2593D">
        <w:t>n</w:t>
      </w:r>
      <w:r w:rsidRPr="00DB37C9">
        <w:t xml:space="preserve"> materiaalin jätestatusta koskevaan päätöksente</w:t>
      </w:r>
      <w:r w:rsidR="00F2593D">
        <w:t xml:space="preserve">koon, sillä </w:t>
      </w:r>
      <w:r w:rsidRPr="00DB37C9">
        <w:t>lupamenett</w:t>
      </w:r>
      <w:r w:rsidR="00F2593D">
        <w:t xml:space="preserve">elyssä tai </w:t>
      </w:r>
      <w:r w:rsidRPr="00DB37C9">
        <w:t>YSL</w:t>
      </w:r>
      <w:r w:rsidR="00F2593D">
        <w:t xml:space="preserve">:n mukaisissa kevennetyissä </w:t>
      </w:r>
      <w:r w:rsidRPr="00DB37C9">
        <w:t xml:space="preserve">menettelyissä on </w:t>
      </w:r>
      <w:r w:rsidR="00C3294A" w:rsidRPr="00DB37C9">
        <w:t xml:space="preserve">viime kädessä </w:t>
      </w:r>
      <w:r w:rsidRPr="00DB37C9">
        <w:t xml:space="preserve">kyse tiettyyn paikkaan sidotun toiminnan päästöjen arviointiin </w:t>
      </w:r>
      <w:r w:rsidR="00F2593D">
        <w:t>luodusta sääntelykeinosta</w:t>
      </w:r>
      <w:r w:rsidR="00AA7EA2">
        <w:t>. J</w:t>
      </w:r>
      <w:r w:rsidRPr="00DB37C9">
        <w:t>ätteeksi luokittelun päättymistä tai sivutuotetta kos</w:t>
      </w:r>
      <w:r w:rsidR="00AA7EA2">
        <w:t xml:space="preserve">keva päätös </w:t>
      </w:r>
      <w:r w:rsidRPr="00DB37C9">
        <w:t>on</w:t>
      </w:r>
      <w:r w:rsidR="00AA7EA2">
        <w:t xml:space="preserve"> luonteeltaan</w:t>
      </w:r>
      <w:r w:rsidRPr="00DB37C9">
        <w:t xml:space="preserve"> </w:t>
      </w:r>
      <w:r w:rsidR="00AA7EA2">
        <w:t>enemmän tuotehyväksyntä</w:t>
      </w:r>
      <w:r w:rsidR="007A702C">
        <w:t xml:space="preserve">, jonka </w:t>
      </w:r>
      <w:r w:rsidRPr="00DB37C9">
        <w:t>v</w:t>
      </w:r>
      <w:r w:rsidR="007A702C">
        <w:t xml:space="preserve">aikutukset ovat </w:t>
      </w:r>
      <w:r w:rsidRPr="00DB37C9">
        <w:t>valtakunnallisia</w:t>
      </w:r>
      <w:r w:rsidR="007A702C">
        <w:t xml:space="preserve"> tai laajempia</w:t>
      </w:r>
      <w:r w:rsidRPr="00DB37C9">
        <w:t>.</w:t>
      </w:r>
      <w:r w:rsidR="00C3294A" w:rsidRPr="00DB37C9">
        <w:t xml:space="preserve"> </w:t>
      </w:r>
      <w:r w:rsidR="007A702C">
        <w:t>Voimassa oleva ympäristösääntely ei tällaista menettelyä sisällä.</w:t>
      </w:r>
      <w:r w:rsidR="00434514" w:rsidRPr="00DB37C9">
        <w:rPr>
          <w:rStyle w:val="Alaviitteenviite"/>
        </w:rPr>
        <w:footnoteReference w:id="2"/>
      </w:r>
      <w:r w:rsidR="00434514" w:rsidRPr="00DB37C9">
        <w:t xml:space="preserve"> </w:t>
      </w:r>
    </w:p>
    <w:p w14:paraId="1E0B2AFE" w14:textId="2CD6F7B0" w:rsidR="00835990" w:rsidRPr="00DB37C9" w:rsidRDefault="00835990" w:rsidP="009A52AD">
      <w:pPr>
        <w:jc w:val="both"/>
      </w:pPr>
      <w:r w:rsidRPr="00DB37C9">
        <w:t xml:space="preserve">Lisäksi yleisesti ympäristölupamenettelyiden keventämistä ja tehostamista on selvitetty laajasti. </w:t>
      </w:r>
      <w:r w:rsidR="003B4F17" w:rsidRPr="00DB37C9">
        <w:t xml:space="preserve"> </w:t>
      </w:r>
    </w:p>
    <w:p w14:paraId="04B4B8B0" w14:textId="38B2AA8C" w:rsidR="00E523CE" w:rsidRPr="00DB37C9" w:rsidRDefault="00E523CE" w:rsidP="009A52AD">
      <w:pPr>
        <w:jc w:val="both"/>
      </w:pPr>
    </w:p>
    <w:p w14:paraId="2106111C" w14:textId="577C0F74" w:rsidR="00DB37C9" w:rsidRPr="00A61258" w:rsidRDefault="008B1F5F" w:rsidP="009A52AD">
      <w:pPr>
        <w:pStyle w:val="Otsikko2"/>
        <w:numPr>
          <w:ilvl w:val="1"/>
          <w:numId w:val="15"/>
        </w:numPr>
        <w:jc w:val="both"/>
        <w:rPr>
          <w:color w:val="auto"/>
        </w:rPr>
      </w:pPr>
      <w:r w:rsidRPr="00DB37C9">
        <w:rPr>
          <w:color w:val="auto"/>
        </w:rPr>
        <w:t>Työryhmän toimeksianto ja tavoitteet</w:t>
      </w:r>
    </w:p>
    <w:p w14:paraId="2947CCFE" w14:textId="14274240" w:rsidR="002D1F82" w:rsidRPr="00DB37C9" w:rsidRDefault="00917CFE" w:rsidP="009A52AD">
      <w:pPr>
        <w:pStyle w:val="Leipteksti"/>
        <w:jc w:val="both"/>
        <w:rPr>
          <w:sz w:val="22"/>
        </w:rPr>
      </w:pPr>
      <w:r w:rsidRPr="00DB37C9">
        <w:rPr>
          <w:sz w:val="22"/>
        </w:rPr>
        <w:t>Jätelain muutoksen</w:t>
      </w:r>
      <w:r w:rsidR="002D1F82" w:rsidRPr="00DB37C9">
        <w:rPr>
          <w:sz w:val="22"/>
        </w:rPr>
        <w:t xml:space="preserve"> 714/2021 </w:t>
      </w:r>
      <w:r w:rsidRPr="00DB37C9">
        <w:rPr>
          <w:sz w:val="22"/>
        </w:rPr>
        <w:t xml:space="preserve">yhteydessä </w:t>
      </w:r>
      <w:r w:rsidR="002D1F82" w:rsidRPr="00DB37C9">
        <w:rPr>
          <w:sz w:val="22"/>
        </w:rPr>
        <w:t>tapauskohtaiseen päätöksentekoon tehtyjä täsmennyksiä pidettiin useiden toiminnanharjoittajien ja viranomaisten taholta riittämättömänä päätöks</w:t>
      </w:r>
      <w:r w:rsidR="000629C5" w:rsidRPr="00DB37C9">
        <w:rPr>
          <w:sz w:val="22"/>
        </w:rPr>
        <w:t>enteon sujuvuuden ja yhtenäisyy</w:t>
      </w:r>
      <w:r w:rsidR="002D1F82" w:rsidRPr="00DB37C9">
        <w:rPr>
          <w:sz w:val="22"/>
        </w:rPr>
        <w:t>den edistämisen kannalta.</w:t>
      </w:r>
      <w:r w:rsidRPr="00DB37C9">
        <w:rPr>
          <w:sz w:val="22"/>
        </w:rPr>
        <w:t xml:space="preserve"> Eduskunta antoi</w:t>
      </w:r>
      <w:r w:rsidR="00A61258">
        <w:rPr>
          <w:sz w:val="22"/>
        </w:rPr>
        <w:t>kin</w:t>
      </w:r>
      <w:r w:rsidRPr="00DB37C9">
        <w:rPr>
          <w:sz w:val="22"/>
        </w:rPr>
        <w:t xml:space="preserve"> vastauksessaan (EV 112/2021 </w:t>
      </w:r>
      <w:r w:rsidRPr="00DB37C9">
        <w:rPr>
          <w:sz w:val="22"/>
        </w:rPr>
        <w:lastRenderedPageBreak/>
        <w:t>vp) jätelain muutoksesta 714/2021 lausuman jätteeksi luokittelun päättymistä koskevasta sääntelystä: ”Eduskunta edellyttää, että hallitus selvittää mahdollisuudet säätää kevyempi, erityisesti jätteeksi luokittelun päättymiseen sovellett</w:t>
      </w:r>
      <w:r w:rsidR="00A93DC9" w:rsidRPr="00DB37C9">
        <w:rPr>
          <w:sz w:val="22"/>
        </w:rPr>
        <w:t>ava uusi menettely, jossa toimi</w:t>
      </w:r>
      <w:r w:rsidRPr="00DB37C9">
        <w:rPr>
          <w:sz w:val="22"/>
        </w:rPr>
        <w:t>valta keskitetään yhdelle viranomaiselle.”</w:t>
      </w:r>
    </w:p>
    <w:p w14:paraId="428FFE9F" w14:textId="270011AD" w:rsidR="002D1F82" w:rsidRPr="00DB37C9" w:rsidRDefault="002D1F82" w:rsidP="009A52AD">
      <w:pPr>
        <w:pStyle w:val="Leipteksti"/>
        <w:jc w:val="both"/>
        <w:rPr>
          <w:sz w:val="22"/>
        </w:rPr>
      </w:pPr>
      <w:r w:rsidRPr="00DB37C9">
        <w:rPr>
          <w:sz w:val="22"/>
        </w:rPr>
        <w:t>Ympäristöministeriö asetti 23.8.2021 uusiomateriaalien tuotteistamista käsittelevän työryhmän (UTU-työryhmä) seuraamaan ja kehittämään jätteeksi luokittelun päättymistä</w:t>
      </w:r>
      <w:r w:rsidR="00E21697" w:rsidRPr="00DB37C9">
        <w:rPr>
          <w:sz w:val="22"/>
        </w:rPr>
        <w:t xml:space="preserve"> (ei-enää-jätettä, EEJ)</w:t>
      </w:r>
      <w:r w:rsidRPr="00DB37C9">
        <w:rPr>
          <w:sz w:val="22"/>
        </w:rPr>
        <w:t xml:space="preserve"> ja sivutuotteita koskevaa s</w:t>
      </w:r>
      <w:r w:rsidR="00A93DC9" w:rsidRPr="00DB37C9">
        <w:rPr>
          <w:sz w:val="22"/>
        </w:rPr>
        <w:t>ääntelyä ja hal</w:t>
      </w:r>
      <w:r w:rsidR="001C39E9" w:rsidRPr="00DB37C9">
        <w:rPr>
          <w:sz w:val="22"/>
        </w:rPr>
        <w:t>lintokäytäntöjä. Työryhmässä on</w:t>
      </w:r>
      <w:r w:rsidRPr="00DB37C9">
        <w:rPr>
          <w:sz w:val="22"/>
        </w:rPr>
        <w:t xml:space="preserve"> laajapohjainen edustus seuraavist</w:t>
      </w:r>
      <w:r w:rsidR="000629C5" w:rsidRPr="00DB37C9">
        <w:rPr>
          <w:sz w:val="22"/>
        </w:rPr>
        <w:t>a organisaatioista: ympäristömi</w:t>
      </w:r>
      <w:r w:rsidRPr="00DB37C9">
        <w:rPr>
          <w:sz w:val="22"/>
        </w:rPr>
        <w:t>nisteriö, maa- ja metsätalousministeriö, työ- ja elinkeinoministeriö, aluehallintovirastot, elinkeino-, liikenne- ja ympäristökeskukset, Suomen Kuntaliitto, Suomen Ympäristökeskus, K</w:t>
      </w:r>
      <w:r w:rsidR="000629C5" w:rsidRPr="00DB37C9">
        <w:rPr>
          <w:sz w:val="22"/>
        </w:rPr>
        <w:t>emianteollisuus ry, Muoviteolli</w:t>
      </w:r>
      <w:r w:rsidRPr="00DB37C9">
        <w:rPr>
          <w:sz w:val="22"/>
        </w:rPr>
        <w:t>suus ry, Metsäteollisuus ry, Rakennusteollisuus RT ry, INFRA ry, Teknologi</w:t>
      </w:r>
      <w:r w:rsidR="000629C5" w:rsidRPr="00DB37C9">
        <w:rPr>
          <w:sz w:val="22"/>
        </w:rPr>
        <w:t>ateollisuus ry, Ympäristöteolli</w:t>
      </w:r>
      <w:r w:rsidRPr="00DB37C9">
        <w:rPr>
          <w:sz w:val="22"/>
        </w:rPr>
        <w:t>suus ja –palvelut YTP ry sekä Suomen Biokierto ja Biokaasu ry.</w:t>
      </w:r>
    </w:p>
    <w:p w14:paraId="2C8FB2CA" w14:textId="41CF47D7" w:rsidR="000D5219" w:rsidRPr="00DB37C9" w:rsidRDefault="002F37C7" w:rsidP="009A52AD">
      <w:pPr>
        <w:pStyle w:val="Leipteksti"/>
        <w:jc w:val="both"/>
        <w:rPr>
          <w:sz w:val="22"/>
        </w:rPr>
      </w:pPr>
      <w:r>
        <w:rPr>
          <w:sz w:val="22"/>
        </w:rPr>
        <w:t>Työryhmän tehtävänä oli</w:t>
      </w:r>
      <w:r w:rsidR="00E21697" w:rsidRPr="00DB37C9">
        <w:rPr>
          <w:sz w:val="22"/>
        </w:rPr>
        <w:t xml:space="preserve"> erityisesti</w:t>
      </w:r>
      <w:r w:rsidR="000D5219" w:rsidRPr="00DB37C9">
        <w:rPr>
          <w:sz w:val="22"/>
        </w:rPr>
        <w:t>:</w:t>
      </w:r>
      <w:r w:rsidR="00E21697" w:rsidRPr="00DB37C9">
        <w:rPr>
          <w:sz w:val="22"/>
        </w:rPr>
        <w:t xml:space="preserve"> </w:t>
      </w:r>
    </w:p>
    <w:p w14:paraId="673AA007" w14:textId="77777777" w:rsidR="000D5219" w:rsidRPr="00DB37C9" w:rsidRDefault="002D1F82" w:rsidP="009A52AD">
      <w:pPr>
        <w:pStyle w:val="Leipteksti"/>
        <w:numPr>
          <w:ilvl w:val="0"/>
          <w:numId w:val="27"/>
        </w:numPr>
        <w:spacing w:after="0"/>
        <w:jc w:val="both"/>
        <w:rPr>
          <w:sz w:val="22"/>
        </w:rPr>
      </w:pPr>
      <w:r w:rsidRPr="00DB37C9">
        <w:rPr>
          <w:sz w:val="22"/>
        </w:rPr>
        <w:t>kartoittaa nykyiseen jätteeksi luokittelun päättymistä ja sivutuotteita koskevaan tapauskohtaiseen päätöksentekoon liittyviä kokemuksia ja seurata tapauskohtaista jätteeksi luokittelun päättymistä ja sivutuotteeksi luokitt</w:t>
      </w:r>
      <w:r w:rsidR="00E21697" w:rsidRPr="00DB37C9">
        <w:rPr>
          <w:sz w:val="22"/>
        </w:rPr>
        <w:t>e</w:t>
      </w:r>
      <w:r w:rsidR="000D5219" w:rsidRPr="00DB37C9">
        <w:rPr>
          <w:sz w:val="22"/>
        </w:rPr>
        <w:t>lua koskevaa hallintokäytäntöä;</w:t>
      </w:r>
    </w:p>
    <w:p w14:paraId="4A04411A" w14:textId="77777777" w:rsidR="000D5219" w:rsidRPr="00DB37C9" w:rsidRDefault="002D1F82" w:rsidP="009A52AD">
      <w:pPr>
        <w:pStyle w:val="Leipteksti"/>
        <w:numPr>
          <w:ilvl w:val="0"/>
          <w:numId w:val="27"/>
        </w:numPr>
        <w:spacing w:after="0"/>
        <w:jc w:val="both"/>
        <w:rPr>
          <w:sz w:val="22"/>
        </w:rPr>
      </w:pPr>
      <w:r w:rsidRPr="00DB37C9">
        <w:rPr>
          <w:sz w:val="22"/>
        </w:rPr>
        <w:t>tarkastella tapauskohtaisen jätteeksi luokittelun päättymistä ja sivutuotteeksi luokittelua koskevan päätöksenteon menettelyllisiä kehittämisvaihtoehtoja (mukaan lukien tapauskohtaisen päätöksentekomenettelyn keventäminen ja keskittäminen yhdelle viranomaiselle) ja tehdä esitys tätä koskevi</w:t>
      </w:r>
      <w:r w:rsidR="00E21697" w:rsidRPr="00DB37C9">
        <w:rPr>
          <w:sz w:val="22"/>
        </w:rPr>
        <w:t>s</w:t>
      </w:r>
      <w:r w:rsidR="000D5219" w:rsidRPr="00DB37C9">
        <w:rPr>
          <w:sz w:val="22"/>
        </w:rPr>
        <w:t xml:space="preserve">ta lainsäädäntömuutostarpeista; </w:t>
      </w:r>
    </w:p>
    <w:p w14:paraId="00E87731" w14:textId="77777777" w:rsidR="000D5219" w:rsidRPr="00DB37C9" w:rsidRDefault="002D1F82" w:rsidP="009A52AD">
      <w:pPr>
        <w:pStyle w:val="Leipteksti"/>
        <w:numPr>
          <w:ilvl w:val="0"/>
          <w:numId w:val="27"/>
        </w:numPr>
        <w:spacing w:after="0"/>
        <w:jc w:val="both"/>
        <w:rPr>
          <w:sz w:val="22"/>
        </w:rPr>
      </w:pPr>
      <w:r w:rsidRPr="00DB37C9">
        <w:rPr>
          <w:sz w:val="22"/>
        </w:rPr>
        <w:t>arvioida tarvetta ja toimintatapoja kansallisten jätelajikohtai</w:t>
      </w:r>
      <w:r w:rsidR="00E21697" w:rsidRPr="00DB37C9">
        <w:rPr>
          <w:sz w:val="22"/>
        </w:rPr>
        <w:t>sten EEJ-aset</w:t>
      </w:r>
      <w:r w:rsidR="000D5219" w:rsidRPr="00DB37C9">
        <w:rPr>
          <w:sz w:val="22"/>
        </w:rPr>
        <w:t xml:space="preserve">usten säätämiselle; ja </w:t>
      </w:r>
    </w:p>
    <w:p w14:paraId="08F1F406" w14:textId="77777777" w:rsidR="000D5219" w:rsidRPr="00DB37C9" w:rsidRDefault="002D1F82" w:rsidP="009A52AD">
      <w:pPr>
        <w:pStyle w:val="Leipteksti"/>
        <w:numPr>
          <w:ilvl w:val="0"/>
          <w:numId w:val="27"/>
        </w:numPr>
        <w:spacing w:after="0"/>
        <w:jc w:val="both"/>
        <w:rPr>
          <w:sz w:val="22"/>
        </w:rPr>
      </w:pPr>
      <w:r w:rsidRPr="00DB37C9">
        <w:rPr>
          <w:sz w:val="22"/>
        </w:rPr>
        <w:t>seurata EU:ssa tapahtuvaa kehitystä ja tarvittaessa tunnistaa vaikutuskohteita (esimerkiksi liittyen jätelajeihin, joiden osalta EU-harmonisointi olisi tarpeen tai hyödyllinen).</w:t>
      </w:r>
      <w:r w:rsidR="00E21697" w:rsidRPr="00DB37C9">
        <w:rPr>
          <w:sz w:val="22"/>
        </w:rPr>
        <w:t xml:space="preserve"> </w:t>
      </w:r>
    </w:p>
    <w:p w14:paraId="7172BA07" w14:textId="77777777" w:rsidR="000F4820" w:rsidRPr="00DB37C9" w:rsidRDefault="000F4820" w:rsidP="009A52AD">
      <w:pPr>
        <w:pStyle w:val="Leipteksti"/>
        <w:spacing w:after="0"/>
        <w:jc w:val="both"/>
        <w:rPr>
          <w:sz w:val="22"/>
        </w:rPr>
      </w:pPr>
    </w:p>
    <w:p w14:paraId="31A6DA5A" w14:textId="4B7626DA" w:rsidR="00BE047E" w:rsidRPr="00DB37C9" w:rsidRDefault="002D1F82" w:rsidP="009A52AD">
      <w:pPr>
        <w:pStyle w:val="Leipteksti"/>
        <w:spacing w:after="0"/>
        <w:jc w:val="both"/>
        <w:rPr>
          <w:sz w:val="22"/>
        </w:rPr>
      </w:pPr>
      <w:r w:rsidRPr="00DB37C9">
        <w:rPr>
          <w:sz w:val="22"/>
        </w:rPr>
        <w:t>Työryhmä</w:t>
      </w:r>
      <w:r w:rsidR="002F37C7">
        <w:rPr>
          <w:sz w:val="22"/>
        </w:rPr>
        <w:t>n tehtävänä oli</w:t>
      </w:r>
      <w:r w:rsidRPr="00DB37C9">
        <w:rPr>
          <w:sz w:val="22"/>
        </w:rPr>
        <w:t xml:space="preserve"> ottaa työssään huomioon myös jätteeksi luokit</w:t>
      </w:r>
      <w:r w:rsidR="00E21697" w:rsidRPr="00DB37C9">
        <w:rPr>
          <w:sz w:val="22"/>
        </w:rPr>
        <w:t>telun päättymiseen ja sivutuote</w:t>
      </w:r>
      <w:r w:rsidR="00FE57A3" w:rsidRPr="00DB37C9">
        <w:rPr>
          <w:sz w:val="22"/>
        </w:rPr>
        <w:t>sääntelyyn liittyvä</w:t>
      </w:r>
      <w:r w:rsidRPr="00DB37C9">
        <w:rPr>
          <w:sz w:val="22"/>
        </w:rPr>
        <w:t xml:space="preserve"> tuote- ja</w:t>
      </w:r>
      <w:r w:rsidR="00E21697" w:rsidRPr="00DB37C9">
        <w:rPr>
          <w:sz w:val="22"/>
        </w:rPr>
        <w:t xml:space="preserve"> kemikaalilainsäädäntönäkökulma</w:t>
      </w:r>
      <w:r w:rsidRPr="00DB37C9">
        <w:rPr>
          <w:sz w:val="22"/>
        </w:rPr>
        <w:t>.</w:t>
      </w:r>
    </w:p>
    <w:p w14:paraId="64AB1490" w14:textId="77777777" w:rsidR="007C5435" w:rsidRPr="00DB37C9" w:rsidRDefault="007C5435" w:rsidP="009A52AD">
      <w:pPr>
        <w:pStyle w:val="Leipteksti"/>
        <w:spacing w:after="0"/>
        <w:jc w:val="both"/>
      </w:pPr>
    </w:p>
    <w:p w14:paraId="1295D683" w14:textId="694AB3F8" w:rsidR="00DB37C9" w:rsidRPr="009E4EF5" w:rsidRDefault="009E4EF5" w:rsidP="009A52AD">
      <w:pPr>
        <w:pStyle w:val="Otsikko2"/>
        <w:numPr>
          <w:ilvl w:val="1"/>
          <w:numId w:val="22"/>
        </w:numPr>
        <w:jc w:val="both"/>
        <w:rPr>
          <w:color w:val="auto"/>
        </w:rPr>
      </w:pPr>
      <w:r>
        <w:rPr>
          <w:color w:val="auto"/>
        </w:rPr>
        <w:t>Työryhmän v</w:t>
      </w:r>
      <w:r w:rsidR="00031907" w:rsidRPr="00DB37C9">
        <w:rPr>
          <w:color w:val="auto"/>
        </w:rPr>
        <w:t>äliraportin johtopäätökset</w:t>
      </w:r>
    </w:p>
    <w:p w14:paraId="185CA496" w14:textId="77777777" w:rsidR="005D210B" w:rsidRDefault="000629C5" w:rsidP="009A52AD">
      <w:pPr>
        <w:pStyle w:val="Leipteksti"/>
        <w:jc w:val="both"/>
        <w:rPr>
          <w:sz w:val="22"/>
        </w:rPr>
      </w:pPr>
      <w:r w:rsidRPr="00DB37C9">
        <w:rPr>
          <w:sz w:val="22"/>
        </w:rPr>
        <w:t>Työryhmä antoi 30.6.2022 väliraporttinsa tapauskohtaisen päätöksente</w:t>
      </w:r>
      <w:r w:rsidR="002D60E6" w:rsidRPr="00DB37C9">
        <w:rPr>
          <w:sz w:val="22"/>
        </w:rPr>
        <w:t>k</w:t>
      </w:r>
      <w:r w:rsidRPr="00DB37C9">
        <w:rPr>
          <w:sz w:val="22"/>
        </w:rPr>
        <w:t>o</w:t>
      </w:r>
      <w:r w:rsidR="002D60E6" w:rsidRPr="00DB37C9">
        <w:rPr>
          <w:sz w:val="22"/>
        </w:rPr>
        <w:t>menettely</w:t>
      </w:r>
      <w:r w:rsidRPr="00DB37C9">
        <w:rPr>
          <w:sz w:val="22"/>
        </w:rPr>
        <w:t>n eri kehittämisvaihtoehtojen tarkastelusta ja vertailusta.</w:t>
      </w:r>
      <w:r w:rsidRPr="00DB37C9">
        <w:rPr>
          <w:rStyle w:val="Alaviitteenviite"/>
          <w:sz w:val="22"/>
        </w:rPr>
        <w:footnoteReference w:id="3"/>
      </w:r>
      <w:r w:rsidR="00B74840" w:rsidRPr="00DB37C9">
        <w:rPr>
          <w:sz w:val="22"/>
        </w:rPr>
        <w:t xml:space="preserve"> Väliraportissa tarkasteltiin tapauskohtaisen päätösmenettelyn kehittämiselle kolmea eri päävaihtoehtoa.</w:t>
      </w:r>
      <w:r w:rsidR="00BE047E" w:rsidRPr="00DB37C9">
        <w:rPr>
          <w:sz w:val="22"/>
        </w:rPr>
        <w:t xml:space="preserve"> </w:t>
      </w:r>
    </w:p>
    <w:p w14:paraId="610365CD" w14:textId="5C41BE12" w:rsidR="009E4EF5" w:rsidRDefault="00B23DB2" w:rsidP="009A52AD">
      <w:pPr>
        <w:pStyle w:val="Leipteksti"/>
        <w:jc w:val="both"/>
        <w:rPr>
          <w:sz w:val="22"/>
        </w:rPr>
      </w:pPr>
      <w:r w:rsidRPr="00DB37C9">
        <w:rPr>
          <w:sz w:val="22"/>
        </w:rPr>
        <w:t xml:space="preserve">Vaihtoehtojen </w:t>
      </w:r>
      <w:r w:rsidR="00BE047E" w:rsidRPr="00DB37C9">
        <w:rPr>
          <w:sz w:val="22"/>
        </w:rPr>
        <w:t>vertailun perusteella työryhmä ehdotti</w:t>
      </w:r>
      <w:r w:rsidR="005D210B">
        <w:rPr>
          <w:sz w:val="22"/>
        </w:rPr>
        <w:t>, että</w:t>
      </w:r>
      <w:r w:rsidR="00BE047E" w:rsidRPr="00DB37C9">
        <w:rPr>
          <w:sz w:val="22"/>
        </w:rPr>
        <w:t xml:space="preserve"> tapa</w:t>
      </w:r>
      <w:r w:rsidR="005D210B">
        <w:rPr>
          <w:sz w:val="22"/>
        </w:rPr>
        <w:t>uskohtainen päätös tehtäisiin</w:t>
      </w:r>
      <w:r w:rsidR="009E4EF5">
        <w:rPr>
          <w:sz w:val="22"/>
        </w:rPr>
        <w:t xml:space="preserve"> uudessa, </w:t>
      </w:r>
      <w:r w:rsidR="002D1F82" w:rsidRPr="00DB37C9">
        <w:rPr>
          <w:sz w:val="22"/>
        </w:rPr>
        <w:t>jätelaissa säädettävässä menettelyssä, ja päätöksentekotoimivalta keski</w:t>
      </w:r>
      <w:r w:rsidR="005D210B">
        <w:rPr>
          <w:sz w:val="22"/>
        </w:rPr>
        <w:t>te</w:t>
      </w:r>
      <w:r w:rsidR="002D1F82" w:rsidRPr="00DB37C9">
        <w:rPr>
          <w:sz w:val="22"/>
        </w:rPr>
        <w:t>t</w:t>
      </w:r>
      <w:r w:rsidR="005D210B">
        <w:rPr>
          <w:sz w:val="22"/>
        </w:rPr>
        <w:t>täisiin</w:t>
      </w:r>
      <w:r w:rsidR="002D1F82" w:rsidRPr="00DB37C9">
        <w:rPr>
          <w:sz w:val="22"/>
        </w:rPr>
        <w:t xml:space="preserve"> yhdelle viranomais</w:t>
      </w:r>
      <w:r w:rsidRPr="00DB37C9">
        <w:rPr>
          <w:sz w:val="22"/>
        </w:rPr>
        <w:t>elle</w:t>
      </w:r>
      <w:r w:rsidR="002D1F82" w:rsidRPr="00DB37C9">
        <w:rPr>
          <w:sz w:val="22"/>
        </w:rPr>
        <w:t>.</w:t>
      </w:r>
      <w:r w:rsidR="00F5738C" w:rsidRPr="00DB37C9">
        <w:rPr>
          <w:sz w:val="22"/>
        </w:rPr>
        <w:t xml:space="preserve"> Uusi menettely koskisi sekä EEJ-päätöksiä että sivutuotteeksi määrittelyä. </w:t>
      </w:r>
    </w:p>
    <w:p w14:paraId="32E7CA5F" w14:textId="4CB3F105" w:rsidR="002D1F82" w:rsidRPr="00DB37C9" w:rsidRDefault="005D210B" w:rsidP="009A52AD">
      <w:pPr>
        <w:pStyle w:val="Leipteksti"/>
        <w:jc w:val="both"/>
        <w:rPr>
          <w:sz w:val="22"/>
        </w:rPr>
      </w:pPr>
      <w:r>
        <w:rPr>
          <w:sz w:val="22"/>
        </w:rPr>
        <w:lastRenderedPageBreak/>
        <w:t>Työryhmä arvioi, että näin saavuttaisiin</w:t>
      </w:r>
      <w:r w:rsidR="00572FBB" w:rsidRPr="00DB37C9">
        <w:rPr>
          <w:sz w:val="22"/>
        </w:rPr>
        <w:t xml:space="preserve"> parhaiten päätöksentekomenettelyn kehittämiselle asetetut tavoitteet, erityisesti </w:t>
      </w:r>
      <w:r w:rsidR="009E4EF5">
        <w:rPr>
          <w:sz w:val="22"/>
        </w:rPr>
        <w:t xml:space="preserve">päätöksenteon sujuvuus, ennakoitavuus ja </w:t>
      </w:r>
      <w:r w:rsidR="00572FBB" w:rsidRPr="00DB37C9">
        <w:rPr>
          <w:sz w:val="22"/>
        </w:rPr>
        <w:t xml:space="preserve">toiminnanharjoittajien </w:t>
      </w:r>
      <w:r w:rsidR="009E4EF5">
        <w:rPr>
          <w:sz w:val="22"/>
        </w:rPr>
        <w:t>yhdenvertaisuus. Uuden</w:t>
      </w:r>
      <w:r w:rsidR="000D5219" w:rsidRPr="00DB37C9">
        <w:rPr>
          <w:sz w:val="22"/>
        </w:rPr>
        <w:t xml:space="preserve"> menettelyn ke</w:t>
      </w:r>
      <w:r w:rsidR="00D84920">
        <w:rPr>
          <w:sz w:val="22"/>
        </w:rPr>
        <w:t>hittämisen lisäksi työryhmä ehdotti</w:t>
      </w:r>
      <w:r w:rsidR="000D5219" w:rsidRPr="00DB37C9">
        <w:rPr>
          <w:sz w:val="22"/>
        </w:rPr>
        <w:t xml:space="preserve"> </w:t>
      </w:r>
      <w:r w:rsidR="00BE047E" w:rsidRPr="00DB37C9">
        <w:rPr>
          <w:sz w:val="22"/>
        </w:rPr>
        <w:t>EEJ- ja sivutu</w:t>
      </w:r>
      <w:r w:rsidR="00111968">
        <w:rPr>
          <w:sz w:val="22"/>
        </w:rPr>
        <w:t xml:space="preserve">otepäätöksiä koskevan </w:t>
      </w:r>
      <w:r w:rsidR="00BE047E" w:rsidRPr="00DB37C9">
        <w:rPr>
          <w:sz w:val="22"/>
        </w:rPr>
        <w:t>päätöstietoka</w:t>
      </w:r>
      <w:r w:rsidR="00D84920">
        <w:rPr>
          <w:sz w:val="22"/>
        </w:rPr>
        <w:t>nnan perustamista ja kehittämistä</w:t>
      </w:r>
      <w:r w:rsidR="00BE047E" w:rsidRPr="00DB37C9">
        <w:rPr>
          <w:sz w:val="22"/>
        </w:rPr>
        <w:t>, uusiomateriaalien ympäristövaikutusten j</w:t>
      </w:r>
      <w:r w:rsidR="00D84920">
        <w:rPr>
          <w:sz w:val="22"/>
        </w:rPr>
        <w:t>a riskienarvioinnin kehittämistä</w:t>
      </w:r>
      <w:r w:rsidR="00BE047E" w:rsidRPr="00DB37C9">
        <w:rPr>
          <w:sz w:val="22"/>
        </w:rPr>
        <w:t xml:space="preserve"> systemaattisemmaksi</w:t>
      </w:r>
      <w:r w:rsidR="00D84920">
        <w:rPr>
          <w:sz w:val="22"/>
        </w:rPr>
        <w:t>.</w:t>
      </w:r>
      <w:r w:rsidR="00BE047E" w:rsidRPr="00DB37C9">
        <w:rPr>
          <w:sz w:val="22"/>
        </w:rPr>
        <w:t xml:space="preserve"> </w:t>
      </w:r>
    </w:p>
    <w:p w14:paraId="2211A400" w14:textId="668E9BBC" w:rsidR="002E0824" w:rsidRPr="00DB37C9" w:rsidRDefault="002E0824" w:rsidP="009A52AD">
      <w:pPr>
        <w:pStyle w:val="Leipteksti"/>
        <w:jc w:val="both"/>
        <w:rPr>
          <w:sz w:val="22"/>
        </w:rPr>
      </w:pPr>
      <w:r w:rsidRPr="00DB37C9">
        <w:rPr>
          <w:sz w:val="22"/>
        </w:rPr>
        <w:t xml:space="preserve"> </w:t>
      </w:r>
      <w:r w:rsidR="00F5738C" w:rsidRPr="00DB37C9">
        <w:rPr>
          <w:sz w:val="22"/>
        </w:rPr>
        <w:t xml:space="preserve">Työryhmä tunnisti </w:t>
      </w:r>
      <w:r w:rsidRPr="00DB37C9">
        <w:rPr>
          <w:sz w:val="22"/>
        </w:rPr>
        <w:t>jatkovalmistelussa tarkemmin tarkasteltaviksi erityisesti seuraavat seikat:</w:t>
      </w:r>
    </w:p>
    <w:p w14:paraId="19CD587D" w14:textId="77777777" w:rsidR="002E0824" w:rsidRPr="00111968" w:rsidRDefault="002E0824" w:rsidP="009A52AD">
      <w:pPr>
        <w:pStyle w:val="Leipteksti"/>
        <w:numPr>
          <w:ilvl w:val="0"/>
          <w:numId w:val="10"/>
        </w:numPr>
        <w:spacing w:after="0"/>
        <w:jc w:val="both"/>
        <w:rPr>
          <w:bCs/>
        </w:rPr>
      </w:pPr>
      <w:r w:rsidRPr="00111968">
        <w:rPr>
          <w:bCs/>
        </w:rPr>
        <w:t xml:space="preserve">Tapauskohtaisessa päätöksenteossa uuden toimivaltaisen viranomaistahon selvittäminen. </w:t>
      </w:r>
    </w:p>
    <w:p w14:paraId="75C867A2" w14:textId="2AEAAE3B" w:rsidR="002E0824" w:rsidRPr="00111968" w:rsidRDefault="002E0824" w:rsidP="009A52AD">
      <w:pPr>
        <w:pStyle w:val="Leipteksti"/>
        <w:numPr>
          <w:ilvl w:val="0"/>
          <w:numId w:val="10"/>
        </w:numPr>
        <w:spacing w:after="0"/>
        <w:jc w:val="both"/>
      </w:pPr>
      <w:r w:rsidRPr="00111968">
        <w:rPr>
          <w:bCs/>
        </w:rPr>
        <w:t>Uuden tapauskohtaisen päätöksentekomenettelyn ja muiden menettelyiden, erityisesti ympäristöluvituksen, välinen tarkempi edellytyssuhde- ja asianosaistarkastelu.</w:t>
      </w:r>
      <w:r w:rsidRPr="00111968">
        <w:t xml:space="preserve"> </w:t>
      </w:r>
    </w:p>
    <w:p w14:paraId="243CA2D8" w14:textId="31EF7498" w:rsidR="002E0824" w:rsidRPr="00111968" w:rsidRDefault="00F5738C" w:rsidP="009A52AD">
      <w:pPr>
        <w:pStyle w:val="Leipteksti"/>
        <w:numPr>
          <w:ilvl w:val="0"/>
          <w:numId w:val="10"/>
        </w:numPr>
        <w:spacing w:after="0"/>
        <w:jc w:val="both"/>
        <w:rPr>
          <w:bCs/>
        </w:rPr>
      </w:pPr>
      <w:r w:rsidRPr="00111968">
        <w:rPr>
          <w:bCs/>
        </w:rPr>
        <w:t>Päätöksenteolle mahdollisesti asetettavan t</w:t>
      </w:r>
      <w:r w:rsidR="002E0824" w:rsidRPr="00111968">
        <w:rPr>
          <w:bCs/>
        </w:rPr>
        <w:t xml:space="preserve">avoiteajan tarkastelu. </w:t>
      </w:r>
    </w:p>
    <w:p w14:paraId="458CB810" w14:textId="77777777" w:rsidR="002E0824" w:rsidRPr="00111968" w:rsidRDefault="002E0824" w:rsidP="009A52AD">
      <w:pPr>
        <w:pStyle w:val="Leipteksti"/>
        <w:numPr>
          <w:ilvl w:val="0"/>
          <w:numId w:val="10"/>
        </w:numPr>
        <w:spacing w:after="0"/>
        <w:jc w:val="both"/>
        <w:rPr>
          <w:bCs/>
        </w:rPr>
      </w:pPr>
      <w:r w:rsidRPr="00111968">
        <w:rPr>
          <w:bCs/>
        </w:rPr>
        <w:t>Viranomaisresurssien lisääminen ja niiden tehokas käyttö.</w:t>
      </w:r>
      <w:r w:rsidRPr="00111968">
        <w:rPr>
          <w:i/>
          <w:iCs/>
        </w:rPr>
        <w:t xml:space="preserve"> </w:t>
      </w:r>
    </w:p>
    <w:p w14:paraId="08572EB6" w14:textId="3B80B09B" w:rsidR="000F4820" w:rsidRDefault="002E0824" w:rsidP="009A52AD">
      <w:pPr>
        <w:pStyle w:val="Leipteksti"/>
        <w:numPr>
          <w:ilvl w:val="0"/>
          <w:numId w:val="10"/>
        </w:numPr>
        <w:spacing w:after="0"/>
        <w:jc w:val="both"/>
        <w:rPr>
          <w:bCs/>
        </w:rPr>
      </w:pPr>
      <w:r w:rsidRPr="00111968">
        <w:rPr>
          <w:bCs/>
        </w:rPr>
        <w:t xml:space="preserve">Tapauskohtaista päätöksentekoa koskevien lomakkeiden sekä tietojärjestelmien päivittämistarpeet. </w:t>
      </w:r>
    </w:p>
    <w:p w14:paraId="5303F4B6" w14:textId="2BA1BFD5" w:rsidR="00B04259" w:rsidRPr="00D84920" w:rsidRDefault="00B04259" w:rsidP="00D84920">
      <w:pPr>
        <w:pStyle w:val="Luettelokappale"/>
        <w:numPr>
          <w:ilvl w:val="0"/>
          <w:numId w:val="10"/>
        </w:numPr>
        <w:rPr>
          <w:rFonts w:cstheme="minorHAnsi"/>
          <w:bCs/>
          <w:sz w:val="21"/>
        </w:rPr>
      </w:pPr>
      <w:r w:rsidRPr="00B04259">
        <w:rPr>
          <w:rFonts w:cstheme="minorHAnsi"/>
          <w:bCs/>
          <w:sz w:val="21"/>
        </w:rPr>
        <w:t xml:space="preserve">Kemikaali- ja tuotesääntelyn sekä tapauskohtaisen päätöksenteon rajapintojen tarkastelu.  </w:t>
      </w:r>
    </w:p>
    <w:p w14:paraId="3C67C584" w14:textId="77777777" w:rsidR="002E0824" w:rsidRPr="00DB37C9" w:rsidRDefault="002E0824" w:rsidP="009A52AD">
      <w:pPr>
        <w:pStyle w:val="Leipteksti"/>
        <w:spacing w:after="0"/>
        <w:jc w:val="both"/>
        <w:rPr>
          <w:sz w:val="22"/>
        </w:rPr>
      </w:pPr>
    </w:p>
    <w:p w14:paraId="7A436ED3" w14:textId="7551EC0C" w:rsidR="00DB37C9" w:rsidRPr="00111968" w:rsidRDefault="007318B6" w:rsidP="009A52AD">
      <w:pPr>
        <w:pStyle w:val="Otsikko2"/>
        <w:numPr>
          <w:ilvl w:val="1"/>
          <w:numId w:val="22"/>
        </w:numPr>
        <w:jc w:val="both"/>
        <w:rPr>
          <w:color w:val="auto"/>
        </w:rPr>
      </w:pPr>
      <w:r w:rsidRPr="00DB37C9">
        <w:rPr>
          <w:color w:val="auto"/>
        </w:rPr>
        <w:t>Mietinnön rakenne</w:t>
      </w:r>
      <w:r w:rsidR="009E72BC">
        <w:rPr>
          <w:color w:val="auto"/>
        </w:rPr>
        <w:t xml:space="preserve"> ja mietinnössä käytetyt </w:t>
      </w:r>
      <w:r w:rsidR="003C5259">
        <w:rPr>
          <w:color w:val="auto"/>
        </w:rPr>
        <w:t>termit</w:t>
      </w:r>
    </w:p>
    <w:p w14:paraId="170F34C9" w14:textId="31EC848C" w:rsidR="00E61458" w:rsidRDefault="007318B6" w:rsidP="009A52AD">
      <w:pPr>
        <w:jc w:val="both"/>
      </w:pPr>
      <w:r w:rsidRPr="00DB37C9">
        <w:t xml:space="preserve">[Työryhmän työskentelystä kuvaus]. </w:t>
      </w:r>
    </w:p>
    <w:p w14:paraId="121C91A7" w14:textId="1A6E5B2E" w:rsidR="005F54D1" w:rsidRDefault="00EB49F9" w:rsidP="009A52AD">
      <w:pPr>
        <w:jc w:val="both"/>
      </w:pPr>
      <w:r>
        <w:t>Tekstin sujuvoittamiseksi</w:t>
      </w:r>
      <w:r w:rsidR="00F32FD9">
        <w:t xml:space="preserve"> loppuraportissa käytetään </w:t>
      </w:r>
      <w:r w:rsidR="005F54D1">
        <w:t xml:space="preserve">jatkossa </w:t>
      </w:r>
      <w:r>
        <w:t>seuraavia termejä</w:t>
      </w:r>
      <w:r w:rsidR="005F54D1">
        <w:t>:</w:t>
      </w:r>
    </w:p>
    <w:p w14:paraId="4F1E1E71" w14:textId="251B6296" w:rsidR="00D52245" w:rsidRDefault="00F32FD9" w:rsidP="009A52AD">
      <w:pPr>
        <w:pStyle w:val="Luettelokappale"/>
        <w:numPr>
          <w:ilvl w:val="0"/>
          <w:numId w:val="42"/>
        </w:numPr>
        <w:jc w:val="both"/>
      </w:pPr>
      <w:r w:rsidRPr="00D52245">
        <w:rPr>
          <w:i/>
        </w:rPr>
        <w:t>Uusiomateriaalien tuotteistamisella (UTU)</w:t>
      </w:r>
      <w:r>
        <w:t xml:space="preserve"> tarkoitetaan </w:t>
      </w:r>
      <w:r w:rsidR="00885FF3">
        <w:t xml:space="preserve">yleisesti toiminnanharjoittajien tai viranomaisten toimia materiaalin </w:t>
      </w:r>
      <w:r>
        <w:t>j</w:t>
      </w:r>
      <w:r w:rsidR="00885FF3">
        <w:t>ätteeksi luokittelun päättymiseksi</w:t>
      </w:r>
      <w:r>
        <w:t xml:space="preserve"> tai sivutuotteeksi luokittel</w:t>
      </w:r>
      <w:r w:rsidR="00885FF3">
        <w:t>emiseksi.</w:t>
      </w:r>
    </w:p>
    <w:p w14:paraId="514EF58C" w14:textId="77777777" w:rsidR="00D52245" w:rsidRDefault="00EB49F9" w:rsidP="009A52AD">
      <w:pPr>
        <w:pStyle w:val="Luettelokappale"/>
        <w:numPr>
          <w:ilvl w:val="0"/>
          <w:numId w:val="42"/>
        </w:numPr>
        <w:jc w:val="both"/>
      </w:pPr>
      <w:r w:rsidRPr="00D52245">
        <w:rPr>
          <w:i/>
        </w:rPr>
        <w:t>UTU-päätöksellä</w:t>
      </w:r>
      <w:r>
        <w:t xml:space="preserve"> tarkoitetaan valituskelpoista hallintopäätöstä, jossa viranomainen päättää </w:t>
      </w:r>
      <w:r w:rsidR="00D52245">
        <w:t>siitä, onko aineen tai esineen jäteluonne katsottava päättyneeksi (EEJ, ei enää jätettä) tai onko se katsottava sivutuotteeksi.</w:t>
      </w:r>
      <w:r w:rsidR="00477C91">
        <w:t xml:space="preserve"> </w:t>
      </w:r>
    </w:p>
    <w:p w14:paraId="765A226C" w14:textId="4B37C077" w:rsidR="00D52245" w:rsidRDefault="00D52245" w:rsidP="009A52AD">
      <w:pPr>
        <w:pStyle w:val="Luettelokappale"/>
        <w:numPr>
          <w:ilvl w:val="0"/>
          <w:numId w:val="42"/>
        </w:numPr>
        <w:jc w:val="both"/>
      </w:pPr>
      <w:r w:rsidRPr="00D52245">
        <w:rPr>
          <w:i/>
        </w:rPr>
        <w:t>UTU-hakemuksella</w:t>
      </w:r>
      <w:r w:rsidRPr="00D52245">
        <w:t xml:space="preserve"> tarkoitetaan jätt</w:t>
      </w:r>
      <w:r w:rsidR="00B04259">
        <w:t>eeksi luokittelun päättymistä tai</w:t>
      </w:r>
      <w:r w:rsidRPr="00D52245">
        <w:t xml:space="preserve"> sivutuotteeksi luokittelua koskevaa hakemusta, joka osoitetaan UTU-viranomaiselle ja jonka sisältö</w:t>
      </w:r>
      <w:r w:rsidR="00B04259">
        <w:t>vaatimuksista säädettäisiin (jäte)</w:t>
      </w:r>
      <w:r w:rsidRPr="00D52245">
        <w:t>laissa</w:t>
      </w:r>
      <w:r w:rsidR="00B04259">
        <w:t xml:space="preserve"> ja asetuksessa</w:t>
      </w:r>
      <w:r>
        <w:t>.</w:t>
      </w:r>
    </w:p>
    <w:p w14:paraId="34512F9C" w14:textId="00BE3FD2" w:rsidR="00D52245" w:rsidRDefault="00D52245" w:rsidP="009A52AD">
      <w:pPr>
        <w:pStyle w:val="Luettelokappale"/>
        <w:numPr>
          <w:ilvl w:val="0"/>
          <w:numId w:val="42"/>
        </w:numPr>
        <w:jc w:val="both"/>
      </w:pPr>
      <w:r w:rsidRPr="00D52245">
        <w:rPr>
          <w:i/>
        </w:rPr>
        <w:t>UTU-viranomaisella</w:t>
      </w:r>
      <w:r w:rsidR="00FF02A7">
        <w:t xml:space="preserve"> viitataan ehdotettavaan uuteen </w:t>
      </w:r>
      <w:r w:rsidRPr="00D52245">
        <w:t>viranomaiseen, joka tekee UTU-p</w:t>
      </w:r>
      <w:r w:rsidR="00FF02A7">
        <w:t xml:space="preserve">äätöksen </w:t>
      </w:r>
      <w:r w:rsidRPr="00D52245">
        <w:t>tai jolla on muun viranomaisen tekemässä UTU-päätöksessä pakollinen asiantuntijaviranomaisen rooli</w:t>
      </w:r>
      <w:r>
        <w:t>.</w:t>
      </w:r>
    </w:p>
    <w:p w14:paraId="2A1D3C7A" w14:textId="6AC449CC" w:rsidR="00EB49F9" w:rsidRDefault="00EB49F9" w:rsidP="009A52AD">
      <w:pPr>
        <w:pStyle w:val="Luettelokappale"/>
        <w:numPr>
          <w:ilvl w:val="0"/>
          <w:numId w:val="42"/>
        </w:numPr>
        <w:jc w:val="both"/>
      </w:pPr>
      <w:r w:rsidRPr="00D52245">
        <w:rPr>
          <w:i/>
        </w:rPr>
        <w:t>UTU-menettelyllä</w:t>
      </w:r>
      <w:r>
        <w:t xml:space="preserve"> tarkoitetaan </w:t>
      </w:r>
      <w:r w:rsidR="00D52245">
        <w:t>viranomaisprosessia/</w:t>
      </w:r>
      <w:r w:rsidR="00B04259">
        <w:t xml:space="preserve">hallinnollista </w:t>
      </w:r>
      <w:r>
        <w:t xml:space="preserve">menettelyä, jossa viranomainen </w:t>
      </w:r>
      <w:r w:rsidR="00D52245">
        <w:t>tekee UTU-päätöksen.</w:t>
      </w:r>
    </w:p>
    <w:p w14:paraId="547F9EA7" w14:textId="0C5834C7" w:rsidR="006035C0" w:rsidRPr="00DB37C9" w:rsidRDefault="00520127" w:rsidP="009A52AD">
      <w:pPr>
        <w:jc w:val="both"/>
      </w:pPr>
      <w:r>
        <w:t xml:space="preserve">Raportti on jaettu päälukuihin seuraavasti: </w:t>
      </w:r>
      <w:r w:rsidR="002D60E6" w:rsidRPr="00DB37C9">
        <w:t xml:space="preserve">Työryhmän väliraportin alustavan </w:t>
      </w:r>
      <w:r w:rsidR="007318B6" w:rsidRPr="00DB37C9">
        <w:t>vaihtoehto</w:t>
      </w:r>
      <w:r w:rsidR="002D60E6" w:rsidRPr="00DB37C9">
        <w:t xml:space="preserve">tarkastelun </w:t>
      </w:r>
      <w:r w:rsidR="007318B6" w:rsidRPr="00DB37C9">
        <w:t>pohjalta</w:t>
      </w:r>
      <w:r w:rsidR="002D60E6" w:rsidRPr="00DB37C9">
        <w:t xml:space="preserve"> </w:t>
      </w:r>
      <w:r w:rsidR="007318B6" w:rsidRPr="00DB37C9">
        <w:t xml:space="preserve">muodostetut </w:t>
      </w:r>
      <w:r w:rsidR="002D60E6" w:rsidRPr="00DB37C9">
        <w:t>työryhmän ehdotuks</w:t>
      </w:r>
      <w:r w:rsidR="007318B6" w:rsidRPr="00DB37C9">
        <w:t xml:space="preserve">et </w:t>
      </w:r>
      <w:r w:rsidR="002D60E6" w:rsidRPr="00DB37C9">
        <w:t>tarpeellisista lainsäädäntömuutoksista käsitellään</w:t>
      </w:r>
      <w:r w:rsidR="007318B6" w:rsidRPr="00DB37C9">
        <w:t xml:space="preserve"> aihepiireittäin</w:t>
      </w:r>
      <w:r w:rsidR="002D60E6" w:rsidRPr="00DB37C9">
        <w:t xml:space="preserve"> </w:t>
      </w:r>
      <w:r w:rsidR="007318B6" w:rsidRPr="00DB37C9">
        <w:t>mietinnön</w:t>
      </w:r>
      <w:r w:rsidR="002D60E6" w:rsidRPr="00DB37C9">
        <w:t xml:space="preserve"> luvuissa </w:t>
      </w:r>
      <w:r w:rsidR="007318B6" w:rsidRPr="00DB37C9">
        <w:t xml:space="preserve">[2-6]. Uutta päätöksentekomenettelyä koskevat keskeiset aihepiirit ovat: toimivaltainen viranomainen; tapauskohtaisen päätöksentekomenettelyn suhde ympäristölupaan; päätöksentekomenettely, mukaan lukien hakemuksen sisältövaatimukset, asianosaisuus ja osallistuminen, päätöksen sisältövaatimukset ja tavoiteajan asettaminen; päätöksen muuttaminen ja peruuttaminen; sekä muutoksenhaku. </w:t>
      </w:r>
    </w:p>
    <w:p w14:paraId="52A78A2F" w14:textId="24BED6D0" w:rsidR="006035C0" w:rsidRPr="00DB37C9" w:rsidRDefault="006035C0" w:rsidP="009A52AD">
      <w:pPr>
        <w:jc w:val="both"/>
      </w:pPr>
      <w:r w:rsidRPr="00DB37C9">
        <w:t>Työryhmä ehdotti uuden tapauskohtaisen päätöksentekomenettelyn kehittämisvaihtoehdossa toteutettavaksi ja ylläpidettäväksi uusi EEJ- ja sivutuotepäätöksiä koskeva</w:t>
      </w:r>
      <w:r w:rsidR="00111968">
        <w:t>a</w:t>
      </w:r>
      <w:r w:rsidRPr="00DB37C9">
        <w:t xml:space="preserve"> päätöstietokanta</w:t>
      </w:r>
      <w:r w:rsidR="00111968">
        <w:t>a</w:t>
      </w:r>
      <w:r w:rsidRPr="00DB37C9">
        <w:t xml:space="preserve">, jossa päätökset ovat julkisesti saatavilla. Mietinnön luvussa [x] arvioidaan päätöstietokannan ja sähköisen asioinnin kehittämisen mahdollisia vaihtoehtoja. </w:t>
      </w:r>
    </w:p>
    <w:p w14:paraId="37DBB16D" w14:textId="3C6FC4A3" w:rsidR="002F3014" w:rsidRDefault="002F3014" w:rsidP="009A52AD">
      <w:pPr>
        <w:jc w:val="both"/>
      </w:pPr>
      <w:r w:rsidRPr="00DB37C9">
        <w:lastRenderedPageBreak/>
        <w:t>Lisäksi työryhmäss</w:t>
      </w:r>
      <w:r w:rsidR="00111968">
        <w:t xml:space="preserve">ä on </w:t>
      </w:r>
      <w:r w:rsidRPr="00DB37C9">
        <w:t>erillisinä hankkeina selvitetty materiaalien riskien ja ympäristövaikutusten kehittämistä tapauskohtaisen päätöksenteon t</w:t>
      </w:r>
      <w:r w:rsidR="00111968">
        <w:t xml:space="preserve">ueksi sekä </w:t>
      </w:r>
      <w:r w:rsidRPr="00DB37C9">
        <w:t>jäte-, tuote</w:t>
      </w:r>
      <w:r w:rsidR="002F37C7">
        <w:t xml:space="preserve">- ja kemikaalisääntelyn rajapintoja, jotka tulee ottaa huomioon tapauskohtaisessa päätöksenteossa. </w:t>
      </w:r>
      <w:r w:rsidR="00520127">
        <w:t>Näiden s</w:t>
      </w:r>
      <w:r w:rsidRPr="00DB37C9">
        <w:t xml:space="preserve">elvitysten </w:t>
      </w:r>
      <w:r w:rsidR="00520127">
        <w:t xml:space="preserve">keskeinen sisältö </w:t>
      </w:r>
      <w:r w:rsidR="006035C0" w:rsidRPr="00DB37C9">
        <w:t xml:space="preserve">kuvataan mietinnön luvuissa [x] ja [x]. </w:t>
      </w:r>
    </w:p>
    <w:p w14:paraId="4AAD5D38" w14:textId="5364B30E" w:rsidR="00520127" w:rsidRPr="00DB37C9" w:rsidRDefault="00520127" w:rsidP="009A52AD">
      <w:pPr>
        <w:jc w:val="both"/>
      </w:pPr>
      <w:r>
        <w:t>Raportin liitteenä luonnoksia jätelain ja ympäristönsuojelulain säännösten muutoksista.</w:t>
      </w:r>
    </w:p>
    <w:p w14:paraId="09EF462D" w14:textId="77777777" w:rsidR="00520127" w:rsidRDefault="00520127" w:rsidP="009A52AD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sz w:val="28"/>
          <w:szCs w:val="28"/>
        </w:rPr>
        <w:br w:type="page"/>
      </w:r>
    </w:p>
    <w:p w14:paraId="163663D1" w14:textId="0038355A" w:rsidR="00DB37C9" w:rsidRPr="00111968" w:rsidRDefault="00ED287B" w:rsidP="009A52AD">
      <w:pPr>
        <w:pStyle w:val="Otsikko1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DB37C9">
        <w:rPr>
          <w:color w:val="auto"/>
          <w:sz w:val="28"/>
          <w:szCs w:val="28"/>
        </w:rPr>
        <w:lastRenderedPageBreak/>
        <w:t>Toimivaltainen viranomainen</w:t>
      </w:r>
    </w:p>
    <w:p w14:paraId="008A4071" w14:textId="1AE5547B" w:rsidR="00DB37C9" w:rsidRPr="00111968" w:rsidRDefault="00F545D4" w:rsidP="009A52AD">
      <w:pPr>
        <w:pStyle w:val="Otsikko2"/>
        <w:ind w:left="380"/>
        <w:jc w:val="both"/>
        <w:rPr>
          <w:color w:val="auto"/>
        </w:rPr>
      </w:pPr>
      <w:r w:rsidRPr="00DB37C9">
        <w:rPr>
          <w:color w:val="auto"/>
        </w:rPr>
        <w:t xml:space="preserve">2.1. Tausta </w:t>
      </w:r>
      <w:r w:rsidR="00EC3AEF" w:rsidRPr="00DB37C9">
        <w:rPr>
          <w:color w:val="auto"/>
        </w:rPr>
        <w:t>ja lähtökohdat</w:t>
      </w:r>
    </w:p>
    <w:p w14:paraId="378A90F7" w14:textId="5100909D" w:rsidR="006035C0" w:rsidRDefault="00B02510" w:rsidP="009A52AD">
      <w:pPr>
        <w:jc w:val="both"/>
      </w:pPr>
      <w:r w:rsidRPr="00DB37C9">
        <w:t xml:space="preserve">Työryhmän </w:t>
      </w:r>
      <w:r w:rsidR="006035C0" w:rsidRPr="00DB37C9">
        <w:t>tehtävänä oli</w:t>
      </w:r>
      <w:r w:rsidR="00B353E6" w:rsidRPr="00DB37C9">
        <w:t xml:space="preserve"> arvioida uuden menettelyn säätämisen yhteydessä </w:t>
      </w:r>
      <w:r w:rsidR="00111968">
        <w:t>UTU-</w:t>
      </w:r>
      <w:r w:rsidR="00B353E6" w:rsidRPr="00DB37C9">
        <w:t>päätöksenteon keskittämistä yhdelle valtion viranomaiselle</w:t>
      </w:r>
      <w:r w:rsidR="00111968">
        <w:t xml:space="preserve"> (UTU-viranomainen)</w:t>
      </w:r>
      <w:r w:rsidR="00B353E6" w:rsidRPr="00DB37C9">
        <w:t xml:space="preserve">. </w:t>
      </w:r>
    </w:p>
    <w:p w14:paraId="1DB8ABC8" w14:textId="7166B0EB" w:rsidR="00467EC3" w:rsidRPr="00DB37C9" w:rsidRDefault="0081161D" w:rsidP="00467EC3">
      <w:pPr>
        <w:pStyle w:val="Luettelokappale"/>
        <w:numPr>
          <w:ilvl w:val="0"/>
          <w:numId w:val="33"/>
        </w:numPr>
        <w:jc w:val="both"/>
      </w:pPr>
      <w:r>
        <w:t xml:space="preserve">tähän tiiviisti </w:t>
      </w:r>
      <w:r w:rsidR="00467EC3">
        <w:t>kyselyyn/muuhun dataan perustuva arvio UTU-päätösten määrästä ja niiden kehityksestä</w:t>
      </w:r>
      <w:r w:rsidR="0042289A">
        <w:t xml:space="preserve"> (kunnat, AVIt, ELY-lausunnot)</w:t>
      </w:r>
    </w:p>
    <w:p w14:paraId="6B263AC1" w14:textId="5B9AF5CA" w:rsidR="00DB37C9" w:rsidRPr="00DB37C9" w:rsidRDefault="00255A38" w:rsidP="009A52AD">
      <w:pPr>
        <w:jc w:val="both"/>
      </w:pPr>
      <w:r>
        <w:t>UTU-päätöksenteossa</w:t>
      </w:r>
      <w:r w:rsidR="006171F1">
        <w:t xml:space="preserve"> haastee</w:t>
      </w:r>
      <w:r w:rsidR="006035C0" w:rsidRPr="00DB37C9">
        <w:t xml:space="preserve">ksi on tunnistettu päätösharkinnan edellyttämä </w:t>
      </w:r>
      <w:r w:rsidR="006171F1">
        <w:t xml:space="preserve">monialainen </w:t>
      </w:r>
      <w:r w:rsidR="006035C0" w:rsidRPr="00DB37C9">
        <w:t>erityisasiant</w:t>
      </w:r>
      <w:r w:rsidR="006171F1">
        <w:t>untemus</w:t>
      </w:r>
      <w:r w:rsidR="006035C0" w:rsidRPr="00DB37C9">
        <w:t xml:space="preserve">. </w:t>
      </w:r>
      <w:r>
        <w:t xml:space="preserve">UTU-asioita tulee </w:t>
      </w:r>
      <w:r w:rsidR="00407597" w:rsidRPr="00DB37C9">
        <w:t xml:space="preserve">yksittäisen </w:t>
      </w:r>
      <w:r w:rsidR="006171F1">
        <w:t xml:space="preserve">valtion tai kunnan </w:t>
      </w:r>
      <w:r w:rsidR="00407597" w:rsidRPr="00DB37C9">
        <w:t xml:space="preserve">lupaviranomaisen ratkaistavaksi </w:t>
      </w:r>
      <w:r w:rsidR="00DB37C9" w:rsidRPr="00DB37C9">
        <w:t xml:space="preserve">verrattain </w:t>
      </w:r>
      <w:r w:rsidR="00407597" w:rsidRPr="00DB37C9">
        <w:t>harvoin,</w:t>
      </w:r>
      <w:r>
        <w:t xml:space="preserve"> jolloin rutiinia ei synny</w:t>
      </w:r>
      <w:r w:rsidR="00407597" w:rsidRPr="00DB37C9">
        <w:t>. Päätöksen</w:t>
      </w:r>
      <w:r>
        <w:t>teon hajaantuminen</w:t>
      </w:r>
      <w:r w:rsidR="00407597" w:rsidRPr="00DB37C9">
        <w:t xml:space="preserve"> johtaa siihen, että samaa tai samankaltaista materiaalia koskevat päätökset voivat poiketa toisistaan</w:t>
      </w:r>
      <w:r>
        <w:t xml:space="preserve"> merkittävästi.</w:t>
      </w:r>
      <w:r w:rsidR="006171F1">
        <w:t xml:space="preserve"> Tämä puolestaan</w:t>
      </w:r>
      <w:r w:rsidR="00474FC2">
        <w:t xml:space="preserve"> on</w:t>
      </w:r>
      <w:r w:rsidR="006171F1">
        <w:t xml:space="preserve"> ongelma</w:t>
      </w:r>
      <w:r w:rsidR="00407597" w:rsidRPr="00DB37C9">
        <w:t xml:space="preserve"> toiminnanharjoittajien yhdenvertaisen kohtelun näkökulmasta. </w:t>
      </w:r>
    </w:p>
    <w:p w14:paraId="3A0F5863" w14:textId="2FC11A82" w:rsidR="006035C0" w:rsidRPr="00DB37C9" w:rsidRDefault="006171F1" w:rsidP="009A52AD">
      <w:pPr>
        <w:jc w:val="both"/>
      </w:pPr>
      <w:r>
        <w:t xml:space="preserve">Näistä lähtökohdista on todennäköistä, että </w:t>
      </w:r>
      <w:r w:rsidR="00255A38">
        <w:t>UTU-</w:t>
      </w:r>
      <w:r w:rsidR="00DB37C9" w:rsidRPr="00DB37C9">
        <w:t>päät</w:t>
      </w:r>
      <w:r>
        <w:t>öksenteon keskittäminen</w:t>
      </w:r>
      <w:r w:rsidR="00DB37C9" w:rsidRPr="00DB37C9">
        <w:t xml:space="preserve"> yhdelle viranomaistaholle</w:t>
      </w:r>
      <w:r w:rsidR="00474FC2">
        <w:t xml:space="preserve"> mahdollistaa</w:t>
      </w:r>
      <w:r w:rsidR="00DB37C9" w:rsidRPr="00DB37C9">
        <w:t xml:space="preserve"> pää</w:t>
      </w:r>
      <w:r>
        <w:t>töksent</w:t>
      </w:r>
      <w:r w:rsidR="00474FC2">
        <w:t>eon rutinoitumisen, mikä lisää</w:t>
      </w:r>
      <w:r w:rsidR="00DB37C9" w:rsidRPr="00DB37C9">
        <w:t xml:space="preserve"> päätösten ennakoitavuutta ja yhdenmukaisuutta. Keskittämisen voidaan arvioida myös selkeyttävän päätöksentekomenettelyä nykytilaan verr</w:t>
      </w:r>
      <w:r>
        <w:t>attuna, mikä voi osaltaan rohkaista tekemään UTU-hakemuksia ja lisätä niiden määrää.</w:t>
      </w:r>
    </w:p>
    <w:p w14:paraId="37D2A97B" w14:textId="509DA966" w:rsidR="00286BF1" w:rsidRDefault="00605604" w:rsidP="009A52AD">
      <w:pPr>
        <w:jc w:val="both"/>
      </w:pPr>
      <w:r>
        <w:t>UTU-päätökset on keskitettävä</w:t>
      </w:r>
      <w:r w:rsidRPr="00605604">
        <w:rPr>
          <w:i/>
        </w:rPr>
        <w:t xml:space="preserve"> valtion</w:t>
      </w:r>
      <w:r>
        <w:t xml:space="preserve"> viranomaiselle</w:t>
      </w:r>
      <w:r w:rsidRPr="00605604">
        <w:t>, sillä päätösten vaikutukset ovat maanlaajuisia</w:t>
      </w:r>
      <w:r>
        <w:t>.</w:t>
      </w:r>
      <w:r w:rsidRPr="00605604">
        <w:t xml:space="preserve"> </w:t>
      </w:r>
      <w:r>
        <w:t xml:space="preserve">Muutoin </w:t>
      </w:r>
      <w:r w:rsidR="00255A38">
        <w:t>UTU-</w:t>
      </w:r>
      <w:r w:rsidR="00F545D4" w:rsidRPr="00DB37C9">
        <w:t xml:space="preserve">viranomaisen valintaan </w:t>
      </w:r>
      <w:r w:rsidR="00286BF1" w:rsidRPr="00DB37C9">
        <w:t>vaikuttaa</w:t>
      </w:r>
      <w:r w:rsidR="00F545D4" w:rsidRPr="00DB37C9">
        <w:t xml:space="preserve"> </w:t>
      </w:r>
      <w:r w:rsidR="00255A38">
        <w:t>etenkin pyrkimys viranomaisvoimavarojen ja UTU-asioiden asiantuntemuksen mahdollisimman tehokkaaseen käyttöön.</w:t>
      </w:r>
      <w:r>
        <w:t xml:space="preserve"> </w:t>
      </w:r>
      <w:r w:rsidR="00B058E2">
        <w:t xml:space="preserve">UTU-viranomaisen </w:t>
      </w:r>
      <w:r w:rsidR="00407597" w:rsidRPr="00DB37C9">
        <w:t>valinnassa on</w:t>
      </w:r>
      <w:r>
        <w:t xml:space="preserve"> samalla</w:t>
      </w:r>
      <w:r w:rsidR="00407597" w:rsidRPr="00DB37C9">
        <w:t xml:space="preserve"> varmistettava, että </w:t>
      </w:r>
      <w:r w:rsidR="00F545D4" w:rsidRPr="00DB37C9">
        <w:t xml:space="preserve">päätöksenteon resurssit </w:t>
      </w:r>
      <w:r>
        <w:t>lisääntyvät nykyiseen verrattuna</w:t>
      </w:r>
      <w:r w:rsidR="00474FC2">
        <w:t>.</w:t>
      </w:r>
      <w:r w:rsidR="00F545D4" w:rsidRPr="00DB37C9">
        <w:t xml:space="preserve"> Osaltaan keskittämisen mielekkyyteen vaikut</w:t>
      </w:r>
      <w:r w:rsidR="00B058E2">
        <w:t>taa se, miten UTU-</w:t>
      </w:r>
      <w:r w:rsidR="00F545D4" w:rsidRPr="00DB37C9">
        <w:t>hakemusten määrä tulevaisuudessa kehittyy. Mitä enemmän hakemuksia tulee käsiteltäväksi, sitä</w:t>
      </w:r>
      <w:r w:rsidR="006171F1">
        <w:t xml:space="preserve"> suurempi hyöty saadaan keskitetystä päätöksenteosta</w:t>
      </w:r>
      <w:r w:rsidR="00F545D4" w:rsidRPr="00DB37C9">
        <w:t>. Toimivaltaisen viranomaisen arvioinnissa ja valinnassa tulee ottaa huomioon myös nykyisten</w:t>
      </w:r>
      <w:r>
        <w:t xml:space="preserve"> viranomaistehtävien synergiaedut</w:t>
      </w:r>
      <w:r w:rsidR="00755FD6">
        <w:t xml:space="preserve"> suhteessa UTU-päätöksentekoon</w:t>
      </w:r>
      <w:r w:rsidR="00F545D4" w:rsidRPr="00DB37C9">
        <w:t>.</w:t>
      </w:r>
    </w:p>
    <w:p w14:paraId="19443989" w14:textId="7FD576F1" w:rsidR="00B04259" w:rsidRPr="00DB37C9" w:rsidRDefault="00385FDA" w:rsidP="009A52AD">
      <w:pPr>
        <w:jc w:val="both"/>
      </w:pPr>
      <w:r>
        <w:t xml:space="preserve">Aluehallintovirastojen ja ELY-keskusten </w:t>
      </w:r>
      <w:r w:rsidR="001C7D8C">
        <w:t xml:space="preserve">ympäristönsuojelua koskevat </w:t>
      </w:r>
      <w:r>
        <w:t>toiminnot saatetaan yhdistää lähivuosien aikana. Edusk</w:t>
      </w:r>
      <w:r w:rsidR="00A1213D">
        <w:t>unta</w:t>
      </w:r>
      <w:r>
        <w:t xml:space="preserve"> on viimeksi ympäristönsuojelulain muutoksen yhteydessä pitänyt tavoit</w:t>
      </w:r>
      <w:r w:rsidR="001C7D8C">
        <w:t>eltava</w:t>
      </w:r>
      <w:r w:rsidR="00755FD6">
        <w:t>na</w:t>
      </w:r>
      <w:r w:rsidR="001C7D8C">
        <w:t xml:space="preserve"> rakenteellisia</w:t>
      </w:r>
      <w:r w:rsidRPr="00385FDA">
        <w:t xml:space="preserve"> uudistuksi</w:t>
      </w:r>
      <w:r w:rsidR="001C7D8C">
        <w:t xml:space="preserve">a </w:t>
      </w:r>
      <w:r>
        <w:t>kohti</w:t>
      </w:r>
      <w:r w:rsidRPr="00385FDA">
        <w:t xml:space="preserve"> valt</w:t>
      </w:r>
      <w:r>
        <w:t>akunnallisen toimivallan omaavaa</w:t>
      </w:r>
      <w:r w:rsidR="001C7D8C">
        <w:t xml:space="preserve"> lupa</w:t>
      </w:r>
      <w:r w:rsidRPr="00385FDA">
        <w:t xml:space="preserve">, </w:t>
      </w:r>
      <w:r>
        <w:t>ohjaus- ja valvontaviranomaista</w:t>
      </w:r>
      <w:r w:rsidR="00A1213D">
        <w:t xml:space="preserve"> (YmVM 13/2022 vp)</w:t>
      </w:r>
      <w:r>
        <w:t xml:space="preserve">. </w:t>
      </w:r>
      <w:r w:rsidR="00A1213D">
        <w:t>Uudistuksen toteutuessa UTU-viranomaisen valinta aluehallintoviraston ja ELY-keskuksen välillä menettää merkityksensä, koska molemmissa tapauksissa UTU-päätökset tehtäisiin tulevaisuudessa yhdessä valtakunnallisessa viranomaisessa.</w:t>
      </w:r>
      <w:r w:rsidR="001C7D8C">
        <w:t xml:space="preserve"> Kyse olisi enää viraston sisällä toteuttavista järjestelyistä, joilla turvattaisiin UTU-asiantuntemuksen ja -asioiden käsittelyn keskittäminen ja riittävät resurssit. </w:t>
      </w:r>
      <w:r w:rsidR="00A1213D">
        <w:t xml:space="preserve">  </w:t>
      </w:r>
    </w:p>
    <w:p w14:paraId="19F2CFD6" w14:textId="5B03BF8C" w:rsidR="00DB37C9" w:rsidRPr="00B058E2" w:rsidRDefault="00F545D4" w:rsidP="009A52AD">
      <w:pPr>
        <w:pStyle w:val="Otsikko2"/>
        <w:ind w:left="380"/>
        <w:jc w:val="both"/>
        <w:rPr>
          <w:color w:val="auto"/>
        </w:rPr>
      </w:pPr>
      <w:r w:rsidRPr="00DB37C9">
        <w:rPr>
          <w:color w:val="auto"/>
        </w:rPr>
        <w:t>2.2. Vaihtoeh</w:t>
      </w:r>
      <w:r w:rsidR="00F9471A" w:rsidRPr="00DB37C9">
        <w:rPr>
          <w:color w:val="auto"/>
        </w:rPr>
        <w:t>dot ja niiden vertailu</w:t>
      </w:r>
    </w:p>
    <w:p w14:paraId="3BF5E6A3" w14:textId="2E4C8466" w:rsidR="007B7910" w:rsidRDefault="00605604" w:rsidP="009A52AD">
      <w:pPr>
        <w:jc w:val="both"/>
      </w:pPr>
      <w:r>
        <w:t>UTU-viranomaista valittaessa</w:t>
      </w:r>
      <w:r w:rsidR="00027C13">
        <w:t xml:space="preserve"> jätelain ja ympäristönsuojelulain mukaan toimivaltaiset </w:t>
      </w:r>
      <w:r w:rsidR="00D9474F">
        <w:t>viranomaiset</w:t>
      </w:r>
      <w:r w:rsidR="00027C13">
        <w:t xml:space="preserve"> ovat luonteva lähtökohta</w:t>
      </w:r>
      <w:r w:rsidR="00441BB5">
        <w:t xml:space="preserve">. </w:t>
      </w:r>
      <w:r w:rsidR="00E03E5D">
        <w:t>Viranomaisten nykyisten tehtävien ja UTU-päätöksessä vaadittavan asiantuntemuksen perusteella kyseeseen voi</w:t>
      </w:r>
      <w:r w:rsidR="005E31EF">
        <w:t>vat</w:t>
      </w:r>
      <w:r w:rsidR="00E03E5D">
        <w:t xml:space="preserve"> tulla lähinnä </w:t>
      </w:r>
      <w:r w:rsidR="007B7910" w:rsidRPr="00DB37C9">
        <w:t>aluehallintovirasto</w:t>
      </w:r>
      <w:r w:rsidR="005E31EF">
        <w:t xml:space="preserve"> (AVI), </w:t>
      </w:r>
      <w:r w:rsidR="007B7910" w:rsidRPr="00DB37C9">
        <w:t>elinkeino-, liikenne- ja ympäristökeskus (ELY-keskus) tai Suomen ympäristökeskus (SYKE).</w:t>
      </w:r>
      <w:r w:rsidR="00755FD6">
        <w:t xml:space="preserve"> Muista viranomaisista esimerkiksi TUKES ja Ruokavirasto valvovat tuotteita omalla toimialallaan ja Ruokavirasto tekee myös lannoitevalmisteiden hyväksyntää koskevia päätöksiä. Niillä ei kuitenkaan ole tuotteiden ympäristövaikutuksiin liittyvää asiantuntemusta tai toimivaltaa. Seuraavassa</w:t>
      </w:r>
      <w:r w:rsidR="00755FD6" w:rsidRPr="00755FD6">
        <w:t xml:space="preserve"> </w:t>
      </w:r>
      <w:r w:rsidR="00755FD6">
        <w:t xml:space="preserve">lähempi </w:t>
      </w:r>
      <w:r w:rsidR="00755FD6" w:rsidRPr="00755FD6">
        <w:t>tarkastelu</w:t>
      </w:r>
      <w:r w:rsidR="00755FD6">
        <w:t xml:space="preserve"> UTU-viranomaisen valinnassa kohdentuu aluehallintovirastoihin, ELY-keskuksiin ja Suomen ympäristökeskukseen. </w:t>
      </w:r>
      <w:r w:rsidR="00BF1B54" w:rsidRPr="00DB37C9">
        <w:t xml:space="preserve"> </w:t>
      </w:r>
    </w:p>
    <w:p w14:paraId="4F23B141" w14:textId="65A3795D" w:rsidR="009A52AD" w:rsidRDefault="005E31EF" w:rsidP="009A52AD">
      <w:pPr>
        <w:jc w:val="both"/>
      </w:pPr>
      <w:r>
        <w:t xml:space="preserve">Aluehallintoviranomaisten päätehtävä </w:t>
      </w:r>
      <w:r w:rsidR="000C6D40">
        <w:t xml:space="preserve">on toimia valtion ympäristölupaviranomaisena. Lisäksi se käsittelee toimivaltaansa kuuluvat ilmoituksenvaraista toimintaa koskevat asiat ja tukee kunnan ympäristönsuojeluviranomaisen toimintaa (YSL 21 §). ELY-keskus valvoo ympäristölupien ja lainsäädännön </w:t>
      </w:r>
      <w:r w:rsidR="000C6D40">
        <w:lastRenderedPageBreak/>
        <w:t xml:space="preserve">noudattamista valtion valvontaviranomaisena (YSL 23 §) ja toimii jätelain yleisenä valvontaviranomaisena (JL </w:t>
      </w:r>
      <w:r w:rsidR="00FB3A99">
        <w:t>24 §)</w:t>
      </w:r>
      <w:r w:rsidR="000C6D40">
        <w:t>.</w:t>
      </w:r>
      <w:r w:rsidR="00FB3A99">
        <w:t xml:space="preserve"> Suomen ympäristökeskus on ympäristönsuojelulain mukaan valvontaviranomainen ja asiantuntijaviranomainen </w:t>
      </w:r>
      <w:r w:rsidR="00DE207C">
        <w:t>siten kuin YSL 21 § 4 momentissa tarkemmin säädetään sekä</w:t>
      </w:r>
      <w:r w:rsidR="00FB3A99">
        <w:t xml:space="preserve"> jätelain</w:t>
      </w:r>
      <w:r w:rsidR="00DE207C">
        <w:t xml:space="preserve"> 22 ja §:n mukaan valvontaviranomainen kansainvälisissä jätesiirroissa.</w:t>
      </w:r>
      <w:r w:rsidR="00441BB5">
        <w:t xml:space="preserve"> </w:t>
      </w:r>
    </w:p>
    <w:p w14:paraId="6AB23B31" w14:textId="77777777" w:rsidR="00620D69" w:rsidRDefault="009A52AD" w:rsidP="009A52AD">
      <w:pPr>
        <w:jc w:val="both"/>
      </w:pPr>
      <w:r>
        <w:t>Voimassaolevan lainsäädännön mukaan ympäristölupaviranomainen (valtion tai kunnan) ratkaisee UTU-asian</w:t>
      </w:r>
      <w:r w:rsidR="000A3B8A">
        <w:t xml:space="preserve"> ympäristölupamenettelyssä</w:t>
      </w:r>
      <w:r>
        <w:t>.</w:t>
      </w:r>
      <w:r w:rsidR="00DE207C">
        <w:t xml:space="preserve"> </w:t>
      </w:r>
      <w:r>
        <w:t>Siten UTU-päätösten keskittäminen jollekin aluehallint</w:t>
      </w:r>
      <w:r w:rsidR="00620D69">
        <w:t xml:space="preserve">ovirastolle ei toisi </w:t>
      </w:r>
      <w:r>
        <w:t>viranomaiselle kokon</w:t>
      </w:r>
      <w:r w:rsidR="00620D69">
        <w:t>aan uutta tehtävää, vaan lisää</w:t>
      </w:r>
      <w:r w:rsidR="000A3B8A">
        <w:t xml:space="preserve"> työtä ennestään tutussa tehtävässä. ELY-keskukselle tehtä</w:t>
      </w:r>
      <w:r w:rsidR="00620D69">
        <w:t>vä olisi uusi, vaikka ne ovat</w:t>
      </w:r>
      <w:r w:rsidR="000A3B8A">
        <w:t xml:space="preserve"> osallistuneet y</w:t>
      </w:r>
      <w:r w:rsidR="00620D69">
        <w:t>mpäristölupamenettelyyn</w:t>
      </w:r>
      <w:r w:rsidR="000A3B8A">
        <w:t xml:space="preserve"> lausunnonantajina ja joi</w:t>
      </w:r>
      <w:r w:rsidR="00620D69">
        <w:t xml:space="preserve">ssain tapauksissa antaneet </w:t>
      </w:r>
      <w:r w:rsidR="000A3B8A">
        <w:t>toiminnanharjoittajille suullisia tai kirjallisia lausuntoja jätelain 5, 5a ja 5</w:t>
      </w:r>
      <w:r w:rsidR="00620D69">
        <w:t xml:space="preserve"> b §:n soveltamista koskevissa</w:t>
      </w:r>
      <w:r w:rsidR="000A3B8A">
        <w:t xml:space="preserve"> kysymyksissä. </w:t>
      </w:r>
      <w:r w:rsidR="00620D69">
        <w:t>Toisaalta j</w:t>
      </w:r>
      <w:r w:rsidR="009151E4">
        <w:t>ätelais</w:t>
      </w:r>
      <w:r w:rsidR="00620D69">
        <w:t xml:space="preserve">sa ELY-keskuksilla on </w:t>
      </w:r>
      <w:r w:rsidR="009151E4">
        <w:t>myös hallintopäätösten tekemiseen liittyvää toimivaltaa: ne hyväksyvät jätteen kuljettajat ja välittäjät jätehuoltorekisteriin</w:t>
      </w:r>
      <w:r w:rsidR="00620D69">
        <w:t xml:space="preserve"> (JL 11 luku). A</w:t>
      </w:r>
      <w:r w:rsidR="009151E4">
        <w:t xml:space="preserve">luehallintovirastolle ei </w:t>
      </w:r>
      <w:r w:rsidR="00620D69">
        <w:t xml:space="preserve">jätelaissa </w:t>
      </w:r>
      <w:r w:rsidR="009151E4">
        <w:t>säädetä muita tehtäviä kuin asiantuntiojatehtävä yhtenä valtion viranomaisena (JL 27 §).</w:t>
      </w:r>
      <w:r w:rsidR="00620D69">
        <w:t xml:space="preserve"> </w:t>
      </w:r>
    </w:p>
    <w:p w14:paraId="25FF4586" w14:textId="3BE8DBD5" w:rsidR="00F545D4" w:rsidRPr="00DB37C9" w:rsidRDefault="00620D69" w:rsidP="009A52AD">
      <w:pPr>
        <w:jc w:val="both"/>
      </w:pPr>
      <w:r>
        <w:t xml:space="preserve">Suomen ympäristökeskus on tutkimuslaitos, jolla on joitakin viranomaistehtäviä ja kansainvälisiin jätesiirtoihin liittyy toisinaan myös jätelain 5, 5a ja 5b §:n tulkintaa. Kuitenkin verrattuna aluehallintoviratoihin ja ELY-keskuksiin, UTU-päätösten keskitetty tekeminen olisi </w:t>
      </w:r>
      <w:r w:rsidR="00422C5C">
        <w:t xml:space="preserve">SYKE:lle merkittävä uusi tehtävä ja edellyttäisi uuden henkilöstön palkkaamista tehtävää hoitamaan. </w:t>
      </w:r>
      <w:r w:rsidR="009151E4">
        <w:t xml:space="preserve">   </w:t>
      </w:r>
      <w:r w:rsidR="000A3B8A">
        <w:t xml:space="preserve">    </w:t>
      </w:r>
      <w:r w:rsidR="00FB3A99">
        <w:t xml:space="preserve">  </w:t>
      </w:r>
      <w:r w:rsidR="000C6D40">
        <w:t xml:space="preserve"> </w:t>
      </w:r>
    </w:p>
    <w:p w14:paraId="3624989D" w14:textId="7349012D" w:rsidR="00F545D4" w:rsidRPr="00DB37C9" w:rsidRDefault="00F545D4" w:rsidP="009A52AD">
      <w:pPr>
        <w:pStyle w:val="Otsikko2"/>
        <w:numPr>
          <w:ilvl w:val="1"/>
          <w:numId w:val="22"/>
        </w:numPr>
        <w:jc w:val="both"/>
        <w:rPr>
          <w:color w:val="auto"/>
        </w:rPr>
      </w:pPr>
      <w:r w:rsidRPr="00DB37C9">
        <w:rPr>
          <w:color w:val="auto"/>
        </w:rPr>
        <w:t>Ehdotus</w:t>
      </w:r>
    </w:p>
    <w:p w14:paraId="7396F2A7" w14:textId="0B209FBC" w:rsidR="00F545D4" w:rsidRPr="00DB37C9" w:rsidRDefault="00B04259" w:rsidP="009A52AD">
      <w:pPr>
        <w:jc w:val="both"/>
      </w:pPr>
      <w:r>
        <w:t>Työryhmä ehdottaa UTU-viranomaiseksi yhtä aluehallintovirastoa</w:t>
      </w:r>
      <w:r w:rsidR="001C7D8C">
        <w:t xml:space="preserve"> tai yhtä ELY-keskusta, koska ne osallistuvat jo nyt UTU-päätöksentekoon osana ympäristölupien myöntämistä ja valvontaa. Suomen ympäristökeskukselle kyseessä olisi uusi tehtävä</w:t>
      </w:r>
      <w:r w:rsidR="00982771">
        <w:t>, jonka hoitamiseksi olisi palkattava uusia työntekijöitä</w:t>
      </w:r>
      <w:r w:rsidR="001C7D8C">
        <w:t>. Jos UTU-hakemusten määrä ei kasva nykyisestä merkit</w:t>
      </w:r>
      <w:r w:rsidR="00982771">
        <w:t>tävästi, UTU-päätösten ohjaaminen</w:t>
      </w:r>
      <w:r w:rsidR="001C7D8C">
        <w:t xml:space="preserve"> Suomen ympäristökeskukselle johtaisi todennäköisesti resurssien</w:t>
      </w:r>
      <w:r w:rsidR="00982771">
        <w:t xml:space="preserve"> tehottomaan käyttöön. UTU-tehtäviin palkatuilla henkilöillä ei olisi jatkuvasti töitä UTU-päätösten kanssa ja heidän ohjaamisensa muihin tehtäviin laitoksen sisällä olisi vaikeaa.</w:t>
      </w:r>
      <w:r w:rsidR="00DB6DEB" w:rsidRPr="00DB6DEB">
        <w:t xml:space="preserve"> Vastaavasti suhteellisen pienetkin muutokset ja poissaolot UTU-päätöksiä tekevässä henkilöstössä voisivat johtaa UTU-asioiden käsittelyn ruuhkautumiseen.  </w:t>
      </w:r>
      <w:r w:rsidR="00982771">
        <w:t>Sen sijaan aluehallintovira</w:t>
      </w:r>
      <w:r w:rsidR="00027C13">
        <w:t>s</w:t>
      </w:r>
      <w:r w:rsidR="00982771">
        <w:t xml:space="preserve">tossa ja ELY-keskuksessa UTU-päätöksiin erikoistuneet henkilöt voidaan nykyisten työtehtäviensä ja kokemuksensa johdosta helposti ohjata ympäristölupien käsittelyyn tai valvontaan tilanteissa, joissa vireillä olevia UTU-asioita on vähän.   </w:t>
      </w:r>
      <w:r w:rsidR="001C7D8C">
        <w:t xml:space="preserve"> </w:t>
      </w:r>
    </w:p>
    <w:p w14:paraId="776B67BC" w14:textId="18159468" w:rsidR="00B74840" w:rsidRPr="00DB37C9" w:rsidRDefault="006A7A5B" w:rsidP="009A52AD">
      <w:pPr>
        <w:pStyle w:val="Otsikko1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UTU-</w:t>
      </w:r>
      <w:r w:rsidR="00AD0531" w:rsidRPr="00DB37C9">
        <w:rPr>
          <w:color w:val="auto"/>
          <w:sz w:val="28"/>
          <w:szCs w:val="28"/>
        </w:rPr>
        <w:t xml:space="preserve">menettelyn suhde ympäristölupaan </w:t>
      </w:r>
    </w:p>
    <w:p w14:paraId="4A3EFB99" w14:textId="4D0A091F" w:rsidR="002F3BC1" w:rsidRPr="00376988" w:rsidRDefault="00F545D4" w:rsidP="00376988">
      <w:pPr>
        <w:pStyle w:val="Otsikko2"/>
        <w:ind w:firstLine="380"/>
        <w:jc w:val="both"/>
        <w:rPr>
          <w:color w:val="auto"/>
        </w:rPr>
      </w:pPr>
      <w:r w:rsidRPr="00DB37C9">
        <w:rPr>
          <w:color w:val="auto"/>
        </w:rPr>
        <w:t xml:space="preserve">3.1. </w:t>
      </w:r>
      <w:r w:rsidR="00757BC7">
        <w:rPr>
          <w:color w:val="auto"/>
        </w:rPr>
        <w:t>Keskeiset kysymykset ja haasteet menettelyiden yhteensovittamisessa</w:t>
      </w:r>
    </w:p>
    <w:p w14:paraId="74628528" w14:textId="261269D0" w:rsidR="003C31AD" w:rsidRDefault="006A7A5B" w:rsidP="009A52AD">
      <w:pPr>
        <w:jc w:val="both"/>
      </w:pPr>
      <w:r w:rsidRPr="006A7A5B">
        <w:t>Jätteen ammattimainen tai laitosmai</w:t>
      </w:r>
      <w:r>
        <w:t>nen käsittely on ympäristöluvan</w:t>
      </w:r>
      <w:r w:rsidRPr="006A7A5B">
        <w:t>varaista toimintaa</w:t>
      </w:r>
      <w:r>
        <w:t xml:space="preserve"> </w:t>
      </w:r>
      <w:r w:rsidR="00F414AD">
        <w:t>ja materiaalille UTU-päätöstä</w:t>
      </w:r>
      <w:r w:rsidRPr="006A7A5B">
        <w:t xml:space="preserve"> hakevalla toiminnanharjoittajalla on läh</w:t>
      </w:r>
      <w:r w:rsidR="00F414AD">
        <w:t>es poikkeuksetta ympäristölupa.</w:t>
      </w:r>
      <w:r w:rsidRPr="006A7A5B">
        <w:t xml:space="preserve"> </w:t>
      </w:r>
      <w:r>
        <w:t>UTU-</w:t>
      </w:r>
      <w:r w:rsidR="002F3BC1" w:rsidRPr="00DB37C9">
        <w:t>menettely</w:t>
      </w:r>
      <w:r w:rsidR="00343DDE">
        <w:t>n</w:t>
      </w:r>
      <w:r w:rsidR="002F3BC1" w:rsidRPr="00DB37C9">
        <w:t xml:space="preserve"> kehittämisessä keskei</w:t>
      </w:r>
      <w:r w:rsidR="00343DDE">
        <w:t>nen</w:t>
      </w:r>
      <w:r w:rsidR="002F3BC1" w:rsidRPr="00DB37C9">
        <w:t xml:space="preserve"> haaste</w:t>
      </w:r>
      <w:r>
        <w:t xml:space="preserve"> </w:t>
      </w:r>
      <w:r w:rsidR="00343DDE">
        <w:t>on</w:t>
      </w:r>
      <w:r>
        <w:t>kin</w:t>
      </w:r>
      <w:r w:rsidR="002F3BC1" w:rsidRPr="00DB37C9">
        <w:t xml:space="preserve"> </w:t>
      </w:r>
      <w:r w:rsidR="00343DDE">
        <w:t>sen</w:t>
      </w:r>
      <w:r w:rsidR="002F3BC1" w:rsidRPr="00DB37C9">
        <w:t xml:space="preserve"> yhteensovittami</w:t>
      </w:r>
      <w:r w:rsidR="00343DDE">
        <w:t>n</w:t>
      </w:r>
      <w:r w:rsidR="002F3BC1" w:rsidRPr="00DB37C9">
        <w:t xml:space="preserve">en </w:t>
      </w:r>
      <w:r w:rsidR="00343DDE">
        <w:t xml:space="preserve">toiminnan </w:t>
      </w:r>
      <w:r>
        <w:t>ympäristölupaharkinnan ja -menettelyn</w:t>
      </w:r>
      <w:r w:rsidR="00343DDE">
        <w:t xml:space="preserve"> kanssa. </w:t>
      </w:r>
      <w:r w:rsidR="000F06CF">
        <w:t>Y</w:t>
      </w:r>
      <w:r w:rsidR="002F3BC1" w:rsidRPr="00DB37C9">
        <w:t>h</w:t>
      </w:r>
      <w:r w:rsidR="00957DD7">
        <w:t xml:space="preserve">teensovittaminen on </w:t>
      </w:r>
      <w:r w:rsidR="002F3BC1" w:rsidRPr="00DB37C9">
        <w:t>hankal</w:t>
      </w:r>
      <w:r w:rsidR="00957DD7">
        <w:t>aa</w:t>
      </w:r>
      <w:r w:rsidR="002F3BC1" w:rsidRPr="00DB37C9">
        <w:t xml:space="preserve"> erityisesti</w:t>
      </w:r>
      <w:r w:rsidR="00B43DD4">
        <w:t xml:space="preserve"> </w:t>
      </w:r>
      <w:r>
        <w:t>hankkeissa, joissa UTU-</w:t>
      </w:r>
      <w:r w:rsidR="002F3BC1" w:rsidRPr="00DB37C9">
        <w:t>päätökse</w:t>
      </w:r>
      <w:r w:rsidR="00C314CC">
        <w:t>llä</w:t>
      </w:r>
      <w:r w:rsidR="002F3BC1" w:rsidRPr="00DB37C9">
        <w:t xml:space="preserve"> on </w:t>
      </w:r>
      <w:r w:rsidR="00C314CC">
        <w:t xml:space="preserve">olennainen </w:t>
      </w:r>
      <w:r w:rsidR="008F1DF3" w:rsidRPr="00DB37C9">
        <w:t>sisällöllinen yhteys toiminnan ympäristölu</w:t>
      </w:r>
      <w:r w:rsidR="00C314CC">
        <w:t>paharkintaan</w:t>
      </w:r>
      <w:r w:rsidR="00102CA8" w:rsidRPr="00DB37C9">
        <w:t>,</w:t>
      </w:r>
      <w:r w:rsidR="00376988">
        <w:t xml:space="preserve"> kuten </w:t>
      </w:r>
      <w:r w:rsidR="00102CA8" w:rsidRPr="00DB37C9">
        <w:t xml:space="preserve">luvanvaraisuuden </w:t>
      </w:r>
      <w:r w:rsidR="000F06CF">
        <w:t>perusteen määrittä</w:t>
      </w:r>
      <w:r w:rsidR="00957DD7">
        <w:t>miseen</w:t>
      </w:r>
      <w:r w:rsidR="008F1DF3" w:rsidRPr="00DB37C9">
        <w:t xml:space="preserve"> ja</w:t>
      </w:r>
      <w:r w:rsidR="00957DD7">
        <w:t xml:space="preserve"> sitä kautta</w:t>
      </w:r>
      <w:r w:rsidR="008F1DF3" w:rsidRPr="00DB37C9">
        <w:t xml:space="preserve"> ympäristöluvan sisältöön</w:t>
      </w:r>
      <w:r w:rsidR="00102CA8" w:rsidRPr="00DB37C9">
        <w:t>.</w:t>
      </w:r>
      <w:r w:rsidR="002F3BC1" w:rsidRPr="00DB37C9">
        <w:t xml:space="preserve"> </w:t>
      </w:r>
      <w:r w:rsidR="00574F10">
        <w:t xml:space="preserve">Tavoitteena on, että </w:t>
      </w:r>
      <w:r w:rsidR="007B5A5D">
        <w:t>UTU-</w:t>
      </w:r>
      <w:r w:rsidR="000F06CF">
        <w:t>menettely</w:t>
      </w:r>
      <w:r w:rsidR="007B5A5D" w:rsidRPr="007B5A5D">
        <w:t xml:space="preserve"> </w:t>
      </w:r>
      <w:r w:rsidR="007B5A5D">
        <w:t xml:space="preserve">ei </w:t>
      </w:r>
      <w:r w:rsidR="007B5A5D" w:rsidRPr="007B5A5D">
        <w:t>tarpeettomasti</w:t>
      </w:r>
      <w:r w:rsidR="000F06CF">
        <w:t xml:space="preserve"> hankaloita</w:t>
      </w:r>
      <w:r w:rsidR="007B5A5D" w:rsidRPr="007B5A5D">
        <w:t xml:space="preserve"> muita </w:t>
      </w:r>
      <w:r w:rsidR="007B5A5D">
        <w:t>viranomais</w:t>
      </w:r>
      <w:r w:rsidR="007B5A5D" w:rsidRPr="007B5A5D">
        <w:t>menettelyitä.</w:t>
      </w:r>
    </w:p>
    <w:p w14:paraId="2035B86C" w14:textId="0E33C4B0" w:rsidR="00F414AD" w:rsidRDefault="00F414AD" w:rsidP="009A52AD">
      <w:pPr>
        <w:jc w:val="both"/>
      </w:pPr>
      <w:r>
        <w:t>Työryhmän väliraportissa asetettujen tavoitteiden mukaan UTU-menettelyn suhteen ympäristölupaan tulee olla mahdollisimman selkeä ja sujuva sekä viranomaisen että toiminnanharjoittajan näkökulmasta.</w:t>
      </w:r>
      <w:r w:rsidR="005215F3" w:rsidRPr="005215F3">
        <w:t xml:space="preserve"> </w:t>
      </w:r>
      <w:r w:rsidR="00C8691B">
        <w:t>UTU-</w:t>
      </w:r>
      <w:r>
        <w:t xml:space="preserve">menettelyssä toiminnanharjoittajan tulisi saada </w:t>
      </w:r>
      <w:r w:rsidRPr="00DB37C9">
        <w:t>yhden luukun periaatteen mukaisesti koordinoidusti ennakkoneuvontaa j</w:t>
      </w:r>
      <w:r w:rsidR="00957DD7">
        <w:t>a hakemuksen vireillepanon tulisi</w:t>
      </w:r>
      <w:r w:rsidRPr="00DB37C9">
        <w:t xml:space="preserve"> olla toiminn</w:t>
      </w:r>
      <w:r w:rsidR="00957DD7">
        <w:t xml:space="preserve">anharjoittajalle </w:t>
      </w:r>
      <w:r w:rsidRPr="00DB37C9">
        <w:t xml:space="preserve">yksinkertaista. </w:t>
      </w:r>
      <w:r w:rsidR="00467FC2" w:rsidRPr="00467FC2">
        <w:t xml:space="preserve">UTU-päätöksen tarve voi myös nousta esiin vasta laitoksen ympäristölupaharkinnan yhteydessä. </w:t>
      </w:r>
      <w:r w:rsidR="00957DD7">
        <w:t>Työryhmässä on tunnistettu, että UTU-</w:t>
      </w:r>
      <w:r>
        <w:t>päätöksente</w:t>
      </w:r>
      <w:r w:rsidR="00957DD7">
        <w:t>on</w:t>
      </w:r>
      <w:r>
        <w:t xml:space="preserve"> </w:t>
      </w:r>
      <w:r w:rsidR="00957DD7">
        <w:t>ja ympäristölupaprosessin</w:t>
      </w:r>
      <w:r>
        <w:t xml:space="preserve"> erillisyys </w:t>
      </w:r>
      <w:r>
        <w:lastRenderedPageBreak/>
        <w:t xml:space="preserve">ei välttämättä kaikissa tapauksissa </w:t>
      </w:r>
      <w:r w:rsidR="00957DD7">
        <w:t>sujuvoita</w:t>
      </w:r>
      <w:r>
        <w:t>, va</w:t>
      </w:r>
      <w:r w:rsidR="00957DD7">
        <w:t xml:space="preserve">an voi </w:t>
      </w:r>
      <w:r w:rsidR="009D0647">
        <w:t xml:space="preserve">pahimmillaan </w:t>
      </w:r>
      <w:r w:rsidR="00236B06">
        <w:t>jopa mutkistaa ja viivästyttää</w:t>
      </w:r>
      <w:r w:rsidR="00957DD7">
        <w:t xml:space="preserve"> päätöksentekoa</w:t>
      </w:r>
      <w:r>
        <w:t xml:space="preserve"> nykytilanteeseen nähden.</w:t>
      </w:r>
      <w:r w:rsidR="005215F3">
        <w:t xml:space="preserve"> Päätöksentekotilanteet ovat UTU-asioissa erilaisia ja uutta UTU-menettelyä luotaessa tilanteiden erilaisuus voidaan ottaa huomioon.</w:t>
      </w:r>
      <w:r>
        <w:t xml:space="preserve"> </w:t>
      </w:r>
    </w:p>
    <w:p w14:paraId="7F3D1BA2" w14:textId="1AEC7E0F" w:rsidR="005215F3" w:rsidRDefault="00957DD7" w:rsidP="009A52AD">
      <w:pPr>
        <w:jc w:val="both"/>
      </w:pPr>
      <w:r>
        <w:t>UTU-</w:t>
      </w:r>
      <w:r w:rsidR="00EE3B92">
        <w:t>menettelyn selkeyden ja sujuvuuden</w:t>
      </w:r>
      <w:r w:rsidR="00757BC7">
        <w:t xml:space="preserve"> </w:t>
      </w:r>
      <w:r w:rsidR="00EE3B92">
        <w:t>kannalta keskeinen merkitys</w:t>
      </w:r>
      <w:r w:rsidR="00757BC7">
        <w:t xml:space="preserve"> on sillä, liittyykö </w:t>
      </w:r>
      <w:r w:rsidR="007B78FE">
        <w:t>UTU-</w:t>
      </w:r>
      <w:r w:rsidR="00FF63B4">
        <w:t xml:space="preserve">asia </w:t>
      </w:r>
      <w:r w:rsidR="00757BC7">
        <w:t>laajempaan hankekokonaisu</w:t>
      </w:r>
      <w:r w:rsidR="00EE3B92">
        <w:t>uteen</w:t>
      </w:r>
      <w:r w:rsidR="00DE0B55">
        <w:t>,</w:t>
      </w:r>
      <w:r w:rsidR="00EE3B92">
        <w:t xml:space="preserve"> vai onko kyseessä vain UTU-asiaa koskeva päätös</w:t>
      </w:r>
      <w:r w:rsidR="00757BC7">
        <w:t xml:space="preserve">. </w:t>
      </w:r>
      <w:r w:rsidR="00EE3B92">
        <w:t>Jälkimmäisessä tapauksessa UTU-asia etenee mutkitta u</w:t>
      </w:r>
      <w:r w:rsidR="00DE0B55">
        <w:t xml:space="preserve">udessa </w:t>
      </w:r>
      <w:r w:rsidR="00EE3B92">
        <w:t xml:space="preserve">erillisessä </w:t>
      </w:r>
      <w:r w:rsidR="00DE0B55">
        <w:t>UTU-</w:t>
      </w:r>
      <w:r w:rsidR="00EE3B92">
        <w:t>menettelyssä. Käytännössä tällöin on kyse siitä, että toiminnanharjoittaja haluaa tuotteistaa omassa tuotannossaan syntyvän jätteen tai toiselta toiminnanharjoittajalta vastaanottamansa j</w:t>
      </w:r>
      <w:r w:rsidR="00DE0B55">
        <w:t>a käsittelemänsä jätteen. T</w:t>
      </w:r>
      <w:r w:rsidR="00EE3B92">
        <w:t>uotteistamispr</w:t>
      </w:r>
      <w:r w:rsidR="00370E3E">
        <w:t>osessi</w:t>
      </w:r>
      <w:r w:rsidR="00DE0B55">
        <w:t>a ei yleensä ole tarvetta käsitellä</w:t>
      </w:r>
      <w:r w:rsidR="00EE3B92">
        <w:t xml:space="preserve"> </w:t>
      </w:r>
      <w:r w:rsidR="00DE0B55">
        <w:t>laitoksen lupa-asiana</w:t>
      </w:r>
      <w:r w:rsidR="00370E3E">
        <w:t>, ellei siihen sisälly</w:t>
      </w:r>
      <w:r w:rsidR="000F06CF" w:rsidRPr="000F06CF">
        <w:t xml:space="preserve"> prosessin muutos</w:t>
      </w:r>
      <w:r w:rsidR="000F06CF">
        <w:t xml:space="preserve"> tai</w:t>
      </w:r>
      <w:r w:rsidR="00370E3E">
        <w:t xml:space="preserve"> jonkin uuden aineen tai jätteen käsittely tavalla, joka vaikuttaa laitoksen päästöihin</w:t>
      </w:r>
      <w:r w:rsidR="005215F3">
        <w:t xml:space="preserve"> ja sen aiheuttamaan pilaantumisen vaaraan</w:t>
      </w:r>
      <w:r w:rsidR="00370E3E">
        <w:t>.</w:t>
      </w:r>
      <w:r w:rsidR="002317A8">
        <w:t xml:space="preserve"> </w:t>
      </w:r>
    </w:p>
    <w:p w14:paraId="621B75DE" w14:textId="24331EAE" w:rsidR="000E2BE1" w:rsidRDefault="00370E3E" w:rsidP="009A52AD">
      <w:pPr>
        <w:jc w:val="both"/>
      </w:pPr>
      <w:r>
        <w:t>Kokonaan uusi</w:t>
      </w:r>
      <w:r w:rsidR="007B78FE">
        <w:t xml:space="preserve"> hanke</w:t>
      </w:r>
      <w:r>
        <w:t xml:space="preserve"> tai jo ympäristöluvan omaavan hankke</w:t>
      </w:r>
      <w:r w:rsidR="000E2BE1">
        <w:t>en olennainen muuttaminen</w:t>
      </w:r>
      <w:r>
        <w:t xml:space="preserve"> edellyttää ympäristölupaa (YSL 29 §). </w:t>
      </w:r>
      <w:r w:rsidR="00611925">
        <w:t xml:space="preserve">Jos </w:t>
      </w:r>
      <w:r w:rsidR="00B520C6">
        <w:t xml:space="preserve">tällainen laajempi </w:t>
      </w:r>
      <w:r w:rsidR="00611925">
        <w:t xml:space="preserve">hanke sisältää myös UTU-asian, </w:t>
      </w:r>
      <w:r w:rsidR="000E2BE1">
        <w:t>UTU-menettelyn</w:t>
      </w:r>
      <w:r w:rsidR="00B520C6">
        <w:t xml:space="preserve"> erottaminen </w:t>
      </w:r>
      <w:r w:rsidR="000E2BE1">
        <w:t>laissa omaksi menettelykseen</w:t>
      </w:r>
      <w:r w:rsidR="00B520C6">
        <w:t xml:space="preserve"> tarkoittaisi kahta erillistä päätösprosessia, j</w:t>
      </w:r>
      <w:r w:rsidR="000E2BE1">
        <w:t xml:space="preserve">oissa molemmissa </w:t>
      </w:r>
      <w:r w:rsidR="00DE0B55">
        <w:t xml:space="preserve">on turvattava muutoksenhakuoikeus </w:t>
      </w:r>
      <w:r w:rsidR="00B520C6">
        <w:t>asianosaisille ja yleistä etua valvoville viranomaisille.</w:t>
      </w:r>
      <w:r w:rsidR="00DE5390">
        <w:t xml:space="preserve"> </w:t>
      </w:r>
      <w:r w:rsidR="000E2BE1">
        <w:t>Koska laitoksen ympäristölupa on käsiteltävä ympäristönsuojelulain mukaisessa lupamenettelyssä, UTU-asian mahdollisesti selvästikin nopeampi käsittely erillisessä menettelyssä ei toiminnanharjo</w:t>
      </w:r>
      <w:r w:rsidR="003D2C19">
        <w:t xml:space="preserve">ittajan näkökulmasta tuo </w:t>
      </w:r>
      <w:r w:rsidR="000E2BE1">
        <w:t xml:space="preserve">etua, koska </w:t>
      </w:r>
      <w:r w:rsidR="009C47FB">
        <w:t xml:space="preserve">uuden tai muutetun </w:t>
      </w:r>
      <w:r w:rsidR="000E2BE1">
        <w:t>toiminnan laillisuus ratkaistaan kuitenkin lopullisest</w:t>
      </w:r>
      <w:r w:rsidR="009C47FB">
        <w:t xml:space="preserve">i </w:t>
      </w:r>
      <w:r w:rsidR="00DE0B55">
        <w:t>vasta ympäristölupapäätöksessä.</w:t>
      </w:r>
      <w:r w:rsidR="000E2BE1">
        <w:t xml:space="preserve"> </w:t>
      </w:r>
      <w:r w:rsidR="00E30D7B">
        <w:t>Ja jos y</w:t>
      </w:r>
      <w:r w:rsidR="00E30D7B" w:rsidRPr="00E30D7B">
        <w:t xml:space="preserve">mpäristölupa-asian ratkaiseminen edellyttäisi </w:t>
      </w:r>
      <w:r w:rsidR="00E30D7B">
        <w:t>lainvoimaista UTU-</w:t>
      </w:r>
      <w:r w:rsidR="00E30D7B" w:rsidRPr="00E30D7B">
        <w:t>päätöstä,</w:t>
      </w:r>
      <w:r w:rsidR="00E30D7B">
        <w:t xml:space="preserve"> sen odottaminen voi viivästyttää</w:t>
      </w:r>
      <w:r w:rsidR="00E30D7B" w:rsidRPr="00E30D7B">
        <w:t xml:space="preserve"> ympäristölupa-</w:t>
      </w:r>
      <w:r w:rsidR="00E30D7B">
        <w:t>asian käsittelyä.</w:t>
      </w:r>
    </w:p>
    <w:p w14:paraId="797FD588" w14:textId="3B7CC593" w:rsidR="003C31AD" w:rsidRDefault="00800DD8" w:rsidP="003D2C19">
      <w:pPr>
        <w:jc w:val="both"/>
      </w:pPr>
      <w:r>
        <w:t>On hankala määrittää yksiselitteisesti, milloin UTU-päätöksellä on olennainen tai merkittävä yhteys ympäristölupaharkintaan.</w:t>
      </w:r>
      <w:r w:rsidR="0037219B">
        <w:t xml:space="preserve"> </w:t>
      </w:r>
      <w:r>
        <w:t>Kuitenkin t</w:t>
      </w:r>
      <w:r w:rsidR="006718AF">
        <w:t>oiminnassa syntyvän tai siinä käsiteltävän materiaalin jäteluonne voi</w:t>
      </w:r>
      <w:r w:rsidR="003D2C19">
        <w:t xml:space="preserve"> vaikuttaa keskeisesti harkintaan siitä, mitä sää</w:t>
      </w:r>
      <w:r w:rsidR="006718AF">
        <w:t>n</w:t>
      </w:r>
      <w:r w:rsidR="003D2C19">
        <w:t xml:space="preserve">telyä </w:t>
      </w:r>
      <w:r w:rsidR="006718AF">
        <w:t xml:space="preserve">toiminnan lupaharkintaan ja –päätökseen </w:t>
      </w:r>
      <w:r w:rsidR="003D2C19">
        <w:t>mil</w:t>
      </w:r>
      <w:r w:rsidR="006718AF">
        <w:t>täkin osin sovelletaan, mitä päästöraja-arvoja</w:t>
      </w:r>
      <w:r w:rsidR="003D2C19">
        <w:t xml:space="preserve"> ja</w:t>
      </w:r>
      <w:r w:rsidR="006718AF">
        <w:t xml:space="preserve"> tarkkailua koskevia määräyksiä annetaan, jne. Esimerkiksi</w:t>
      </w:r>
      <w:r w:rsidR="003D2C19">
        <w:t xml:space="preserve"> pyrolyysi</w:t>
      </w:r>
      <w:r w:rsidR="006718AF">
        <w:t>ssä/muovin kemiallisessa kierrätyksessä prosessissa</w:t>
      </w:r>
      <w:r w:rsidR="000F06CF" w:rsidRPr="000F06CF">
        <w:t xml:space="preserve"> syntyvän poltettavan kaasun</w:t>
      </w:r>
      <w:r w:rsidR="006718AF">
        <w:t xml:space="preserve"> jäteluonne vaikuttaa siihen, </w:t>
      </w:r>
      <w:r w:rsidR="003D2C19">
        <w:t>sovelletaanko</w:t>
      </w:r>
      <w:r w:rsidR="006718AF">
        <w:t xml:space="preserve"> toimintaan</w:t>
      </w:r>
      <w:r w:rsidR="003D2C19">
        <w:t xml:space="preserve"> jätteenpol</w:t>
      </w:r>
      <w:r w:rsidR="00FA6221">
        <w:t>ttoasetusta vai ei</w:t>
      </w:r>
      <w:r w:rsidR="003D2C19">
        <w:t>.</w:t>
      </w:r>
      <w:r w:rsidR="00FA6221">
        <w:t xml:space="preserve"> Samoin ympäristönsuojelulain 59 §:n mukaista vakuutta sovelletaan vain jätteen käsittelyyn tai toimintaan, jossa syntyy merkittäviä määriä jätteitä. Toiminnassa käsiteltävien materiaalien jäteluonne voi vaikuttaa myös ympäristövaikutusten ar</w:t>
      </w:r>
      <w:r w:rsidR="006C6990">
        <w:t>viointimenettelyn soveltamiseen lähinnä silloin, ku</w:t>
      </w:r>
      <w:r w:rsidR="00475F10">
        <w:t xml:space="preserve">n jäteluonne johtaa </w:t>
      </w:r>
      <w:r w:rsidR="006C6990">
        <w:t>YVA-lain (252/2017) liitteen 1 hankeluettelon kohdassa 11 (jätehuolto) tarkoite</w:t>
      </w:r>
      <w:r w:rsidR="00475F10">
        <w:t>tun kynnyksen ylittymiseen</w:t>
      </w:r>
      <w:r w:rsidR="006C6990">
        <w:t xml:space="preserve">.  </w:t>
      </w:r>
      <w:r w:rsidR="00FA6221">
        <w:t xml:space="preserve">  </w:t>
      </w:r>
      <w:r w:rsidR="003D2C19">
        <w:t xml:space="preserve">  </w:t>
      </w:r>
      <w:r w:rsidR="00757BC7">
        <w:t xml:space="preserve"> </w:t>
      </w:r>
    </w:p>
    <w:p w14:paraId="4CB78F10" w14:textId="2C46283C" w:rsidR="000F06CF" w:rsidRDefault="00E30D7B" w:rsidP="009A52AD">
      <w:pPr>
        <w:jc w:val="both"/>
      </w:pPr>
      <w:r>
        <w:t>Kaiken kaikkiaan t</w:t>
      </w:r>
      <w:r w:rsidR="00F9471A" w:rsidRPr="00DB37C9">
        <w:t>yöryhmässä on pidetty harvinaisena tilanteita, joissa ympäristölup</w:t>
      </w:r>
      <w:r>
        <w:t>apäätöstä ei voitaisi tehdä, koska toimintaan</w:t>
      </w:r>
      <w:r w:rsidR="00F9471A" w:rsidRPr="00DB37C9">
        <w:t xml:space="preserve"> lii</w:t>
      </w:r>
      <w:r>
        <w:t>ttyvää UTU-asiaa</w:t>
      </w:r>
      <w:r w:rsidR="00BD6CFA" w:rsidRPr="00DB37C9">
        <w:t xml:space="preserve"> ei ole ratkaistu.</w:t>
      </w:r>
      <w:r>
        <w:t xml:space="preserve"> </w:t>
      </w:r>
      <w:r w:rsidR="00AF6881">
        <w:t>Usein</w:t>
      </w:r>
      <w:r w:rsidR="00AF6881" w:rsidRPr="00AF6881">
        <w:t xml:space="preserve"> asiakokonaisuudet ovat luonteeltaan sellaisia, että UTU-asia olisi käsiteltävis</w:t>
      </w:r>
      <w:r w:rsidR="00AF6881">
        <w:t xml:space="preserve">sä erikseen taikka UTU-statusta </w:t>
      </w:r>
      <w:r w:rsidR="00584D51">
        <w:t xml:space="preserve">haetaan jo toiminnassa olevalle laitoksella syntyvälle sivuvirralle (sivutuote) tai siellä käsiteltävälle jätteelle (EEJ). Ja vaikka UTU-päätös liittyisikin lupaharkintaan, </w:t>
      </w:r>
      <w:r w:rsidR="00800DD8">
        <w:t>lupamääräyksiä voitaneen</w:t>
      </w:r>
      <w:r>
        <w:t xml:space="preserve"> </w:t>
      </w:r>
      <w:r w:rsidR="000F06CF">
        <w:t xml:space="preserve">osin </w:t>
      </w:r>
      <w:r w:rsidR="00800DD8">
        <w:t>antaa myös ehdollisena niin, että ne</w:t>
      </w:r>
      <w:r w:rsidR="00584D51">
        <w:t xml:space="preserve"> </w:t>
      </w:r>
      <w:r w:rsidR="00800DD8">
        <w:t xml:space="preserve">ovat kytkettyjä lainvoimaiseen </w:t>
      </w:r>
      <w:r w:rsidR="00584D51">
        <w:t>UTU</w:t>
      </w:r>
      <w:r w:rsidR="00800DD8">
        <w:t>-päätökseen</w:t>
      </w:r>
      <w:r w:rsidR="003429A5">
        <w:t xml:space="preserve">. Tällöin </w:t>
      </w:r>
      <w:r w:rsidR="00584D51">
        <w:t xml:space="preserve">esimerkiksi toiminnalta vaadittava vakuus tai sen </w:t>
      </w:r>
      <w:r>
        <w:t>määrä riippuu UTU-päätöksestä.</w:t>
      </w:r>
      <w:r w:rsidR="00BD6CFA" w:rsidRPr="00DB37C9">
        <w:t xml:space="preserve"> </w:t>
      </w:r>
      <w:r w:rsidR="00800DD8">
        <w:t>Lupamääräysten ehdollisesta kytkemisestä UTU-päätökseen tulisi mahdollisesti säätää erikseen ympäristönsuojelulaissa</w:t>
      </w:r>
      <w:r w:rsidR="000273B0">
        <w:t xml:space="preserve"> (ellei ole mahdollista jo nyt)</w:t>
      </w:r>
      <w:r w:rsidR="00800DD8">
        <w:t>.</w:t>
      </w:r>
    </w:p>
    <w:p w14:paraId="1253F107" w14:textId="1003825D" w:rsidR="006F7C3C" w:rsidRPr="00DB37C9" w:rsidRDefault="000F06CF" w:rsidP="009A52AD">
      <w:pPr>
        <w:jc w:val="both"/>
      </w:pPr>
      <w:r>
        <w:t>Yhteenso</w:t>
      </w:r>
      <w:r w:rsidR="004A538A">
        <w:t>vittamisen kannalta vaikeimpia ovat</w:t>
      </w:r>
      <w:r>
        <w:t xml:space="preserve"> monimutkaiset</w:t>
      </w:r>
      <w:r w:rsidRPr="000F06CF">
        <w:t xml:space="preserve"> kiertota</w:t>
      </w:r>
      <w:r>
        <w:t xml:space="preserve">louden </w:t>
      </w:r>
      <w:r w:rsidRPr="000F06CF">
        <w:t>arvoketjut, jossa jätteenkäsittely ja teollisuus</w:t>
      </w:r>
      <w:r>
        <w:t xml:space="preserve">tuotanto sekä </w:t>
      </w:r>
      <w:r w:rsidRPr="000F06CF">
        <w:t>näiden ympäristöluvat ja UTU-päätökset ovat riippuvu</w:t>
      </w:r>
      <w:r>
        <w:t>ussuhteissa keskenään ympäristö</w:t>
      </w:r>
      <w:r w:rsidRPr="000F06CF">
        <w:t>luvanvaraisu</w:t>
      </w:r>
      <w:r w:rsidR="00346546">
        <w:t>uksien kautta. Toisaalta k</w:t>
      </w:r>
      <w:r w:rsidRPr="000F06CF">
        <w:t>yseise</w:t>
      </w:r>
      <w:r w:rsidR="00346546">
        <w:t xml:space="preserve">t tilanteet ovat </w:t>
      </w:r>
      <w:r w:rsidRPr="000F06CF">
        <w:t>haastavia hallin</w:t>
      </w:r>
      <w:r w:rsidR="00346546">
        <w:t>nollisista menettelysäännöistä riippumatta. Näissä tilanteissa korostuvatkin</w:t>
      </w:r>
      <w:r w:rsidRPr="000F06CF">
        <w:t xml:space="preserve"> laadukas ennakkoneuvonta, hyvä viranomaisyhteistyö sekä muu</w:t>
      </w:r>
      <w:r w:rsidR="008B5883">
        <w:t xml:space="preserve">t toimintatavat, jotta </w:t>
      </w:r>
      <w:r w:rsidRPr="000F06CF">
        <w:t>eri toimijoilla ja viranomaisilla on yhteinen näkemys vaaditt</w:t>
      </w:r>
      <w:r w:rsidR="00346546">
        <w:t>avista hallinnollisista menette</w:t>
      </w:r>
      <w:r w:rsidRPr="000F06CF">
        <w:t>lyistä jo e</w:t>
      </w:r>
      <w:r w:rsidR="00346546">
        <w:t>nnen asioiden vireille laittoa.</w:t>
      </w:r>
      <w:r w:rsidR="00BD6CFA" w:rsidRPr="00DB37C9">
        <w:t xml:space="preserve"> </w:t>
      </w:r>
    </w:p>
    <w:p w14:paraId="0B367BB0" w14:textId="0774D58B" w:rsidR="00DE342C" w:rsidRPr="007B78FE" w:rsidRDefault="00F9471A" w:rsidP="009A52AD">
      <w:pPr>
        <w:pStyle w:val="Otsikko2"/>
        <w:numPr>
          <w:ilvl w:val="1"/>
          <w:numId w:val="31"/>
        </w:numPr>
        <w:jc w:val="both"/>
        <w:rPr>
          <w:color w:val="auto"/>
        </w:rPr>
      </w:pPr>
      <w:r w:rsidRPr="00DB37C9">
        <w:rPr>
          <w:color w:val="auto"/>
        </w:rPr>
        <w:lastRenderedPageBreak/>
        <w:t xml:space="preserve">Vaihtoehdot </w:t>
      </w:r>
    </w:p>
    <w:p w14:paraId="6BD398C6" w14:textId="6D17CD23" w:rsidR="00843F09" w:rsidRPr="00DB37C9" w:rsidRDefault="009D0647" w:rsidP="009A52AD">
      <w:pPr>
        <w:jc w:val="both"/>
      </w:pPr>
      <w:r>
        <w:t xml:space="preserve">Edellä jaksossa 3.1 kuvatun perusteella työryhmässä on </w:t>
      </w:r>
      <w:r w:rsidR="00514380">
        <w:t>päätetty tarkastella</w:t>
      </w:r>
      <w:r w:rsidR="009756BE">
        <w:t xml:space="preserve"> väliraportin ehdotuksen (vaihtoehto 1) rinnalla</w:t>
      </w:r>
      <w:r w:rsidR="00236B06">
        <w:t xml:space="preserve"> myös vaihtoehtoa, jossa olennaisesti/merkittävästi</w:t>
      </w:r>
      <w:r w:rsidR="00514380">
        <w:t xml:space="preserve"> ympäristölupaharkintaan liittyvät UTU-päätökset tehdään edelleen </w:t>
      </w:r>
      <w:r w:rsidR="00954E21">
        <w:t>lupamenettelyssä</w:t>
      </w:r>
      <w:r w:rsidR="009756BE">
        <w:t xml:space="preserve"> (vaihtoehto 2)</w:t>
      </w:r>
      <w:r w:rsidR="00954E21">
        <w:t>.</w:t>
      </w:r>
      <w:r w:rsidR="009756BE">
        <w:t xml:space="preserve"> Seuraavassa kuvataan </w:t>
      </w:r>
      <w:r w:rsidR="00514380">
        <w:t>vaihtoehdot</w:t>
      </w:r>
      <w:r w:rsidR="009756BE">
        <w:t xml:space="preserve"> </w:t>
      </w:r>
      <w:r w:rsidR="00496637">
        <w:t xml:space="preserve">pääkohdiltaan </w:t>
      </w:r>
      <w:r w:rsidR="009756BE">
        <w:t>lähinnä päätösprosessin etenemisen näkökulmasta</w:t>
      </w:r>
      <w:r w:rsidR="00514380">
        <w:t>.</w:t>
      </w:r>
      <w:r w:rsidR="00843F09" w:rsidRPr="00DB37C9">
        <w:t xml:space="preserve"> </w:t>
      </w:r>
    </w:p>
    <w:p w14:paraId="6EB0872C" w14:textId="44BDDAE4" w:rsidR="00750D58" w:rsidRPr="00DB37C9" w:rsidRDefault="00750D58" w:rsidP="00496637">
      <w:pPr>
        <w:pStyle w:val="Otsikko3"/>
      </w:pPr>
      <w:r w:rsidRPr="00DB37C9">
        <w:t>Vaihtoehto 1</w:t>
      </w:r>
      <w:r w:rsidR="00BC702F">
        <w:t>: aina erillinen UTU-menettely</w:t>
      </w:r>
    </w:p>
    <w:p w14:paraId="58736A74" w14:textId="516BC758" w:rsidR="009073E0" w:rsidRPr="00DB37C9" w:rsidRDefault="00431FBB" w:rsidP="009A52AD">
      <w:pPr>
        <w:jc w:val="both"/>
      </w:pPr>
      <w:r>
        <w:t>V</w:t>
      </w:r>
      <w:r w:rsidR="00102CA8" w:rsidRPr="00DB37C9">
        <w:t>aihtoehdossa</w:t>
      </w:r>
      <w:r>
        <w:t xml:space="preserve"> 1</w:t>
      </w:r>
      <w:r w:rsidR="00102CA8" w:rsidRPr="00DB37C9">
        <w:t xml:space="preserve"> </w:t>
      </w:r>
      <w:r w:rsidR="00BA13DD">
        <w:t>UTU-</w:t>
      </w:r>
      <w:r w:rsidR="00784C5E" w:rsidRPr="00DB37C9">
        <w:t>asian ratkais</w:t>
      </w:r>
      <w:r w:rsidR="00F86872">
        <w:t xml:space="preserve">ee </w:t>
      </w:r>
      <w:r>
        <w:t>aina</w:t>
      </w:r>
      <w:r w:rsidR="00784C5E" w:rsidRPr="00DB37C9">
        <w:t xml:space="preserve"> </w:t>
      </w:r>
      <w:r w:rsidR="00F86872">
        <w:t xml:space="preserve">UTU-viranomainen </w:t>
      </w:r>
      <w:r w:rsidR="006D51A2">
        <w:t xml:space="preserve">erillisessä </w:t>
      </w:r>
      <w:r w:rsidR="00F86872">
        <w:t>jätelaissa säädetyssä menettelyssä</w:t>
      </w:r>
      <w:r w:rsidR="00784C5E" w:rsidRPr="00DB37C9">
        <w:t>.</w:t>
      </w:r>
      <w:r w:rsidR="00750D58" w:rsidRPr="00DB37C9">
        <w:t xml:space="preserve"> </w:t>
      </w:r>
      <w:r w:rsidR="00477C91">
        <w:t>Toiminnanharjoittaja tek</w:t>
      </w:r>
      <w:r w:rsidR="00F86872">
        <w:t>ee</w:t>
      </w:r>
      <w:r w:rsidR="00477C91">
        <w:t xml:space="preserve"> UTU-viranomaiselle</w:t>
      </w:r>
      <w:r>
        <w:t xml:space="preserve"> osoitetun hakemuksen ja</w:t>
      </w:r>
      <w:r w:rsidR="009073E0" w:rsidRPr="00DB37C9">
        <w:t xml:space="preserve"> </w:t>
      </w:r>
      <w:r w:rsidR="00477C91">
        <w:t>UTU-</w:t>
      </w:r>
      <w:r w:rsidR="009073E0" w:rsidRPr="00DB37C9">
        <w:t xml:space="preserve">viranomainen ratkaisee </w:t>
      </w:r>
      <w:r w:rsidR="00F86872">
        <w:t>asian jätelaissa</w:t>
      </w:r>
      <w:r w:rsidR="00740F63">
        <w:t xml:space="preserve"> säädettyjä</w:t>
      </w:r>
      <w:r w:rsidR="00F86872">
        <w:t xml:space="preserve"> vaatimuksia </w:t>
      </w:r>
      <w:r w:rsidR="00740F63">
        <w:t>noudattaen</w:t>
      </w:r>
      <w:r w:rsidR="006D51A2">
        <w:t xml:space="preserve">. </w:t>
      </w:r>
      <w:r w:rsidR="00740F63">
        <w:t xml:space="preserve"> </w:t>
      </w:r>
    </w:p>
    <w:p w14:paraId="55D5D681" w14:textId="77777777" w:rsidR="00A456A3" w:rsidRDefault="00F86872" w:rsidP="009A52AD">
      <w:pPr>
        <w:jc w:val="both"/>
      </w:pPr>
      <w:r>
        <w:t xml:space="preserve">Jos </w:t>
      </w:r>
      <w:r w:rsidR="009073E0" w:rsidRPr="00DB37C9">
        <w:t>toiminnanharjoittajan</w:t>
      </w:r>
      <w:r>
        <w:t xml:space="preserve"> ympäristölupahakemukseen</w:t>
      </w:r>
      <w:r w:rsidR="00954E21">
        <w:t xml:space="preserve"> sisältyy</w:t>
      </w:r>
      <w:r>
        <w:t xml:space="preserve"> UTU-</w:t>
      </w:r>
      <w:r w:rsidR="009073E0" w:rsidRPr="00DB37C9">
        <w:t>asia</w:t>
      </w:r>
      <w:r w:rsidR="00A456A3">
        <w:t xml:space="preserve">, </w:t>
      </w:r>
      <w:r>
        <w:t xml:space="preserve">lupaviranomainen siirtää </w:t>
      </w:r>
      <w:r w:rsidR="00A456A3">
        <w:t>sen</w:t>
      </w:r>
      <w:r>
        <w:t xml:space="preserve"> UTU</w:t>
      </w:r>
      <w:r w:rsidR="00525BE0">
        <w:t>-viranomaiselle</w:t>
      </w:r>
      <w:r>
        <w:t xml:space="preserve"> ja jatkaa muilta osin lupa-asian käsittelyä</w:t>
      </w:r>
      <w:r w:rsidR="00B83E21">
        <w:t>.</w:t>
      </w:r>
      <w:r w:rsidR="00C02E03">
        <w:t xml:space="preserve"> </w:t>
      </w:r>
      <w:r w:rsidR="009073E0" w:rsidRPr="00DB37C9">
        <w:t>Lupavira</w:t>
      </w:r>
      <w:r w:rsidR="00DE5390">
        <w:t>n</w:t>
      </w:r>
      <w:r w:rsidR="00A456A3">
        <w:t xml:space="preserve">omaisen on </w:t>
      </w:r>
      <w:r w:rsidR="009073E0" w:rsidRPr="00DB37C9">
        <w:t>ilmoitettava</w:t>
      </w:r>
      <w:r w:rsidR="009C3E68">
        <w:t xml:space="preserve"> </w:t>
      </w:r>
      <w:r w:rsidR="009C3E68" w:rsidRPr="00DB37C9">
        <w:t>toiminnanharjoittajalle</w:t>
      </w:r>
      <w:r w:rsidR="00A456A3">
        <w:t xml:space="preserve"> UTU-asian siirtämisestä.</w:t>
      </w:r>
      <w:r w:rsidR="009073E0" w:rsidRPr="00DB37C9">
        <w:t xml:space="preserve"> </w:t>
      </w:r>
    </w:p>
    <w:p w14:paraId="0C4637E7" w14:textId="01450C41" w:rsidR="00C02E03" w:rsidRDefault="00A456A3" w:rsidP="009A52AD">
      <w:pPr>
        <w:jc w:val="both"/>
      </w:pPr>
      <w:r>
        <w:t>Ympäristölupaviranomainen voi</w:t>
      </w:r>
      <w:r w:rsidR="009C3E68">
        <w:t xml:space="preserve"> </w:t>
      </w:r>
      <w:r>
        <w:t xml:space="preserve">ratkaista </w:t>
      </w:r>
      <w:r w:rsidR="009C3E68">
        <w:t>lupa</w:t>
      </w:r>
      <w:r w:rsidR="00A11C9C">
        <w:t>-asian muilta osin,</w:t>
      </w:r>
      <w:r w:rsidR="009C3E68">
        <w:t xml:space="preserve"> jos ympäristölupa-asialla ei ole </w:t>
      </w:r>
      <w:r w:rsidR="00431FBB">
        <w:t>olennaista/</w:t>
      </w:r>
      <w:r w:rsidR="00A11C9C">
        <w:t xml:space="preserve">merkittävää </w:t>
      </w:r>
      <w:r w:rsidR="009C3E68">
        <w:t xml:space="preserve">sisällöllistä yhteyttä </w:t>
      </w:r>
      <w:r w:rsidR="00A11C9C">
        <w:t>UTU-</w:t>
      </w:r>
      <w:r w:rsidR="00431FBB">
        <w:t>asiaan. Jos yhteys on</w:t>
      </w:r>
      <w:r w:rsidR="00784C5E" w:rsidRPr="00DB37C9">
        <w:t xml:space="preserve">, lupaviranomaisen </w:t>
      </w:r>
      <w:r w:rsidR="00A11C9C">
        <w:t xml:space="preserve">on </w:t>
      </w:r>
      <w:r w:rsidR="00784C5E" w:rsidRPr="00DB37C9">
        <w:t>od</w:t>
      </w:r>
      <w:r w:rsidR="00A11C9C">
        <w:t>otettava UTU-asian</w:t>
      </w:r>
      <w:r w:rsidR="00784C5E" w:rsidRPr="00DB37C9">
        <w:t xml:space="preserve"> ratkaisemista</w:t>
      </w:r>
      <w:r w:rsidR="00A11C9C">
        <w:t xml:space="preserve"> UTU-viranomaisessa</w:t>
      </w:r>
      <w:r w:rsidR="00784C5E" w:rsidRPr="00DB37C9">
        <w:t>.</w:t>
      </w:r>
      <w:r w:rsidR="00A11C9C">
        <w:t xml:space="preserve"> </w:t>
      </w:r>
      <w:r w:rsidR="00431FBB">
        <w:t>On kuitenkin mahdollista säätää, että l</w:t>
      </w:r>
      <w:r w:rsidR="00A11C9C">
        <w:t>upaviranom</w:t>
      </w:r>
      <w:r w:rsidR="00431FBB">
        <w:t xml:space="preserve">aisen ei välttämättä </w:t>
      </w:r>
      <w:r w:rsidR="00A11C9C">
        <w:t xml:space="preserve">tarvitse odottaa lainvoimaista </w:t>
      </w:r>
      <w:r w:rsidR="00431FBB">
        <w:t>UTU-</w:t>
      </w:r>
      <w:r w:rsidR="00A11C9C">
        <w:t>päätöstä siinä tapauksessa, että UTU-viranomais</w:t>
      </w:r>
      <w:r w:rsidR="006D51A2">
        <w:t xml:space="preserve">en päätöksestä valitetaan. Tältä osin sääntely voisi jättää lupaviranomaiselle </w:t>
      </w:r>
      <w:r w:rsidR="00A11C9C">
        <w:t>harkintavaltaa.</w:t>
      </w:r>
      <w:r w:rsidR="006D51A2">
        <w:t xml:space="preserve"> Jos v</w:t>
      </w:r>
      <w:r w:rsidR="00DF4978">
        <w:t>alitus</w:t>
      </w:r>
      <w:r w:rsidR="006D51A2">
        <w:t xml:space="preserve"> koskee</w:t>
      </w:r>
      <w:r w:rsidR="00BB42C8">
        <w:t xml:space="preserve"> </w:t>
      </w:r>
      <w:r w:rsidR="00A11C9C">
        <w:t>esimerkiksi UTU-päätökseen kirjattavaa määräystä, joka ei ole itse EEJ- tai sivutuoteluokituksen kannalta ratkaiseva</w:t>
      </w:r>
      <w:r w:rsidR="006D51A2">
        <w:t xml:space="preserve">, </w:t>
      </w:r>
      <w:r w:rsidR="00BB42C8">
        <w:t>lupaharkinta ja –päätös voidaan tehdä jo UTU-viranomaisen</w:t>
      </w:r>
      <w:r w:rsidR="00431FBB">
        <w:t xml:space="preserve"> (</w:t>
      </w:r>
      <w:r w:rsidR="006D51A2">
        <w:t>ei lainvoimaisen)</w:t>
      </w:r>
      <w:r w:rsidR="00BB42C8">
        <w:t xml:space="preserve"> päätöksen perusteella. </w:t>
      </w:r>
      <w:r w:rsidR="00DF5DF2">
        <w:t>J</w:t>
      </w:r>
      <w:r w:rsidR="00BB42C8">
        <w:t xml:space="preserve">os </w:t>
      </w:r>
      <w:r w:rsidR="00DF5DF2">
        <w:t xml:space="preserve">taas </w:t>
      </w:r>
      <w:r w:rsidR="00BB42C8">
        <w:t xml:space="preserve">valitus kohdistuu </w:t>
      </w:r>
      <w:r w:rsidR="006D51A2">
        <w:t>olennaisesti siihen, tuleeko</w:t>
      </w:r>
      <w:r w:rsidR="00DF5DF2">
        <w:t xml:space="preserve"> materiaalille myöntää EEJ- tai sivutuoteluokitus vai ei,</w:t>
      </w:r>
      <w:r w:rsidR="00532C54">
        <w:t xml:space="preserve"> ja tällä on </w:t>
      </w:r>
      <w:r w:rsidR="00C919AE">
        <w:t xml:space="preserve">olennainen/merkittävä </w:t>
      </w:r>
      <w:r w:rsidR="00532C54">
        <w:t>sisällöllinen yhteys ympäristölupa-asiaan,</w:t>
      </w:r>
      <w:r w:rsidR="00DF5DF2">
        <w:t xml:space="preserve"> lupaviranomaisen on </w:t>
      </w:r>
      <w:r w:rsidR="00431FBB">
        <w:t xml:space="preserve">pääsääntöisesti </w:t>
      </w:r>
      <w:r w:rsidR="00DF5DF2">
        <w:t xml:space="preserve">odotettava UTU-päätöksen lainvoimaisuutta ennen lopullista lupaharkintaa. </w:t>
      </w:r>
      <w:r w:rsidR="00A11C9C">
        <w:t xml:space="preserve">  </w:t>
      </w:r>
      <w:r w:rsidR="00330BBF">
        <w:t xml:space="preserve"> </w:t>
      </w:r>
    </w:p>
    <w:p w14:paraId="3415FA9A" w14:textId="395F3EFA" w:rsidR="00C02E03" w:rsidRDefault="00496637" w:rsidP="009A52AD">
      <w:pPr>
        <w:jc w:val="both"/>
      </w:pPr>
      <w:r>
        <w:t xml:space="preserve">UTU-päätöksenteossa noudatetaan jätelakiin kirjattavia erityissäännöksiä siten kuin tässä raportissa jäljempänä kuvataan. UTU-viranomaisen päätöksestä valitetaan Vaasan hallinto-oikeuteen ja sieltä edelleen mahdollisesti (valitusluvalla) korkeimpaan hallinto-oikeuteen. </w:t>
      </w:r>
      <w:r w:rsidR="00DF4978">
        <w:t xml:space="preserve">Ympäristölupaprosessi puolestaan etenee ympäristönsuojelulain mukaisesti ja siitä valitettaessa ei voi enää valittaa UTU-viranomaisen päätöksestä. </w:t>
      </w:r>
    </w:p>
    <w:p w14:paraId="5CA0438C" w14:textId="4F499C26" w:rsidR="00B34847" w:rsidRPr="006F70CD" w:rsidRDefault="00B34847" w:rsidP="009A52AD">
      <w:pPr>
        <w:jc w:val="both"/>
        <w:rPr>
          <w:b/>
        </w:rPr>
      </w:pPr>
      <w:r w:rsidRPr="006F70CD">
        <w:rPr>
          <w:b/>
        </w:rPr>
        <w:t>Kaavio 1</w:t>
      </w:r>
      <w:r w:rsidR="009756BE" w:rsidRPr="006F70CD">
        <w:rPr>
          <w:b/>
        </w:rPr>
        <w:t>. UTU-menettelyn kulku ja suhde ympäristölupaan vaihtoehdossa 1.</w:t>
      </w:r>
    </w:p>
    <w:p w14:paraId="362C2960" w14:textId="64CFF63C" w:rsidR="00C52867" w:rsidRDefault="00C52867" w:rsidP="00496637">
      <w:pPr>
        <w:pStyle w:val="Otsikko3"/>
      </w:pPr>
      <w:r w:rsidRPr="00C52867">
        <w:t>Vaihtoehto 2</w:t>
      </w:r>
      <w:r w:rsidR="00BC702F">
        <w:t xml:space="preserve">: UTU-menettely tai lupamenettely </w:t>
      </w:r>
      <w:r w:rsidR="00B34847">
        <w:t xml:space="preserve"> </w:t>
      </w:r>
      <w:r w:rsidRPr="00C52867">
        <w:t xml:space="preserve"> </w:t>
      </w:r>
    </w:p>
    <w:p w14:paraId="2EE0538A" w14:textId="5D86F454" w:rsidR="008E3957" w:rsidRDefault="00330BBF" w:rsidP="009A52AD">
      <w:pPr>
        <w:jc w:val="both"/>
      </w:pPr>
      <w:r>
        <w:t>Toise</w:t>
      </w:r>
      <w:r w:rsidR="00DF4978">
        <w:t>ssa</w:t>
      </w:r>
      <w:r w:rsidR="009756BE">
        <w:t xml:space="preserve"> menettelyvaihtoehdossa ympäristölupaviranomainen voi</w:t>
      </w:r>
      <w:r>
        <w:t xml:space="preserve"> ratk</w:t>
      </w:r>
      <w:r w:rsidR="009756BE">
        <w:t>aista myös UTU-</w:t>
      </w:r>
      <w:r>
        <w:t>asian</w:t>
      </w:r>
      <w:r w:rsidR="00736C2D">
        <w:t xml:space="preserve"> </w:t>
      </w:r>
      <w:r>
        <w:t>silloin</w:t>
      </w:r>
      <w:r w:rsidR="00DF4978">
        <w:t>, kun sillä</w:t>
      </w:r>
      <w:r w:rsidR="006D51A2">
        <w:t xml:space="preserve"> on [olennainen/</w:t>
      </w:r>
      <w:r>
        <w:t>merkittävä] yhteys toiminnan ympäristölupaharkintaan.</w:t>
      </w:r>
      <w:r w:rsidR="00C06748">
        <w:t xml:space="preserve"> </w:t>
      </w:r>
      <w:r w:rsidR="008E3957">
        <w:t>Tällöin UTU-viranomainen toimii lupaharkinnassa asiantuntijaviranomaisena UTU-asian osalta. Muissa tapauksissa päätöksenteko menee kuten vaihtoehdossa 1.</w:t>
      </w:r>
    </w:p>
    <w:p w14:paraId="205CE121" w14:textId="77777777" w:rsidR="00A07BCB" w:rsidRDefault="008E3957" w:rsidP="009A52AD">
      <w:pPr>
        <w:jc w:val="both"/>
      </w:pPr>
      <w:r>
        <w:t>T</w:t>
      </w:r>
      <w:r w:rsidR="00C06748">
        <w:t>oiminnanharjoittaj</w:t>
      </w:r>
      <w:r w:rsidR="00D478C6">
        <w:t xml:space="preserve">a tekee UTU-asiaa </w:t>
      </w:r>
      <w:r w:rsidR="00C06748">
        <w:t xml:space="preserve">koskevan hakemuksen </w:t>
      </w:r>
      <w:r>
        <w:t xml:space="preserve">joko UTU-viranomaiselle tai osana ympäristölupahakemusta lupaviranomaiselle. Hakemuksen saanut viranomainen </w:t>
      </w:r>
      <w:r>
        <w:rPr>
          <w:rFonts w:cstheme="minorHAnsi"/>
        </w:rPr>
        <w:t>[</w:t>
      </w:r>
      <w:r>
        <w:t>neuvoteltuaan toisen viranomaisen kanssa</w:t>
      </w:r>
      <w:r>
        <w:rPr>
          <w:rFonts w:cstheme="minorHAnsi"/>
        </w:rPr>
        <w:t>]</w:t>
      </w:r>
      <w:r>
        <w:t xml:space="preserve"> päättää, onko UTU-hakemuksella olennainen/merkittävä yhteys lupaharkintaan vai ei. </w:t>
      </w:r>
    </w:p>
    <w:p w14:paraId="5D462F08" w14:textId="77777777" w:rsidR="0076263E" w:rsidRDefault="008E3957" w:rsidP="009A52AD">
      <w:pPr>
        <w:jc w:val="both"/>
      </w:pPr>
      <w:r>
        <w:t>Jos merkittävä/olennainen yhteys lupaharkintaan on, y</w:t>
      </w:r>
      <w:r w:rsidR="00C57516">
        <w:t>mpäristölupavira</w:t>
      </w:r>
      <w:r>
        <w:t>nomainen ratkaisee UTU-asian</w:t>
      </w:r>
      <w:r w:rsidR="00C57516">
        <w:t xml:space="preserve"> osana ympäristölupaharkintaa, mutta </w:t>
      </w:r>
      <w:r>
        <w:t xml:space="preserve">sen on </w:t>
      </w:r>
      <w:r w:rsidR="0076263E">
        <w:t xml:space="preserve">tällöinkin </w:t>
      </w:r>
      <w:r>
        <w:t>pyydettävä UTU-viranomaiselta lausunto UTU-asiassa ja lausu</w:t>
      </w:r>
      <w:r w:rsidR="00A07BCB">
        <w:t xml:space="preserve">nto on lupaviranomaista </w:t>
      </w:r>
      <w:r w:rsidR="009F45A0">
        <w:t xml:space="preserve">(käytännössä) </w:t>
      </w:r>
      <w:r w:rsidR="00A07BCB">
        <w:t xml:space="preserve">sitova. </w:t>
      </w:r>
    </w:p>
    <w:p w14:paraId="5C6609CB" w14:textId="56502451" w:rsidR="00C06748" w:rsidRDefault="00A07BCB" w:rsidP="009A52AD">
      <w:pPr>
        <w:jc w:val="both"/>
      </w:pPr>
      <w:r>
        <w:lastRenderedPageBreak/>
        <w:t xml:space="preserve">Koska lupaviranomainen kuitenkin muodollisesti ratkaisee UTU-asian osana ympäristölupaa, päätösmenettely </w:t>
      </w:r>
      <w:r w:rsidR="00C57516">
        <w:t xml:space="preserve">ja valitusoikeus </w:t>
      </w:r>
      <w:r>
        <w:t>UTU-päätöksestä määräytyvät ympäristönsuojelulain</w:t>
      </w:r>
      <w:r w:rsidR="00C57516">
        <w:t xml:space="preserve"> mukaan.</w:t>
      </w:r>
      <w:r w:rsidR="009F45A0">
        <w:t xml:space="preserve"> UTU-menettelyä koskevaa </w:t>
      </w:r>
      <w:r w:rsidR="0076263E">
        <w:t xml:space="preserve">jätelain </w:t>
      </w:r>
      <w:r w:rsidR="009F45A0">
        <w:t xml:space="preserve">sääntelyä ei sovelleta. </w:t>
      </w:r>
      <w:r w:rsidR="00C57516">
        <w:t xml:space="preserve"> </w:t>
      </w:r>
    </w:p>
    <w:p w14:paraId="45FEADD4" w14:textId="45533B9E" w:rsidR="00D478C6" w:rsidRPr="006F70CD" w:rsidRDefault="00D478C6" w:rsidP="009A52AD">
      <w:pPr>
        <w:jc w:val="both"/>
        <w:rPr>
          <w:b/>
        </w:rPr>
      </w:pPr>
      <w:r w:rsidRPr="006F70CD">
        <w:rPr>
          <w:b/>
        </w:rPr>
        <w:t>Kaavio 2. UTU-menettelyn kulku ja suhde ympäristölupaan vaihtoehdossa 2.</w:t>
      </w:r>
    </w:p>
    <w:p w14:paraId="2522F005" w14:textId="77777777" w:rsidR="00D478C6" w:rsidRDefault="00D478C6" w:rsidP="009A52AD">
      <w:pPr>
        <w:jc w:val="both"/>
      </w:pPr>
    </w:p>
    <w:p w14:paraId="4E40152A" w14:textId="37B6CC3B" w:rsidR="00FC6E81" w:rsidRPr="00DB37C9" w:rsidRDefault="001720C2" w:rsidP="009A52AD">
      <w:pPr>
        <w:pStyle w:val="Otsikko2"/>
        <w:numPr>
          <w:ilvl w:val="1"/>
          <w:numId w:val="31"/>
        </w:numPr>
        <w:jc w:val="both"/>
        <w:rPr>
          <w:color w:val="auto"/>
        </w:rPr>
      </w:pPr>
      <w:r>
        <w:rPr>
          <w:color w:val="auto"/>
        </w:rPr>
        <w:t>V</w:t>
      </w:r>
      <w:r w:rsidR="0046492B">
        <w:rPr>
          <w:color w:val="auto"/>
        </w:rPr>
        <w:t xml:space="preserve">aihtoehtojen vertailu </w:t>
      </w:r>
    </w:p>
    <w:p w14:paraId="48BF3FA7" w14:textId="79028ED2" w:rsidR="00477C91" w:rsidRDefault="006F70CD" w:rsidP="006F70CD">
      <w:pPr>
        <w:jc w:val="both"/>
      </w:pPr>
      <w:r>
        <w:t>Alla olevassa taulukossa on vertailtu keskenään vaihtoehtoja 1 ja 2. Vertailu perustuu niihin sääntelyn</w:t>
      </w:r>
      <w:r w:rsidR="00176FAB">
        <w:t xml:space="preserve"> tavoitteisiin ja </w:t>
      </w:r>
      <w:r>
        <w:t>laatukriteereihin</w:t>
      </w:r>
      <w:r w:rsidR="00096592">
        <w:t>, joita työryhmän väliraportissa on tunnistettu</w:t>
      </w:r>
      <w:r w:rsidR="00176FAB">
        <w:t>.</w:t>
      </w:r>
      <w:r w:rsidR="00096592">
        <w:t xml:space="preserve"> </w:t>
      </w:r>
      <w:r>
        <w:t xml:space="preserve"> </w:t>
      </w:r>
    </w:p>
    <w:p w14:paraId="10AD5BA9" w14:textId="2EFC7F30" w:rsidR="006F70CD" w:rsidRPr="000F2EA4" w:rsidRDefault="000F2EA4" w:rsidP="009A52AD">
      <w:pPr>
        <w:jc w:val="both"/>
      </w:pPr>
      <w:r>
        <w:t>Taulukko x. Menettelyvaihtoehtojen vertailu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70CD" w14:paraId="57A955AE" w14:textId="77777777" w:rsidTr="006F70CD">
        <w:tc>
          <w:tcPr>
            <w:tcW w:w="3005" w:type="dxa"/>
          </w:tcPr>
          <w:p w14:paraId="20D416E8" w14:textId="752438CC" w:rsidR="006F70CD" w:rsidRPr="006F70CD" w:rsidRDefault="006F70CD" w:rsidP="009A52AD">
            <w:pPr>
              <w:jc w:val="both"/>
              <w:rPr>
                <w:b/>
              </w:rPr>
            </w:pPr>
            <w:r w:rsidRPr="006F70CD">
              <w:rPr>
                <w:b/>
              </w:rPr>
              <w:t>Kriteeri</w:t>
            </w:r>
          </w:p>
        </w:tc>
        <w:tc>
          <w:tcPr>
            <w:tcW w:w="3005" w:type="dxa"/>
          </w:tcPr>
          <w:p w14:paraId="037F9861" w14:textId="43C09686" w:rsidR="006F70CD" w:rsidRPr="006F70CD" w:rsidRDefault="006F70CD" w:rsidP="009A52AD">
            <w:pPr>
              <w:jc w:val="both"/>
              <w:rPr>
                <w:b/>
              </w:rPr>
            </w:pPr>
            <w:r w:rsidRPr="006F70CD">
              <w:rPr>
                <w:b/>
              </w:rPr>
              <w:t>Vaihtoehto 1</w:t>
            </w:r>
          </w:p>
        </w:tc>
        <w:tc>
          <w:tcPr>
            <w:tcW w:w="3006" w:type="dxa"/>
          </w:tcPr>
          <w:p w14:paraId="51056966" w14:textId="3F59B2CD" w:rsidR="006F70CD" w:rsidRPr="006F70CD" w:rsidRDefault="006F70CD" w:rsidP="009A52AD">
            <w:pPr>
              <w:jc w:val="both"/>
              <w:rPr>
                <w:b/>
              </w:rPr>
            </w:pPr>
            <w:r w:rsidRPr="006F70CD">
              <w:rPr>
                <w:b/>
              </w:rPr>
              <w:t>Vaihtoehto 2</w:t>
            </w:r>
          </w:p>
        </w:tc>
      </w:tr>
      <w:tr w:rsidR="006F70CD" w14:paraId="782FEF8D" w14:textId="77777777" w:rsidTr="006F70CD">
        <w:tc>
          <w:tcPr>
            <w:tcW w:w="3005" w:type="dxa"/>
          </w:tcPr>
          <w:p w14:paraId="1648D612" w14:textId="4345D6F1" w:rsidR="006F70CD" w:rsidRPr="000F2EA4" w:rsidRDefault="006F70CD" w:rsidP="009A52AD">
            <w:pPr>
              <w:jc w:val="both"/>
              <w:rPr>
                <w:b/>
              </w:rPr>
            </w:pPr>
            <w:r w:rsidRPr="000F2EA4">
              <w:rPr>
                <w:b/>
              </w:rPr>
              <w:t>Menettelyjen selke</w:t>
            </w:r>
            <w:r w:rsidR="00176FAB" w:rsidRPr="000F2EA4">
              <w:rPr>
                <w:b/>
              </w:rPr>
              <w:t>ys</w:t>
            </w:r>
          </w:p>
        </w:tc>
        <w:tc>
          <w:tcPr>
            <w:tcW w:w="3005" w:type="dxa"/>
          </w:tcPr>
          <w:p w14:paraId="03492C90" w14:textId="03315265" w:rsidR="006F70CD" w:rsidRPr="001C591B" w:rsidRDefault="001C591B" w:rsidP="009A52AD">
            <w:pPr>
              <w:jc w:val="both"/>
            </w:pPr>
            <w:r>
              <w:t>Yksi menettely UTU-asiassa</w:t>
            </w:r>
            <w:r w:rsidR="00D92022">
              <w:t>, kaksi kun UTU-asian kanssa vireillä lupa-asia</w:t>
            </w:r>
            <w:r w:rsidR="008C7178">
              <w:t xml:space="preserve">, </w:t>
            </w:r>
            <w:r w:rsidR="004F6D67">
              <w:t>tulkinnanvaraisuus arvioitaessa</w:t>
            </w:r>
            <w:r w:rsidR="00D92022">
              <w:t xml:space="preserve"> </w:t>
            </w:r>
            <w:r w:rsidR="004F6D67">
              <w:t>milloin lupa-asia voidaan ratkaista ennen UTU-päätöstä</w:t>
            </w:r>
            <w:r w:rsidR="000F2EA4">
              <w:t>.</w:t>
            </w:r>
          </w:p>
        </w:tc>
        <w:tc>
          <w:tcPr>
            <w:tcW w:w="3006" w:type="dxa"/>
          </w:tcPr>
          <w:p w14:paraId="293F3062" w14:textId="4BAF48B7" w:rsidR="006F70CD" w:rsidRPr="001C591B" w:rsidRDefault="001C591B" w:rsidP="009A52AD">
            <w:pPr>
              <w:jc w:val="both"/>
            </w:pPr>
            <w:r>
              <w:t>Kaksi mahdollista menettelyä UTU-asiassa</w:t>
            </w:r>
            <w:r w:rsidR="004D5D0A">
              <w:t>, yksi menettely kun UTU-asian kanssa vireillä lupa</w:t>
            </w:r>
            <w:r w:rsidR="008C7178">
              <w:t>, tulkinnanvaraisuus arvioitaessa merkittävää/olennaista yhteyttä lupaharkintaan</w:t>
            </w:r>
            <w:r w:rsidR="000F2EA4">
              <w:t>.</w:t>
            </w:r>
          </w:p>
        </w:tc>
      </w:tr>
      <w:tr w:rsidR="006F70CD" w14:paraId="0356F663" w14:textId="77777777" w:rsidTr="006F70CD">
        <w:tc>
          <w:tcPr>
            <w:tcW w:w="3005" w:type="dxa"/>
          </w:tcPr>
          <w:p w14:paraId="6205DDCB" w14:textId="747EEA68" w:rsidR="006F70CD" w:rsidRPr="000F2EA4" w:rsidRDefault="00096592" w:rsidP="009A52AD">
            <w:pPr>
              <w:jc w:val="both"/>
              <w:rPr>
                <w:b/>
              </w:rPr>
            </w:pPr>
            <w:r w:rsidRPr="000F2EA4">
              <w:rPr>
                <w:b/>
              </w:rPr>
              <w:t xml:space="preserve">Menettelyn sujuvuus </w:t>
            </w:r>
            <w:r w:rsidR="00176FAB" w:rsidRPr="000F2EA4">
              <w:rPr>
                <w:b/>
              </w:rPr>
              <w:t xml:space="preserve">ja ajallinen kesto </w:t>
            </w:r>
          </w:p>
        </w:tc>
        <w:tc>
          <w:tcPr>
            <w:tcW w:w="3005" w:type="dxa"/>
          </w:tcPr>
          <w:p w14:paraId="161AB267" w14:textId="4E5B30D6" w:rsidR="006F70CD" w:rsidRPr="001C591B" w:rsidRDefault="004D5D0A" w:rsidP="009A52AD">
            <w:pPr>
              <w:jc w:val="both"/>
            </w:pPr>
            <w:r>
              <w:t>S</w:t>
            </w:r>
            <w:r w:rsidR="008C7178">
              <w:t xml:space="preserve">ujuva pelkässä </w:t>
            </w:r>
            <w:r>
              <w:t>UTU-asia</w:t>
            </w:r>
            <w:r w:rsidR="008C7178">
              <w:t>ssa</w:t>
            </w:r>
            <w:r>
              <w:t>, lupa-asian yhteydessä epävarmuutta</w:t>
            </w:r>
          </w:p>
        </w:tc>
        <w:tc>
          <w:tcPr>
            <w:tcW w:w="3006" w:type="dxa"/>
          </w:tcPr>
          <w:p w14:paraId="193AE459" w14:textId="40AA85C8" w:rsidR="006F70CD" w:rsidRPr="004D5D0A" w:rsidRDefault="004D5D0A" w:rsidP="009A52AD">
            <w:pPr>
              <w:jc w:val="both"/>
            </w:pPr>
            <w:r>
              <w:t>Sujuva UTU-asiassa</w:t>
            </w:r>
          </w:p>
        </w:tc>
      </w:tr>
      <w:tr w:rsidR="006F70CD" w14:paraId="54F19EB9" w14:textId="77777777" w:rsidTr="006F70CD">
        <w:tc>
          <w:tcPr>
            <w:tcW w:w="3005" w:type="dxa"/>
          </w:tcPr>
          <w:p w14:paraId="3A36F574" w14:textId="37314A77" w:rsidR="006F70CD" w:rsidRPr="000F2EA4" w:rsidRDefault="00176FAB" w:rsidP="009A52AD">
            <w:pPr>
              <w:jc w:val="both"/>
              <w:rPr>
                <w:b/>
              </w:rPr>
            </w:pPr>
            <w:r w:rsidRPr="000F2EA4">
              <w:rPr>
                <w:b/>
              </w:rPr>
              <w:t>Päätöksenteon ennakoitavuus ja t</w:t>
            </w:r>
            <w:r w:rsidR="00096592" w:rsidRPr="000F2EA4">
              <w:rPr>
                <w:b/>
              </w:rPr>
              <w:t>oiminnanharjoittajien yhdenvertaisuus</w:t>
            </w:r>
          </w:p>
        </w:tc>
        <w:tc>
          <w:tcPr>
            <w:tcW w:w="3005" w:type="dxa"/>
          </w:tcPr>
          <w:p w14:paraId="69733389" w14:textId="38A74D69" w:rsidR="006F70CD" w:rsidRPr="00D92022" w:rsidRDefault="00D92022" w:rsidP="009A52AD">
            <w:pPr>
              <w:jc w:val="both"/>
            </w:pPr>
            <w:r>
              <w:t>Yksi UTU-viranomainen parantaa ennakoitavuutta</w:t>
            </w:r>
            <w:r w:rsidR="004F6D67">
              <w:t xml:space="preserve"> ja yhdenvertaisuutta</w:t>
            </w:r>
          </w:p>
        </w:tc>
        <w:tc>
          <w:tcPr>
            <w:tcW w:w="3006" w:type="dxa"/>
          </w:tcPr>
          <w:p w14:paraId="038D0B28" w14:textId="0F3AF963" w:rsidR="006F70CD" w:rsidRPr="004F6D67" w:rsidRDefault="004F6D67" w:rsidP="009A52AD">
            <w:pPr>
              <w:jc w:val="both"/>
            </w:pPr>
            <w:r>
              <w:t>UTU-viranomaisen lausunto parantaa ennakoitavuutta ja yhdenvertaisuutta, menettelyllinen yhdenvertaisuus ei aina toteudu</w:t>
            </w:r>
          </w:p>
        </w:tc>
      </w:tr>
      <w:tr w:rsidR="006F70CD" w14:paraId="37D0594C" w14:textId="77777777" w:rsidTr="006F70CD">
        <w:tc>
          <w:tcPr>
            <w:tcW w:w="3005" w:type="dxa"/>
          </w:tcPr>
          <w:p w14:paraId="54630AF4" w14:textId="6BBAFC28" w:rsidR="006F70CD" w:rsidRPr="000F2EA4" w:rsidRDefault="00096592" w:rsidP="009A52AD">
            <w:pPr>
              <w:jc w:val="both"/>
              <w:rPr>
                <w:b/>
              </w:rPr>
            </w:pPr>
            <w:r w:rsidRPr="000F2EA4">
              <w:rPr>
                <w:b/>
              </w:rPr>
              <w:t>Päätösten ymmärrettävyys, läpinäkyvyys ja saatavuus</w:t>
            </w:r>
          </w:p>
        </w:tc>
        <w:tc>
          <w:tcPr>
            <w:tcW w:w="3005" w:type="dxa"/>
          </w:tcPr>
          <w:p w14:paraId="76A8141F" w14:textId="36FCCA92" w:rsidR="006F70CD" w:rsidRPr="004F6D67" w:rsidRDefault="004F6D67" w:rsidP="009A52AD">
            <w:pPr>
              <w:jc w:val="both"/>
            </w:pPr>
            <w:r>
              <w:t>Paranee UTU-viranomaisen ja tietokannan avulla</w:t>
            </w:r>
          </w:p>
        </w:tc>
        <w:tc>
          <w:tcPr>
            <w:tcW w:w="3006" w:type="dxa"/>
          </w:tcPr>
          <w:p w14:paraId="2918CF2A" w14:textId="6C194DAE" w:rsidR="006F70CD" w:rsidRPr="004F6D67" w:rsidRDefault="000F2EA4" w:rsidP="009A52AD">
            <w:pPr>
              <w:jc w:val="both"/>
            </w:pPr>
            <w:r>
              <w:t>Paranee</w:t>
            </w:r>
            <w:r w:rsidR="004F6D67">
              <w:t xml:space="preserve"> UTU-viranomaisen ja tietokannan avulla</w:t>
            </w:r>
          </w:p>
        </w:tc>
      </w:tr>
    </w:tbl>
    <w:p w14:paraId="4D7F785E" w14:textId="77777777" w:rsidR="006F70CD" w:rsidRDefault="006F70CD" w:rsidP="009A52AD">
      <w:pPr>
        <w:jc w:val="both"/>
        <w:rPr>
          <w:i/>
        </w:rPr>
      </w:pPr>
    </w:p>
    <w:p w14:paraId="242395D8" w14:textId="687E44FC" w:rsidR="00670575" w:rsidRDefault="0046492B" w:rsidP="009A52AD">
      <w:pPr>
        <w:jc w:val="both"/>
      </w:pPr>
      <w:r>
        <w:t>Yhteenvetona voidaan todeta, että m</w:t>
      </w:r>
      <w:r w:rsidR="004F6D67">
        <w:t xml:space="preserve">olemmat vaihtoehdot parantavat tilannetta nykyisestä tärkeimpien tavoitteiden, eli päätösten ennakoitavuuden, toiminnanharjoittajien yhdenvertaisuuden ja päätösmenettelyn sujuvuuden näkökulmasta. </w:t>
      </w:r>
      <w:r w:rsidR="00670575">
        <w:t xml:space="preserve">Vaihtoehtojen </w:t>
      </w:r>
      <w:r>
        <w:t xml:space="preserve">väliset </w:t>
      </w:r>
      <w:r w:rsidR="00670575">
        <w:t>erot eivät ole merkittäviä ja ne riippuvat osin siitä, minkälaisia ratkaisuja sääntelyn yk</w:t>
      </w:r>
      <w:r w:rsidR="00C57137">
        <w:t>si</w:t>
      </w:r>
      <w:r w:rsidR="00670575">
        <w:t>tyiskohdissa tehdään.</w:t>
      </w:r>
    </w:p>
    <w:p w14:paraId="123480A6" w14:textId="2EC329DD" w:rsidR="00670575" w:rsidRDefault="005A1BB5" w:rsidP="009A52AD">
      <w:pPr>
        <w:jc w:val="both"/>
      </w:pPr>
      <w:r>
        <w:t>Vaihtoehdon</w:t>
      </w:r>
      <w:r w:rsidR="004F6D67">
        <w:t xml:space="preserve"> 1 </w:t>
      </w:r>
      <w:r w:rsidR="000F2EA4">
        <w:t>e</w:t>
      </w:r>
      <w:r w:rsidR="00397047">
        <w:t>tu</w:t>
      </w:r>
      <w:r w:rsidR="000F2EA4">
        <w:t xml:space="preserve"> on sääntelyn selkeys, mutta sen </w:t>
      </w:r>
      <w:r w:rsidR="004F6D67">
        <w:t xml:space="preserve">ongelmana on, että UTU-päätöksen </w:t>
      </w:r>
      <w:r w:rsidR="00670575">
        <w:t xml:space="preserve">liittyessä olennaisella tavalla lupaharkintaan </w:t>
      </w:r>
      <w:r w:rsidR="00397047">
        <w:t>päätösten eriytyminen saattaa hankal</w:t>
      </w:r>
      <w:r>
        <w:t>o</w:t>
      </w:r>
      <w:r w:rsidR="00397047">
        <w:t xml:space="preserve">ittaa lupaharkintaa ja </w:t>
      </w:r>
      <w:r w:rsidR="00670575">
        <w:t xml:space="preserve">UTU-päätöksestä valittaminen saattaa </w:t>
      </w:r>
      <w:r w:rsidR="00397047">
        <w:t xml:space="preserve">tuoda lisäviiveen </w:t>
      </w:r>
      <w:r w:rsidR="00670575">
        <w:t>ympäristöluvan käsit</w:t>
      </w:r>
      <w:r w:rsidR="00397047">
        <w:t>telyyn</w:t>
      </w:r>
      <w:r w:rsidR="00670575">
        <w:t>.</w:t>
      </w:r>
      <w:r w:rsidR="0046492B">
        <w:t xml:space="preserve"> Tätä ongelmaa voitaneen vähentää mahdollistamalla ympäristölupapäätöksen tekeminen joissain tilanteissa, vaikka UTU-viranomaisen päätös ei olisi vielä lainvoimainen.</w:t>
      </w:r>
      <w:r w:rsidR="00670575">
        <w:t xml:space="preserve"> </w:t>
      </w:r>
    </w:p>
    <w:p w14:paraId="3725493E" w14:textId="447CEF9D" w:rsidR="0059377E" w:rsidRPr="00DB37C9" w:rsidRDefault="00670575" w:rsidP="009A52AD">
      <w:pPr>
        <w:jc w:val="both"/>
      </w:pPr>
      <w:r>
        <w:t xml:space="preserve">Vaihtoedon 2 etu on </w:t>
      </w:r>
      <w:r w:rsidR="005A1BB5">
        <w:t xml:space="preserve">viranomaisten </w:t>
      </w:r>
      <w:r w:rsidR="00C57137">
        <w:t>mahdollisuus valita sovellettava</w:t>
      </w:r>
      <w:r>
        <w:t xml:space="preserve"> </w:t>
      </w:r>
      <w:r w:rsidR="00C57137">
        <w:t>menettely</w:t>
      </w:r>
      <w:r w:rsidR="00397047">
        <w:t xml:space="preserve"> (UTU-menettely tai</w:t>
      </w:r>
      <w:r>
        <w:t xml:space="preserve"> lupamenettely) tapauskohtaisesti sen mukaan, m</w:t>
      </w:r>
      <w:r w:rsidR="00C57137">
        <w:t>ikä merkitys UTU-asialla on lup</w:t>
      </w:r>
      <w:r>
        <w:t>aharkinnassa.</w:t>
      </w:r>
      <w:r w:rsidR="005A1BB5">
        <w:t xml:space="preserve"> Tähän liittyy </w:t>
      </w:r>
      <w:r w:rsidR="00C57137">
        <w:t xml:space="preserve">samalla haaste siitä, </w:t>
      </w:r>
      <w:r w:rsidR="005E7434">
        <w:t>kuinka tarkasti</w:t>
      </w:r>
      <w:r w:rsidR="00F91DEF">
        <w:t xml:space="preserve"> merkittävä/olennainen yhteys </w:t>
      </w:r>
      <w:r w:rsidR="005E7434">
        <w:t>lupaharkintaan lainsäädännössä ja sen soveltamiskäytännössä määritetään.</w:t>
      </w:r>
      <w:r>
        <w:t xml:space="preserve"> </w:t>
      </w:r>
      <w:r w:rsidR="005E7434">
        <w:t>Lisäksi v</w:t>
      </w:r>
      <w:r w:rsidR="005A1BB5">
        <w:t xml:space="preserve">aihtoehdossa 2 </w:t>
      </w:r>
      <w:r w:rsidR="005E7434">
        <w:t>UTU-päätönteon</w:t>
      </w:r>
      <w:r w:rsidR="007722D5">
        <w:t xml:space="preserve"> a</w:t>
      </w:r>
      <w:r w:rsidR="0059377E">
        <w:t>sianosaisuuspiiri ja muutoksenhakuoikeudet määrit</w:t>
      </w:r>
      <w:r w:rsidR="005E7434">
        <w:t>tyvät tapauskohtaisesti</w:t>
      </w:r>
      <w:r w:rsidR="007722D5">
        <w:t xml:space="preserve"> riippuen siitä, sattuuko UTU-asia liittymään ympäristöluvan harkintaan vai ei. Toisaa</w:t>
      </w:r>
      <w:r w:rsidR="0046492B">
        <w:t xml:space="preserve">lta tätä </w:t>
      </w:r>
      <w:r w:rsidR="007722D5">
        <w:t>ongelmaa ei voi pitää erit</w:t>
      </w:r>
      <w:r w:rsidR="005E7434">
        <w:t>yisen merkittävänä</w:t>
      </w:r>
      <w:r w:rsidR="007722D5">
        <w:t xml:space="preserve">, koska sekä ympäristönsuojelulain että jätelain menettelyt takaavat perusoikeusnäkökulmasta riittävän oikeusturvan ja osallistumisoikeudet UTU-päätöksissä. </w:t>
      </w:r>
      <w:r w:rsidR="0059377E">
        <w:t xml:space="preserve"> </w:t>
      </w:r>
    </w:p>
    <w:p w14:paraId="384C5FEA" w14:textId="77777777" w:rsidR="00672F6D" w:rsidRPr="00DB37C9" w:rsidRDefault="00672F6D" w:rsidP="009A52AD">
      <w:pPr>
        <w:jc w:val="both"/>
      </w:pPr>
    </w:p>
    <w:sectPr w:rsidR="00672F6D" w:rsidRPr="00DB37C9" w:rsidSect="007F0666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5DF6" w16cex:dateUtc="2023-03-28T09:37:00Z"/>
  <w16cex:commentExtensible w16cex:durableId="27CD5E22" w16cex:dateUtc="2023-03-28T09:37:00Z"/>
  <w16cex:commentExtensible w16cex:durableId="27CD5E70" w16cex:dateUtc="2023-03-28T09:39:00Z"/>
  <w16cex:commentExtensible w16cex:durableId="27CD5EA4" w16cex:dateUtc="2023-03-28T09:40:00Z"/>
  <w16cex:commentExtensible w16cex:durableId="27CD5F0C" w16cex:dateUtc="2023-03-28T09:41:00Z"/>
  <w16cex:commentExtensible w16cex:durableId="27CD5F56" w16cex:dateUtc="2023-03-28T09:43:00Z"/>
  <w16cex:commentExtensible w16cex:durableId="27CD5FC1" w16cex:dateUtc="2023-03-28T09:44:00Z"/>
  <w16cex:commentExtensible w16cex:durableId="27CD6003" w16cex:dateUtc="2023-03-28T09:45:00Z"/>
  <w16cex:commentExtensible w16cex:durableId="27CD6023" w16cex:dateUtc="2023-03-28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661DE1" w16cid:durableId="27CD5DB0"/>
  <w16cid:commentId w16cid:paraId="08D71439" w16cid:durableId="27CD5DB1"/>
  <w16cid:commentId w16cid:paraId="4A813651" w16cid:durableId="27CD5DB2"/>
  <w16cid:commentId w16cid:paraId="51AF9FF1" w16cid:durableId="27CD5DF6"/>
  <w16cid:commentId w16cid:paraId="25EE71C7" w16cid:durableId="27CD5E22"/>
  <w16cid:commentId w16cid:paraId="359AB1E8" w16cid:durableId="27CD5E70"/>
  <w16cid:commentId w16cid:paraId="259147DA" w16cid:durableId="27CD5EA4"/>
  <w16cid:commentId w16cid:paraId="555668BF" w16cid:durableId="27CD5F0C"/>
  <w16cid:commentId w16cid:paraId="5BE1FF20" w16cid:durableId="27CD5F56"/>
  <w16cid:commentId w16cid:paraId="58C0DA12" w16cid:durableId="27CD5FC1"/>
  <w16cid:commentId w16cid:paraId="5CB43920" w16cid:durableId="27CD5DB3"/>
  <w16cid:commentId w16cid:paraId="6D842351" w16cid:durableId="27CD6003"/>
  <w16cid:commentId w16cid:paraId="33DEE811" w16cid:durableId="27CD6023"/>
  <w16cid:commentId w16cid:paraId="66AE8001" w16cid:durableId="27CD5DB4"/>
  <w16cid:commentId w16cid:paraId="02E716E7" w16cid:durableId="27CD5DB5"/>
  <w16cid:commentId w16cid:paraId="7127C7BA" w16cid:durableId="27CD5DB6"/>
  <w16cid:commentId w16cid:paraId="485512FA" w16cid:durableId="27CD5DB7"/>
  <w16cid:commentId w16cid:paraId="49655757" w16cid:durableId="27CD5DB8"/>
  <w16cid:commentId w16cid:paraId="0B942FFD" w16cid:durableId="27CD5DB9"/>
  <w16cid:commentId w16cid:paraId="63B5A44E" w16cid:durableId="27CD5DBA"/>
  <w16cid:commentId w16cid:paraId="53000DAE" w16cid:durableId="27CD5DBB"/>
  <w16cid:commentId w16cid:paraId="58A374A0" w16cid:durableId="27CD5DBC"/>
  <w16cid:commentId w16cid:paraId="12375F9F" w16cid:durableId="27CD5DBD"/>
  <w16cid:commentId w16cid:paraId="06D9E4EB" w16cid:durableId="27CD5DBE"/>
  <w16cid:commentId w16cid:paraId="07724CF5" w16cid:durableId="27CD5DBF"/>
  <w16cid:commentId w16cid:paraId="7A42E78E" w16cid:durableId="27CD5DC0"/>
  <w16cid:commentId w16cid:paraId="157B4BAF" w16cid:durableId="27CD5DC1"/>
  <w16cid:commentId w16cid:paraId="5181C2EE" w16cid:durableId="27CD5DC2"/>
  <w16cid:commentId w16cid:paraId="12629C7E" w16cid:durableId="27CD5DC3"/>
  <w16cid:commentId w16cid:paraId="329B6BF7" w16cid:durableId="27CD5DC4"/>
  <w16cid:commentId w16cid:paraId="61AAC3AB" w16cid:durableId="27CD5D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E294" w14:textId="77777777" w:rsidR="00CA0E30" w:rsidRDefault="00CA0E30" w:rsidP="002D1F82">
      <w:pPr>
        <w:spacing w:after="0" w:line="240" w:lineRule="auto"/>
      </w:pPr>
      <w:r>
        <w:separator/>
      </w:r>
    </w:p>
  </w:endnote>
  <w:endnote w:type="continuationSeparator" w:id="0">
    <w:p w14:paraId="38EB42EB" w14:textId="77777777" w:rsidR="00CA0E30" w:rsidRDefault="00CA0E30" w:rsidP="002D1F82">
      <w:pPr>
        <w:spacing w:after="0" w:line="240" w:lineRule="auto"/>
      </w:pPr>
      <w:r>
        <w:continuationSeparator/>
      </w:r>
    </w:p>
  </w:endnote>
  <w:endnote w:type="continuationNotice" w:id="1">
    <w:p w14:paraId="3D28A0CA" w14:textId="77777777" w:rsidR="00CA0E30" w:rsidRDefault="00CA0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6C36" w14:textId="1986252C" w:rsidR="0098438B" w:rsidRDefault="0098438B">
    <w:pPr>
      <w:pStyle w:val="Alatunniste"/>
      <w:jc w:val="right"/>
    </w:pPr>
  </w:p>
  <w:p w14:paraId="5761BE66" w14:textId="77777777" w:rsidR="0098438B" w:rsidRDefault="009843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A5014" w14:textId="77777777" w:rsidR="00CA0E30" w:rsidRDefault="00CA0E30" w:rsidP="002D1F82">
      <w:pPr>
        <w:spacing w:after="0" w:line="240" w:lineRule="auto"/>
      </w:pPr>
      <w:r>
        <w:separator/>
      </w:r>
    </w:p>
  </w:footnote>
  <w:footnote w:type="continuationSeparator" w:id="0">
    <w:p w14:paraId="098CBD67" w14:textId="77777777" w:rsidR="00CA0E30" w:rsidRDefault="00CA0E30" w:rsidP="002D1F82">
      <w:pPr>
        <w:spacing w:after="0" w:line="240" w:lineRule="auto"/>
      </w:pPr>
      <w:r>
        <w:continuationSeparator/>
      </w:r>
    </w:p>
  </w:footnote>
  <w:footnote w:type="continuationNotice" w:id="1">
    <w:p w14:paraId="0ACD89C1" w14:textId="77777777" w:rsidR="00CA0E30" w:rsidRDefault="00CA0E30">
      <w:pPr>
        <w:spacing w:after="0" w:line="240" w:lineRule="auto"/>
      </w:pPr>
    </w:p>
  </w:footnote>
  <w:footnote w:id="2">
    <w:p w14:paraId="51DF11C3" w14:textId="1B6E8D3C" w:rsidR="0098438B" w:rsidRDefault="0098438B">
      <w:pPr>
        <w:pStyle w:val="Alaviitteenteksti"/>
      </w:pPr>
      <w:r>
        <w:rPr>
          <w:rStyle w:val="Alaviitteenviite"/>
        </w:rPr>
        <w:footnoteRef/>
      </w:r>
      <w:r>
        <w:t xml:space="preserve"> Kauppila, Jussi – Turunen, Topi: Materiaalin jätestatuksesta päättäminen tapauskohtaisesti: menettelyyn liittyvien sääntelyvaihtoehtojen tarkastelua. Muistio 30.1.2019.</w:t>
      </w:r>
    </w:p>
  </w:footnote>
  <w:footnote w:id="3">
    <w:p w14:paraId="0E5E7333" w14:textId="5AA840AB" w:rsidR="0098438B" w:rsidRDefault="0098438B">
      <w:pPr>
        <w:pStyle w:val="Alaviitteenteksti"/>
      </w:pPr>
      <w:r>
        <w:rPr>
          <w:rStyle w:val="Alaviitteenviite"/>
        </w:rPr>
        <w:footnoteRef/>
      </w:r>
      <w:r>
        <w:t xml:space="preserve"> UTU-työryhmän väliraportti 30.6.2022: Tapauskohtaisen jätteeksi luokittelun päättymistä ja sivutuotteita koskevan päätöksenteon kehittäminen. Saatavilla sähköisenä ympäristöministeriön internet-sivuilla: </w:t>
      </w:r>
      <w:hyperlink r:id="rId1" w:history="1">
        <w:r w:rsidRPr="009548E9">
          <w:rPr>
            <w:rStyle w:val="Hyperlinkki"/>
          </w:rPr>
          <w:t>https://ym.fi/documents/1410903/38678498/Tapauskohtaisen+j%C3%A4tteeksi+luokittelun+p%C3%A4%C3%A4ttymist%C3%A4+ja+sivutuotteita+koskevan+p%C3%A4%C3%A4t%C3%B6ksenteon+kehitt%C3%A4minen+-+v%C3%A4liraportti+30062022.pdf/bb788a35-e004-df95-2d4c-adb3bbacc34f/Tapauskohtaisen+j%C3%A4tteeksi+luokittelun+p%C3%A4%C3%A4ttymist%C3%A4+ja+sivutuotteita+koskevan+p%C3%A4%C3%A4t%C3%B6ksenteon+kehitt%C3%A4minen+-+v%C3%A4liraportti+30062022.pdf?t=1656646369040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31D"/>
    <w:multiLevelType w:val="multilevel"/>
    <w:tmpl w:val="8A148B7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E205D6"/>
    <w:multiLevelType w:val="hybridMultilevel"/>
    <w:tmpl w:val="F1B65486"/>
    <w:lvl w:ilvl="0" w:tplc="36D611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31C"/>
    <w:multiLevelType w:val="multilevel"/>
    <w:tmpl w:val="FF7CC34C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E047A4"/>
    <w:multiLevelType w:val="hybridMultilevel"/>
    <w:tmpl w:val="304ACCE2"/>
    <w:lvl w:ilvl="0" w:tplc="33D284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941A0"/>
    <w:multiLevelType w:val="hybridMultilevel"/>
    <w:tmpl w:val="CA6080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1FB6"/>
    <w:multiLevelType w:val="hybridMultilevel"/>
    <w:tmpl w:val="9B268348"/>
    <w:lvl w:ilvl="0" w:tplc="A0567B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5220"/>
    <w:multiLevelType w:val="hybridMultilevel"/>
    <w:tmpl w:val="9530019C"/>
    <w:lvl w:ilvl="0" w:tplc="59A0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4934"/>
    <w:multiLevelType w:val="multilevel"/>
    <w:tmpl w:val="FF7CC34C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097303"/>
    <w:multiLevelType w:val="hybridMultilevel"/>
    <w:tmpl w:val="358ECF0E"/>
    <w:lvl w:ilvl="0" w:tplc="59A0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C6EEC"/>
    <w:multiLevelType w:val="hybridMultilevel"/>
    <w:tmpl w:val="345AAE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D2BB4"/>
    <w:multiLevelType w:val="hybridMultilevel"/>
    <w:tmpl w:val="B064A182"/>
    <w:lvl w:ilvl="0" w:tplc="59A0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66CB"/>
    <w:multiLevelType w:val="hybridMultilevel"/>
    <w:tmpl w:val="0D9800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6217B"/>
    <w:multiLevelType w:val="multilevel"/>
    <w:tmpl w:val="4C585214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5800BB"/>
    <w:multiLevelType w:val="multilevel"/>
    <w:tmpl w:val="A34069C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6C2378"/>
    <w:multiLevelType w:val="hybridMultilevel"/>
    <w:tmpl w:val="BBB6EF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3D11"/>
    <w:multiLevelType w:val="multilevel"/>
    <w:tmpl w:val="8A148B7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CF2AE3"/>
    <w:multiLevelType w:val="hybridMultilevel"/>
    <w:tmpl w:val="E142660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410117"/>
    <w:multiLevelType w:val="hybridMultilevel"/>
    <w:tmpl w:val="BE02CA4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1E4B"/>
    <w:multiLevelType w:val="hybridMultilevel"/>
    <w:tmpl w:val="9326C6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03E85"/>
    <w:multiLevelType w:val="multilevel"/>
    <w:tmpl w:val="A34069C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B2A7EC0"/>
    <w:multiLevelType w:val="hybridMultilevel"/>
    <w:tmpl w:val="89D2D490"/>
    <w:lvl w:ilvl="0" w:tplc="D772D4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60961"/>
    <w:multiLevelType w:val="multilevel"/>
    <w:tmpl w:val="8676C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877606"/>
    <w:multiLevelType w:val="hybridMultilevel"/>
    <w:tmpl w:val="1966BE2E"/>
    <w:lvl w:ilvl="0" w:tplc="59A0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C2607"/>
    <w:multiLevelType w:val="hybridMultilevel"/>
    <w:tmpl w:val="D688B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43B9"/>
    <w:multiLevelType w:val="hybridMultilevel"/>
    <w:tmpl w:val="2D36FC2E"/>
    <w:lvl w:ilvl="0" w:tplc="C69E1E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484954"/>
    <w:multiLevelType w:val="hybridMultilevel"/>
    <w:tmpl w:val="AB72A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964D8"/>
    <w:multiLevelType w:val="multilevel"/>
    <w:tmpl w:val="7AA48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B5105D7"/>
    <w:multiLevelType w:val="hybridMultilevel"/>
    <w:tmpl w:val="82E64A1E"/>
    <w:lvl w:ilvl="0" w:tplc="25CA0A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92BF5"/>
    <w:multiLevelType w:val="hybridMultilevel"/>
    <w:tmpl w:val="DC0A0AB6"/>
    <w:lvl w:ilvl="0" w:tplc="B8225F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C148C"/>
    <w:multiLevelType w:val="hybridMultilevel"/>
    <w:tmpl w:val="6D76E0EE"/>
    <w:lvl w:ilvl="0" w:tplc="9B1AAF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90EB9"/>
    <w:multiLevelType w:val="hybridMultilevel"/>
    <w:tmpl w:val="D1B252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A1CA9"/>
    <w:multiLevelType w:val="hybridMultilevel"/>
    <w:tmpl w:val="58BCA0E0"/>
    <w:lvl w:ilvl="0" w:tplc="25CA0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F4370"/>
    <w:multiLevelType w:val="hybridMultilevel"/>
    <w:tmpl w:val="4CACB698"/>
    <w:lvl w:ilvl="0" w:tplc="A85082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D512E7"/>
    <w:multiLevelType w:val="hybridMultilevel"/>
    <w:tmpl w:val="C970637C"/>
    <w:lvl w:ilvl="0" w:tplc="59A0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470B4"/>
    <w:multiLevelType w:val="multilevel"/>
    <w:tmpl w:val="FF7CC34C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FE333FC"/>
    <w:multiLevelType w:val="multilevel"/>
    <w:tmpl w:val="6148A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72E57EAE"/>
    <w:multiLevelType w:val="hybridMultilevel"/>
    <w:tmpl w:val="36C8DD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E276D"/>
    <w:multiLevelType w:val="hybridMultilevel"/>
    <w:tmpl w:val="683A03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35DBC"/>
    <w:multiLevelType w:val="hybridMultilevel"/>
    <w:tmpl w:val="5BA8C14E"/>
    <w:lvl w:ilvl="0" w:tplc="59A0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7344B"/>
    <w:multiLevelType w:val="hybridMultilevel"/>
    <w:tmpl w:val="D1B252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60789"/>
    <w:multiLevelType w:val="hybridMultilevel"/>
    <w:tmpl w:val="06DA315E"/>
    <w:lvl w:ilvl="0" w:tplc="A7BEB92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06E2E"/>
    <w:multiLevelType w:val="hybridMultilevel"/>
    <w:tmpl w:val="48D0A4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32"/>
  </w:num>
  <w:num w:numId="5">
    <w:abstractNumId w:val="20"/>
  </w:num>
  <w:num w:numId="6">
    <w:abstractNumId w:val="28"/>
  </w:num>
  <w:num w:numId="7">
    <w:abstractNumId w:val="3"/>
  </w:num>
  <w:num w:numId="8">
    <w:abstractNumId w:val="41"/>
  </w:num>
  <w:num w:numId="9">
    <w:abstractNumId w:val="37"/>
  </w:num>
  <w:num w:numId="10">
    <w:abstractNumId w:val="31"/>
  </w:num>
  <w:num w:numId="11">
    <w:abstractNumId w:val="4"/>
  </w:num>
  <w:num w:numId="12">
    <w:abstractNumId w:val="11"/>
  </w:num>
  <w:num w:numId="13">
    <w:abstractNumId w:val="38"/>
  </w:num>
  <w:num w:numId="14">
    <w:abstractNumId w:val="26"/>
  </w:num>
  <w:num w:numId="15">
    <w:abstractNumId w:val="21"/>
  </w:num>
  <w:num w:numId="16">
    <w:abstractNumId w:val="36"/>
  </w:num>
  <w:num w:numId="17">
    <w:abstractNumId w:val="9"/>
  </w:num>
  <w:num w:numId="18">
    <w:abstractNumId w:val="39"/>
  </w:num>
  <w:num w:numId="19">
    <w:abstractNumId w:val="14"/>
  </w:num>
  <w:num w:numId="20">
    <w:abstractNumId w:val="16"/>
  </w:num>
  <w:num w:numId="21">
    <w:abstractNumId w:val="12"/>
  </w:num>
  <w:num w:numId="22">
    <w:abstractNumId w:val="13"/>
  </w:num>
  <w:num w:numId="23">
    <w:abstractNumId w:val="6"/>
  </w:num>
  <w:num w:numId="24">
    <w:abstractNumId w:val="15"/>
  </w:num>
  <w:num w:numId="25">
    <w:abstractNumId w:val="0"/>
  </w:num>
  <w:num w:numId="26">
    <w:abstractNumId w:val="25"/>
  </w:num>
  <w:num w:numId="27">
    <w:abstractNumId w:val="35"/>
  </w:num>
  <w:num w:numId="28">
    <w:abstractNumId w:val="17"/>
  </w:num>
  <w:num w:numId="29">
    <w:abstractNumId w:val="18"/>
  </w:num>
  <w:num w:numId="30">
    <w:abstractNumId w:val="1"/>
  </w:num>
  <w:num w:numId="31">
    <w:abstractNumId w:val="19"/>
  </w:num>
  <w:num w:numId="32">
    <w:abstractNumId w:val="34"/>
  </w:num>
  <w:num w:numId="33">
    <w:abstractNumId w:val="29"/>
  </w:num>
  <w:num w:numId="34">
    <w:abstractNumId w:val="2"/>
  </w:num>
  <w:num w:numId="35">
    <w:abstractNumId w:val="7"/>
  </w:num>
  <w:num w:numId="36">
    <w:abstractNumId w:val="5"/>
  </w:num>
  <w:num w:numId="37">
    <w:abstractNumId w:val="40"/>
  </w:num>
  <w:num w:numId="38">
    <w:abstractNumId w:val="22"/>
  </w:num>
  <w:num w:numId="39">
    <w:abstractNumId w:val="10"/>
  </w:num>
  <w:num w:numId="40">
    <w:abstractNumId w:val="33"/>
  </w:num>
  <w:num w:numId="41">
    <w:abstractNumId w:val="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263B6"/>
    <w:rsid w:val="00007943"/>
    <w:rsid w:val="00020A2F"/>
    <w:rsid w:val="00022C03"/>
    <w:rsid w:val="00025186"/>
    <w:rsid w:val="000273B0"/>
    <w:rsid w:val="00027C13"/>
    <w:rsid w:val="00031907"/>
    <w:rsid w:val="0003399B"/>
    <w:rsid w:val="00036F85"/>
    <w:rsid w:val="000629C5"/>
    <w:rsid w:val="00066FFA"/>
    <w:rsid w:val="00070AF1"/>
    <w:rsid w:val="000756D2"/>
    <w:rsid w:val="00076B69"/>
    <w:rsid w:val="00096592"/>
    <w:rsid w:val="000A3B8A"/>
    <w:rsid w:val="000A7746"/>
    <w:rsid w:val="000B4F45"/>
    <w:rsid w:val="000C44A3"/>
    <w:rsid w:val="000C6D40"/>
    <w:rsid w:val="000D21E9"/>
    <w:rsid w:val="000D5219"/>
    <w:rsid w:val="000D559E"/>
    <w:rsid w:val="000D6B34"/>
    <w:rsid w:val="000E2121"/>
    <w:rsid w:val="000E2BE1"/>
    <w:rsid w:val="000F05CB"/>
    <w:rsid w:val="000F06CF"/>
    <w:rsid w:val="000F2EA4"/>
    <w:rsid w:val="000F4820"/>
    <w:rsid w:val="00102CA8"/>
    <w:rsid w:val="001041B3"/>
    <w:rsid w:val="00111968"/>
    <w:rsid w:val="00112BD8"/>
    <w:rsid w:val="00127839"/>
    <w:rsid w:val="00132FDA"/>
    <w:rsid w:val="00156769"/>
    <w:rsid w:val="001627B3"/>
    <w:rsid w:val="00163AEF"/>
    <w:rsid w:val="001720C2"/>
    <w:rsid w:val="00176FAB"/>
    <w:rsid w:val="0018013B"/>
    <w:rsid w:val="00180474"/>
    <w:rsid w:val="001949C1"/>
    <w:rsid w:val="00194A1A"/>
    <w:rsid w:val="00196F0D"/>
    <w:rsid w:val="001A4CE8"/>
    <w:rsid w:val="001C39E9"/>
    <w:rsid w:val="001C5584"/>
    <w:rsid w:val="001C591B"/>
    <w:rsid w:val="001C5BFB"/>
    <w:rsid w:val="001C6803"/>
    <w:rsid w:val="001C7D8C"/>
    <w:rsid w:val="001E4D57"/>
    <w:rsid w:val="001E7576"/>
    <w:rsid w:val="00201E82"/>
    <w:rsid w:val="00212489"/>
    <w:rsid w:val="00212F68"/>
    <w:rsid w:val="00227340"/>
    <w:rsid w:val="002317A8"/>
    <w:rsid w:val="00232FB3"/>
    <w:rsid w:val="00236B06"/>
    <w:rsid w:val="002444C0"/>
    <w:rsid w:val="00254204"/>
    <w:rsid w:val="00254E24"/>
    <w:rsid w:val="00255A38"/>
    <w:rsid w:val="00257EAC"/>
    <w:rsid w:val="002861BA"/>
    <w:rsid w:val="00286BF1"/>
    <w:rsid w:val="00295B15"/>
    <w:rsid w:val="002B2C54"/>
    <w:rsid w:val="002C0204"/>
    <w:rsid w:val="002C7D8C"/>
    <w:rsid w:val="002D1F82"/>
    <w:rsid w:val="002D4E3C"/>
    <w:rsid w:val="002D60E6"/>
    <w:rsid w:val="002E0824"/>
    <w:rsid w:val="002F18F8"/>
    <w:rsid w:val="002F3014"/>
    <w:rsid w:val="002F37C7"/>
    <w:rsid w:val="002F3BC1"/>
    <w:rsid w:val="002F6136"/>
    <w:rsid w:val="00302232"/>
    <w:rsid w:val="00307BE9"/>
    <w:rsid w:val="00311824"/>
    <w:rsid w:val="0031420E"/>
    <w:rsid w:val="003203A1"/>
    <w:rsid w:val="00326EE4"/>
    <w:rsid w:val="00330BBF"/>
    <w:rsid w:val="003429A5"/>
    <w:rsid w:val="00343DDE"/>
    <w:rsid w:val="003447E4"/>
    <w:rsid w:val="00346546"/>
    <w:rsid w:val="0035687E"/>
    <w:rsid w:val="00363CFC"/>
    <w:rsid w:val="00370E3E"/>
    <w:rsid w:val="0037219B"/>
    <w:rsid w:val="003752EC"/>
    <w:rsid w:val="00376988"/>
    <w:rsid w:val="00376DD2"/>
    <w:rsid w:val="00377E31"/>
    <w:rsid w:val="00385FDA"/>
    <w:rsid w:val="00395A1A"/>
    <w:rsid w:val="00397047"/>
    <w:rsid w:val="003B0501"/>
    <w:rsid w:val="003B13F3"/>
    <w:rsid w:val="003B4F17"/>
    <w:rsid w:val="003C027D"/>
    <w:rsid w:val="003C2537"/>
    <w:rsid w:val="003C31AD"/>
    <w:rsid w:val="003C5259"/>
    <w:rsid w:val="003D2C19"/>
    <w:rsid w:val="00404E73"/>
    <w:rsid w:val="00405370"/>
    <w:rsid w:val="004069B7"/>
    <w:rsid w:val="00407597"/>
    <w:rsid w:val="004220B4"/>
    <w:rsid w:val="0042289A"/>
    <w:rsid w:val="00422C5C"/>
    <w:rsid w:val="00431FBB"/>
    <w:rsid w:val="00434514"/>
    <w:rsid w:val="00436C7B"/>
    <w:rsid w:val="00441BB5"/>
    <w:rsid w:val="004435EC"/>
    <w:rsid w:val="00447035"/>
    <w:rsid w:val="00447DE7"/>
    <w:rsid w:val="00454758"/>
    <w:rsid w:val="0046492B"/>
    <w:rsid w:val="00465589"/>
    <w:rsid w:val="00465898"/>
    <w:rsid w:val="00467EC3"/>
    <w:rsid w:val="00467FC2"/>
    <w:rsid w:val="00474FC2"/>
    <w:rsid w:val="004756AB"/>
    <w:rsid w:val="00475F10"/>
    <w:rsid w:val="00477C91"/>
    <w:rsid w:val="00480F87"/>
    <w:rsid w:val="00496637"/>
    <w:rsid w:val="00496F1F"/>
    <w:rsid w:val="004A538A"/>
    <w:rsid w:val="004C0E9D"/>
    <w:rsid w:val="004C1C70"/>
    <w:rsid w:val="004D5D0A"/>
    <w:rsid w:val="004E2E8F"/>
    <w:rsid w:val="004E4EC6"/>
    <w:rsid w:val="004F3169"/>
    <w:rsid w:val="004F6D67"/>
    <w:rsid w:val="00514380"/>
    <w:rsid w:val="00520127"/>
    <w:rsid w:val="005215F3"/>
    <w:rsid w:val="00525BE0"/>
    <w:rsid w:val="00532C54"/>
    <w:rsid w:val="005337A2"/>
    <w:rsid w:val="0055095E"/>
    <w:rsid w:val="00550A2D"/>
    <w:rsid w:val="00561C5B"/>
    <w:rsid w:val="00572FBB"/>
    <w:rsid w:val="00574F10"/>
    <w:rsid w:val="00584D51"/>
    <w:rsid w:val="00585568"/>
    <w:rsid w:val="0059377E"/>
    <w:rsid w:val="005A00B2"/>
    <w:rsid w:val="005A1BB5"/>
    <w:rsid w:val="005A215C"/>
    <w:rsid w:val="005B5367"/>
    <w:rsid w:val="005C4E94"/>
    <w:rsid w:val="005C62C0"/>
    <w:rsid w:val="005D210B"/>
    <w:rsid w:val="005E31EF"/>
    <w:rsid w:val="005E3EB2"/>
    <w:rsid w:val="005E7434"/>
    <w:rsid w:val="005F06F7"/>
    <w:rsid w:val="005F54D1"/>
    <w:rsid w:val="0060116D"/>
    <w:rsid w:val="006035C0"/>
    <w:rsid w:val="0060467D"/>
    <w:rsid w:val="00605604"/>
    <w:rsid w:val="00611925"/>
    <w:rsid w:val="00613A72"/>
    <w:rsid w:val="006171F1"/>
    <w:rsid w:val="00617BE2"/>
    <w:rsid w:val="00620D69"/>
    <w:rsid w:val="00624171"/>
    <w:rsid w:val="00624EA8"/>
    <w:rsid w:val="006344DD"/>
    <w:rsid w:val="00640371"/>
    <w:rsid w:val="00641362"/>
    <w:rsid w:val="006458F2"/>
    <w:rsid w:val="006506F6"/>
    <w:rsid w:val="00660661"/>
    <w:rsid w:val="00670575"/>
    <w:rsid w:val="006718AF"/>
    <w:rsid w:val="00672193"/>
    <w:rsid w:val="00672F6D"/>
    <w:rsid w:val="006757BF"/>
    <w:rsid w:val="0068733F"/>
    <w:rsid w:val="00692B6F"/>
    <w:rsid w:val="00693F30"/>
    <w:rsid w:val="006941D8"/>
    <w:rsid w:val="006A7A5B"/>
    <w:rsid w:val="006B02CC"/>
    <w:rsid w:val="006B62E7"/>
    <w:rsid w:val="006C6990"/>
    <w:rsid w:val="006D4419"/>
    <w:rsid w:val="006D51A2"/>
    <w:rsid w:val="006F70CD"/>
    <w:rsid w:val="006F714C"/>
    <w:rsid w:val="006F7C3C"/>
    <w:rsid w:val="00705060"/>
    <w:rsid w:val="00706177"/>
    <w:rsid w:val="00713FC7"/>
    <w:rsid w:val="007318B6"/>
    <w:rsid w:val="00736C2D"/>
    <w:rsid w:val="00740F63"/>
    <w:rsid w:val="00750D58"/>
    <w:rsid w:val="00751163"/>
    <w:rsid w:val="00755FD6"/>
    <w:rsid w:val="00757BC7"/>
    <w:rsid w:val="00757E6D"/>
    <w:rsid w:val="007609E5"/>
    <w:rsid w:val="00762125"/>
    <w:rsid w:val="0076263E"/>
    <w:rsid w:val="00766488"/>
    <w:rsid w:val="00770B0C"/>
    <w:rsid w:val="007722D5"/>
    <w:rsid w:val="00783884"/>
    <w:rsid w:val="00784C5E"/>
    <w:rsid w:val="00787BD5"/>
    <w:rsid w:val="007A2B21"/>
    <w:rsid w:val="007A702C"/>
    <w:rsid w:val="007B5A5D"/>
    <w:rsid w:val="007B74D8"/>
    <w:rsid w:val="007B78FE"/>
    <w:rsid w:val="007B7910"/>
    <w:rsid w:val="007C342C"/>
    <w:rsid w:val="007C5435"/>
    <w:rsid w:val="007E3E23"/>
    <w:rsid w:val="007F0666"/>
    <w:rsid w:val="007F7848"/>
    <w:rsid w:val="00800DD8"/>
    <w:rsid w:val="0080644D"/>
    <w:rsid w:val="0081161D"/>
    <w:rsid w:val="008242E0"/>
    <w:rsid w:val="00830618"/>
    <w:rsid w:val="00831D8E"/>
    <w:rsid w:val="00835990"/>
    <w:rsid w:val="00843F09"/>
    <w:rsid w:val="0086300C"/>
    <w:rsid w:val="0086557A"/>
    <w:rsid w:val="00866E80"/>
    <w:rsid w:val="00870121"/>
    <w:rsid w:val="008803CB"/>
    <w:rsid w:val="00884A74"/>
    <w:rsid w:val="00885FF3"/>
    <w:rsid w:val="0089259F"/>
    <w:rsid w:val="00896FF1"/>
    <w:rsid w:val="008B1F5F"/>
    <w:rsid w:val="008B5883"/>
    <w:rsid w:val="008C0E74"/>
    <w:rsid w:val="008C1943"/>
    <w:rsid w:val="008C37F2"/>
    <w:rsid w:val="008C7178"/>
    <w:rsid w:val="008C73E0"/>
    <w:rsid w:val="008E3957"/>
    <w:rsid w:val="008E7615"/>
    <w:rsid w:val="008F1DF3"/>
    <w:rsid w:val="008F1F40"/>
    <w:rsid w:val="009073E0"/>
    <w:rsid w:val="00910FA3"/>
    <w:rsid w:val="0091295F"/>
    <w:rsid w:val="009151E4"/>
    <w:rsid w:val="00917CFE"/>
    <w:rsid w:val="00941689"/>
    <w:rsid w:val="00947DB4"/>
    <w:rsid w:val="00954E21"/>
    <w:rsid w:val="00957DD7"/>
    <w:rsid w:val="00965D62"/>
    <w:rsid w:val="00970E4B"/>
    <w:rsid w:val="009756BE"/>
    <w:rsid w:val="00982771"/>
    <w:rsid w:val="0098438B"/>
    <w:rsid w:val="00996D60"/>
    <w:rsid w:val="009A52AD"/>
    <w:rsid w:val="009B315B"/>
    <w:rsid w:val="009C3E68"/>
    <w:rsid w:val="009C47FB"/>
    <w:rsid w:val="009D0647"/>
    <w:rsid w:val="009D1CCE"/>
    <w:rsid w:val="009D5363"/>
    <w:rsid w:val="009E0DA0"/>
    <w:rsid w:val="009E4EF5"/>
    <w:rsid w:val="009E72BC"/>
    <w:rsid w:val="009F0570"/>
    <w:rsid w:val="009F3D88"/>
    <w:rsid w:val="009F45A0"/>
    <w:rsid w:val="00A07BCB"/>
    <w:rsid w:val="00A07C46"/>
    <w:rsid w:val="00A07DAF"/>
    <w:rsid w:val="00A11C9C"/>
    <w:rsid w:val="00A1213D"/>
    <w:rsid w:val="00A1359B"/>
    <w:rsid w:val="00A21222"/>
    <w:rsid w:val="00A456A3"/>
    <w:rsid w:val="00A61258"/>
    <w:rsid w:val="00A66B77"/>
    <w:rsid w:val="00A71E3D"/>
    <w:rsid w:val="00A77022"/>
    <w:rsid w:val="00A81880"/>
    <w:rsid w:val="00A838DB"/>
    <w:rsid w:val="00A8495F"/>
    <w:rsid w:val="00A84D82"/>
    <w:rsid w:val="00A8654F"/>
    <w:rsid w:val="00A87A03"/>
    <w:rsid w:val="00A93DC9"/>
    <w:rsid w:val="00AA5F94"/>
    <w:rsid w:val="00AA7EA2"/>
    <w:rsid w:val="00AC41B7"/>
    <w:rsid w:val="00AD0531"/>
    <w:rsid w:val="00AD3782"/>
    <w:rsid w:val="00AE2F57"/>
    <w:rsid w:val="00AE58BF"/>
    <w:rsid w:val="00AF412B"/>
    <w:rsid w:val="00AF6881"/>
    <w:rsid w:val="00B02510"/>
    <w:rsid w:val="00B04259"/>
    <w:rsid w:val="00B058E2"/>
    <w:rsid w:val="00B23DB2"/>
    <w:rsid w:val="00B26F87"/>
    <w:rsid w:val="00B270AC"/>
    <w:rsid w:val="00B34847"/>
    <w:rsid w:val="00B353E6"/>
    <w:rsid w:val="00B43DD4"/>
    <w:rsid w:val="00B455F7"/>
    <w:rsid w:val="00B46B64"/>
    <w:rsid w:val="00B520C6"/>
    <w:rsid w:val="00B74840"/>
    <w:rsid w:val="00B77145"/>
    <w:rsid w:val="00B822A5"/>
    <w:rsid w:val="00B83E21"/>
    <w:rsid w:val="00BA13DD"/>
    <w:rsid w:val="00BB049E"/>
    <w:rsid w:val="00BB2E40"/>
    <w:rsid w:val="00BB42C8"/>
    <w:rsid w:val="00BB4E52"/>
    <w:rsid w:val="00BB5A75"/>
    <w:rsid w:val="00BC673D"/>
    <w:rsid w:val="00BC702F"/>
    <w:rsid w:val="00BD50D2"/>
    <w:rsid w:val="00BD6CFA"/>
    <w:rsid w:val="00BE047E"/>
    <w:rsid w:val="00BF096D"/>
    <w:rsid w:val="00BF1B54"/>
    <w:rsid w:val="00C025E9"/>
    <w:rsid w:val="00C02E03"/>
    <w:rsid w:val="00C0340B"/>
    <w:rsid w:val="00C06748"/>
    <w:rsid w:val="00C11222"/>
    <w:rsid w:val="00C155EE"/>
    <w:rsid w:val="00C22BCF"/>
    <w:rsid w:val="00C26B4B"/>
    <w:rsid w:val="00C314CC"/>
    <w:rsid w:val="00C3294A"/>
    <w:rsid w:val="00C3298B"/>
    <w:rsid w:val="00C34A66"/>
    <w:rsid w:val="00C400A0"/>
    <w:rsid w:val="00C40EFF"/>
    <w:rsid w:val="00C50DED"/>
    <w:rsid w:val="00C52867"/>
    <w:rsid w:val="00C57137"/>
    <w:rsid w:val="00C57516"/>
    <w:rsid w:val="00C60DF0"/>
    <w:rsid w:val="00C72E35"/>
    <w:rsid w:val="00C8691B"/>
    <w:rsid w:val="00C919AE"/>
    <w:rsid w:val="00C93991"/>
    <w:rsid w:val="00C96667"/>
    <w:rsid w:val="00C9732C"/>
    <w:rsid w:val="00CA0E30"/>
    <w:rsid w:val="00CA6192"/>
    <w:rsid w:val="00CA7BCB"/>
    <w:rsid w:val="00CB6E54"/>
    <w:rsid w:val="00CD5543"/>
    <w:rsid w:val="00CD5EB6"/>
    <w:rsid w:val="00CF75F9"/>
    <w:rsid w:val="00D03666"/>
    <w:rsid w:val="00D04BC7"/>
    <w:rsid w:val="00D230EF"/>
    <w:rsid w:val="00D305A8"/>
    <w:rsid w:val="00D4421E"/>
    <w:rsid w:val="00D44628"/>
    <w:rsid w:val="00D478C6"/>
    <w:rsid w:val="00D50A95"/>
    <w:rsid w:val="00D52245"/>
    <w:rsid w:val="00D53BDA"/>
    <w:rsid w:val="00D63F9B"/>
    <w:rsid w:val="00D75897"/>
    <w:rsid w:val="00D84920"/>
    <w:rsid w:val="00D85104"/>
    <w:rsid w:val="00D90CA6"/>
    <w:rsid w:val="00D92022"/>
    <w:rsid w:val="00D9474F"/>
    <w:rsid w:val="00DB37C9"/>
    <w:rsid w:val="00DB455D"/>
    <w:rsid w:val="00DB6DEB"/>
    <w:rsid w:val="00DC64C4"/>
    <w:rsid w:val="00DD23D9"/>
    <w:rsid w:val="00DE0B55"/>
    <w:rsid w:val="00DE207C"/>
    <w:rsid w:val="00DE342C"/>
    <w:rsid w:val="00DE5390"/>
    <w:rsid w:val="00DE7FC9"/>
    <w:rsid w:val="00DF0C58"/>
    <w:rsid w:val="00DF0CAB"/>
    <w:rsid w:val="00DF4978"/>
    <w:rsid w:val="00DF5DF2"/>
    <w:rsid w:val="00E02150"/>
    <w:rsid w:val="00E03E5D"/>
    <w:rsid w:val="00E13FD0"/>
    <w:rsid w:val="00E21697"/>
    <w:rsid w:val="00E30D7B"/>
    <w:rsid w:val="00E364C7"/>
    <w:rsid w:val="00E377E3"/>
    <w:rsid w:val="00E523CE"/>
    <w:rsid w:val="00E61458"/>
    <w:rsid w:val="00E628F2"/>
    <w:rsid w:val="00E656F9"/>
    <w:rsid w:val="00E77C00"/>
    <w:rsid w:val="00E929E7"/>
    <w:rsid w:val="00E94617"/>
    <w:rsid w:val="00E94C45"/>
    <w:rsid w:val="00EA00B5"/>
    <w:rsid w:val="00EB3EBE"/>
    <w:rsid w:val="00EB49F9"/>
    <w:rsid w:val="00EB582E"/>
    <w:rsid w:val="00EC3AEF"/>
    <w:rsid w:val="00ED287B"/>
    <w:rsid w:val="00ED45D3"/>
    <w:rsid w:val="00EE3B92"/>
    <w:rsid w:val="00F02052"/>
    <w:rsid w:val="00F22D91"/>
    <w:rsid w:val="00F22E83"/>
    <w:rsid w:val="00F2593D"/>
    <w:rsid w:val="00F2671F"/>
    <w:rsid w:val="00F32FD9"/>
    <w:rsid w:val="00F3356F"/>
    <w:rsid w:val="00F35F1E"/>
    <w:rsid w:val="00F414AD"/>
    <w:rsid w:val="00F545D4"/>
    <w:rsid w:val="00F5738C"/>
    <w:rsid w:val="00F65E73"/>
    <w:rsid w:val="00F7129C"/>
    <w:rsid w:val="00F86872"/>
    <w:rsid w:val="00F91DEF"/>
    <w:rsid w:val="00F9471A"/>
    <w:rsid w:val="00F975C4"/>
    <w:rsid w:val="00FA6221"/>
    <w:rsid w:val="00FA6786"/>
    <w:rsid w:val="00FB34CE"/>
    <w:rsid w:val="00FB3A99"/>
    <w:rsid w:val="00FB73C3"/>
    <w:rsid w:val="00FC0CA9"/>
    <w:rsid w:val="00FC5793"/>
    <w:rsid w:val="00FC6E81"/>
    <w:rsid w:val="00FE385A"/>
    <w:rsid w:val="00FE57A3"/>
    <w:rsid w:val="00FF02A7"/>
    <w:rsid w:val="00FF4011"/>
    <w:rsid w:val="00FF6301"/>
    <w:rsid w:val="00FF63B4"/>
    <w:rsid w:val="79E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10FE"/>
  <w15:chartTrackingRefBased/>
  <w15:docId w15:val="{E0E227DE-B67C-4944-B9A5-68A701A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D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F1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54E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02CC"/>
    <w:pPr>
      <w:ind w:left="720"/>
      <w:contextualSpacing/>
    </w:pPr>
  </w:style>
  <w:style w:type="paragraph" w:styleId="Leipteksti">
    <w:name w:val="Body Text"/>
    <w:basedOn w:val="Normaali"/>
    <w:link w:val="LeiptekstiChar"/>
    <w:qFormat/>
    <w:rsid w:val="002D1F82"/>
    <w:pPr>
      <w:tabs>
        <w:tab w:val="left" w:pos="2608"/>
        <w:tab w:val="left" w:pos="5670"/>
      </w:tabs>
      <w:spacing w:line="300" w:lineRule="atLeast"/>
    </w:pPr>
    <w:rPr>
      <w:rFonts w:cstheme="minorHAnsi"/>
      <w:sz w:val="21"/>
    </w:rPr>
  </w:style>
  <w:style w:type="character" w:customStyle="1" w:styleId="LeiptekstiChar">
    <w:name w:val="Leipäteksti Char"/>
    <w:basedOn w:val="Kappaleenoletusfontti"/>
    <w:link w:val="Leipteksti"/>
    <w:rsid w:val="002D1F82"/>
    <w:rPr>
      <w:rFonts w:cstheme="minorHAnsi"/>
      <w:sz w:val="21"/>
    </w:rPr>
  </w:style>
  <w:style w:type="character" w:styleId="Hyperlinkki">
    <w:name w:val="Hyperlink"/>
    <w:basedOn w:val="Kappaleenoletusfontti"/>
    <w:uiPriority w:val="99"/>
    <w:unhideWhenUsed/>
    <w:rsid w:val="002D1F82"/>
    <w:rPr>
      <w:color w:val="0563C1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D1F82"/>
    <w:pPr>
      <w:tabs>
        <w:tab w:val="left" w:pos="2608"/>
        <w:tab w:val="left" w:pos="5670"/>
      </w:tabs>
      <w:spacing w:after="0" w:line="240" w:lineRule="auto"/>
    </w:pPr>
    <w:rPr>
      <w:rFonts w:cstheme="minorHAns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D1F82"/>
    <w:rPr>
      <w:rFonts w:cstheme="minorHAnsi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D1F82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ED2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F1D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60116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0116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0116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11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116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116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63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3AEF"/>
  </w:style>
  <w:style w:type="paragraph" w:styleId="Alatunniste">
    <w:name w:val="footer"/>
    <w:basedOn w:val="Normaali"/>
    <w:link w:val="AlatunnisteChar"/>
    <w:uiPriority w:val="99"/>
    <w:unhideWhenUsed/>
    <w:rsid w:val="00163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3AEF"/>
  </w:style>
  <w:style w:type="character" w:styleId="AvattuHyperlinkki">
    <w:name w:val="FollowedHyperlink"/>
    <w:basedOn w:val="Kappaleenoletusfontti"/>
    <w:uiPriority w:val="99"/>
    <w:semiHidden/>
    <w:unhideWhenUsed/>
    <w:rsid w:val="001627B3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254E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6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6F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m.fi/documents/1410903/38678498/Tapauskohtaisen+j%C3%A4tteeksi+luokittelun+p%C3%A4%C3%A4ttymist%C3%A4+ja+sivutuotteita+koskevan+p%C3%A4%C3%A4t%C3%B6ksenteon+kehitt%C3%A4minen+-+v%C3%A4liraportti+30062022.pdf/bb788a35-e004-df95-2d4c-adb3bbacc34f/Tapauskohtaisen+j%C3%A4tteeksi+luokittelun+p%C3%A4%C3%A4ttymist%C3%A4+ja+sivutuotteita+koskevan+p%C3%A4%C3%A4t%C3%B6ksenteon+kehitt%C3%A4minen+-+v%C3%A4liraportti+30062022.pdf?t=1656646369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E5A1-1D84-452E-8256-ADBC1BC52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95046-B8AE-4037-AE73-0887BC139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2A585-FD7A-4198-8232-7C2AFD40CA8D}">
  <ds:schemaRefs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7DE13D-37FB-445F-AB7C-7A1282E7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3494</Words>
  <Characters>28304</Characters>
  <Application>Microsoft Office Word</Application>
  <DocSecurity>0</DocSecurity>
  <Lines>235</Lines>
  <Paragraphs>63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Henriikka Harinen</dc:creator>
  <cp:keywords/>
  <dc:description/>
  <cp:lastModifiedBy>Kauppila Jussi (YM)</cp:lastModifiedBy>
  <cp:revision>2</cp:revision>
  <dcterms:created xsi:type="dcterms:W3CDTF">2023-06-07T05:30:00Z</dcterms:created>
  <dcterms:modified xsi:type="dcterms:W3CDTF">2023-06-07T05:30:00Z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