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310E1A">
      <w:bookmarkStart w:id="0" w:name="_GoBack"/>
      <w:bookmarkEnd w:id="0"/>
    </w:p>
    <w:p w:rsidR="002A6CD5" w:rsidRDefault="00310E1A"/>
    <w:p w:rsidR="002A6CD5" w:rsidRDefault="00310E1A" w:rsidP="0035265B">
      <w:pPr>
        <w:pStyle w:val="Vastaanottajatiedot"/>
      </w:pPr>
      <w:r>
        <w:t>Puolustusministeriö</w:t>
      </w:r>
    </w:p>
    <w:p w:rsidR="002A6CD5" w:rsidRDefault="00310E1A" w:rsidP="0035265B">
      <w:pPr>
        <w:pStyle w:val="Vastaanottajatiedot"/>
      </w:pPr>
    </w:p>
    <w:p w:rsidR="008C5E06" w:rsidRDefault="00310E1A"/>
    <w:p w:rsidR="002A6CD5" w:rsidRDefault="00310E1A" w:rsidP="0035265B">
      <w:pPr>
        <w:pStyle w:val="Vastaanottajatiedot"/>
      </w:pPr>
    </w:p>
    <w:p w:rsidR="002A6CD5" w:rsidRDefault="00310E1A" w:rsidP="0035265B">
      <w:pPr>
        <w:pStyle w:val="Vastaanottajatiedot"/>
      </w:pPr>
    </w:p>
    <w:p w:rsidR="002A6CD5" w:rsidRDefault="00310E1A"/>
    <w:p w:rsidR="00F874C0" w:rsidRDefault="00310E1A"/>
    <w:p w:rsidR="002A6CD5" w:rsidRDefault="00310E1A">
      <w:r>
        <w:t>Lausuntopyyntö</w:t>
      </w:r>
      <w:r w:rsidRPr="00545CC8">
        <w:t xml:space="preserve"> FI.PLM.2017-4279</w:t>
      </w:r>
    </w:p>
    <w:p w:rsidR="002A6CD5" w:rsidRDefault="00310E1A"/>
    <w:p w:rsidR="002A6CD5" w:rsidRDefault="00310E1A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lausunto; HE laiksi henkilötietojen käsittelystä Puolustusvoimissa sekä eräiden siihen liittyvien lakien muuttamisesta</w:t>
      </w:r>
      <w:r>
        <w:fldChar w:fldCharType="end"/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</w:pPr>
      <w:r>
        <w:t>Puolustusministeriö on pyytänyt sisäministeriöltä lausuntoa luonnoksesta</w:t>
      </w:r>
      <w:r w:rsidRPr="007D4D21">
        <w:t xml:space="preserve"> hallitu</w:t>
      </w:r>
      <w:r>
        <w:t>ksen esitykseksi laiksi henkilö</w:t>
      </w:r>
      <w:r w:rsidRPr="007D4D21">
        <w:t>tietojen käsittelystä Puolustusvoimissa sekä eräiden siihen liittyvien lakien muuttamisesta</w:t>
      </w:r>
      <w:r>
        <w:t xml:space="preserve"> sisäministeriön lausunnon laatimista varten. Sisämini</w:t>
      </w:r>
      <w:r>
        <w:t>steriö toteaa lausuntonaan luonnoksesta seuraavaa.</w:t>
      </w:r>
    </w:p>
    <w:p w:rsidR="003B0899" w:rsidRDefault="00310E1A" w:rsidP="003B0899">
      <w:pPr>
        <w:pStyle w:val="Sivuotsikko"/>
      </w:pPr>
      <w:r w:rsidRPr="008C054E">
        <w:t>Yleiset kommentit lakiluonnoksesta</w:t>
      </w:r>
    </w:p>
    <w:p w:rsidR="00B739C2" w:rsidRDefault="00310E1A" w:rsidP="003B0899">
      <w:pPr>
        <w:pStyle w:val="Leipteksti"/>
        <w:tabs>
          <w:tab w:val="left" w:pos="10205"/>
        </w:tabs>
        <w:ind w:right="-1"/>
        <w:jc w:val="both"/>
      </w:pPr>
      <w:r>
        <w:t>Sisäministeriö</w:t>
      </w:r>
      <w:r>
        <w:t xml:space="preserve"> </w:t>
      </w:r>
      <w:r w:rsidRPr="00F93CF1">
        <w:t>pitää kannatettavana</w:t>
      </w:r>
      <w:r w:rsidRPr="00E71360">
        <w:rPr>
          <w:color w:val="FF0000"/>
        </w:rPr>
        <w:t xml:space="preserve"> </w:t>
      </w:r>
      <w:r>
        <w:t>Puolustusvoimien suorittamaa</w:t>
      </w:r>
      <w:r w:rsidRPr="004D0FBD">
        <w:t xml:space="preserve"> henkilötietojen käsittelyä </w:t>
      </w:r>
      <w:r>
        <w:t>koskevien</w:t>
      </w:r>
      <w:r w:rsidRPr="004D0FBD">
        <w:t xml:space="preserve"> </w:t>
      </w:r>
      <w:r>
        <w:t>säännösten</w:t>
      </w:r>
      <w:r w:rsidRPr="004D0FBD">
        <w:t xml:space="preserve"> keskittämistä </w:t>
      </w:r>
      <w:r>
        <w:t xml:space="preserve">ehdotetulla tavalla uuteen henkilötietojen </w:t>
      </w:r>
      <w:r>
        <w:t xml:space="preserve">käsittelystä Puolustusvoimissa annettavaan </w:t>
      </w:r>
      <w:r w:rsidRPr="004D0FBD">
        <w:t>lakiin</w:t>
      </w:r>
      <w:r>
        <w:t xml:space="preserve"> sekä sotilastiedustelua koskevien tehtävien hoitamiseksi tapahtuvan henkilötietojen käsittelyn </w:t>
      </w:r>
      <w:r w:rsidRPr="00F93CF1">
        <w:t>nostamista henkilötietojen käsittelyä koskevan erityislainsäädännön piiriin</w:t>
      </w:r>
      <w:r>
        <w:t>.</w:t>
      </w:r>
    </w:p>
    <w:p w:rsidR="003B0899" w:rsidRPr="00B739C2" w:rsidRDefault="00310E1A" w:rsidP="003B0899">
      <w:pPr>
        <w:pStyle w:val="Leipteksti"/>
        <w:tabs>
          <w:tab w:val="left" w:pos="10205"/>
        </w:tabs>
        <w:ind w:right="-1"/>
        <w:jc w:val="both"/>
      </w:pPr>
      <w:r w:rsidRPr="00B739C2">
        <w:t xml:space="preserve">Sisäministeriön rajavartio-osasto </w:t>
      </w:r>
      <w:r w:rsidRPr="00B739C2">
        <w:t xml:space="preserve">on osallistunut Rajavartiolaitoksen hallinnonalan edustajana hallituksen esitystä valmistelleen työryhmän työskentelyyn, ja sen esittämät näkemykset on otettu pääosin huomioon. </w:t>
      </w:r>
      <w:r>
        <w:t>Sisäministeriö</w:t>
      </w:r>
      <w:r>
        <w:t xml:space="preserve"> pitää lähtökohtaisesti pe</w:t>
      </w:r>
      <w:r w:rsidRPr="00B739C2">
        <w:t>rusteltuna puolustusvoimien henkilötiet</w:t>
      </w:r>
      <w:r w:rsidRPr="00B739C2">
        <w:t>ojen käsittelyä koskevien säännösten kokoamista yhteen lakiin, mutta esittää jäljempänä eräitä asiaan liittyviä huomioita.</w:t>
      </w:r>
    </w:p>
    <w:p w:rsidR="003B0899" w:rsidRPr="00291174" w:rsidRDefault="00310E1A" w:rsidP="003B0899">
      <w:pPr>
        <w:pStyle w:val="Leipteksti"/>
        <w:tabs>
          <w:tab w:val="left" w:pos="10205"/>
        </w:tabs>
        <w:ind w:right="-1"/>
        <w:jc w:val="both"/>
        <w:rPr>
          <w:i/>
        </w:rPr>
      </w:pPr>
      <w:r>
        <w:t>Sisäministeriö näkee tarkoituksenmukaisena teknisiä tietojärjestelmiä koskevista säännöksistä luopumisen esityksessä ehdotetulla tava</w:t>
      </w:r>
      <w:r>
        <w:t xml:space="preserve">lla. Sisäministeriöllä </w:t>
      </w:r>
      <w:r w:rsidRPr="00291174">
        <w:t>ei ole huomautettavaa myöskään l</w:t>
      </w:r>
      <w:r>
        <w:t>akiehdotuksessa valitusta rekisteri</w:t>
      </w:r>
      <w:r>
        <w:softHyphen/>
        <w:t>perusteisesta sääntelytekniikasta. Kuten esityksen toteuttamisvaihtoehtoja koskevassa osiossa (s. 18) todetaan, rekisteriperusteinen ja käyttötarkoitus</w:t>
      </w:r>
      <w:r>
        <w:softHyphen/>
        <w:t>perusteinen s</w:t>
      </w:r>
      <w:r>
        <w:t>ääntely eivät välttämättä tosiasiallisesti eroa merkittävästi toisistaan. H</w:t>
      </w:r>
      <w:r w:rsidRPr="00D53576">
        <w:t>enkilötietojen käsittelyä kos</w:t>
      </w:r>
      <w:r>
        <w:t xml:space="preserve">kevalta lainsäädännöltä edellytetty </w:t>
      </w:r>
      <w:r w:rsidRPr="00D34760">
        <w:t xml:space="preserve">tarkkarajaisuus sekä </w:t>
      </w:r>
      <w:r>
        <w:t xml:space="preserve">lain </w:t>
      </w:r>
      <w:r w:rsidRPr="00D34760">
        <w:t xml:space="preserve">soveltajan kannalta </w:t>
      </w:r>
      <w:r>
        <w:t xml:space="preserve">olennainen </w:t>
      </w:r>
      <w:r w:rsidRPr="00D34760">
        <w:t>selkeys</w:t>
      </w:r>
      <w:r w:rsidRPr="00407F6D">
        <w:rPr>
          <w:color w:val="FF0000"/>
        </w:rPr>
        <w:t xml:space="preserve"> </w:t>
      </w:r>
      <w:r>
        <w:t>on sisäministeriön näkemyksen mukaan kuitenkin mahd</w:t>
      </w:r>
      <w:r>
        <w:t>ollista saavuttaa myös käsittelytarkoituksiin perustuvalla sääntelyllä.</w:t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</w:pPr>
      <w:r>
        <w:t xml:space="preserve">Yleisenä huomiona </w:t>
      </w:r>
      <w:r>
        <w:t>sisäministeriö</w:t>
      </w:r>
      <w:r>
        <w:t xml:space="preserve"> haluaa lisäksi nostaa esiin tarpeen säännellä turvallisuus</w:t>
      </w:r>
      <w:r>
        <w:softHyphen/>
        <w:t>viranomaisten tehtävien suorittamiseksi tapahtuvaa henkilötietojen käsittelyä mahdollisimman</w:t>
      </w:r>
      <w:r>
        <w:t xml:space="preserve"> yhdenmukaisella tavalla</w:t>
      </w:r>
      <w:r w:rsidRPr="00D03575">
        <w:t>.</w:t>
      </w:r>
      <w:r>
        <w:t xml:space="preserve"> Yhdenmukaisuuden varmistamiseksi esityksen jatkovalmistelu toivotaan tehtäväksi tiiviissä yhteistyössä muiden turvallisuusviranomaisten ja muiden käynnissä olevien henkilötietojen käsittelyä koskevien uudistushankkeiden kanssa.</w:t>
      </w:r>
    </w:p>
    <w:p w:rsidR="003B0899" w:rsidRDefault="00310E1A" w:rsidP="003B0899">
      <w:pPr>
        <w:pStyle w:val="Sivuotsikko"/>
      </w:pPr>
      <w:r>
        <w:t>1</w:t>
      </w:r>
      <w:r w:rsidRPr="00F648FA">
        <w:t xml:space="preserve"> </w:t>
      </w:r>
      <w:r w:rsidRPr="00F648FA">
        <w:t>luku. Yleiset säännökset</w:t>
      </w:r>
      <w:r w:rsidRPr="00F648FA">
        <w:tab/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</w:pPr>
      <w:r>
        <w:t>Sisäministeriö pitää tarkoituksenmukaisena rikosasioiden tietosuojadirektiivin kansallisen täytäntöönpanolain (lukuun ottamatta lain 7 lukua) soveltamista Puolustusvoimien henkilötietojen käsittelyyn lakiehdotuksessa esitetyllä ta</w:t>
      </w:r>
      <w:r>
        <w:t xml:space="preserve">valla. </w:t>
      </w:r>
      <w:r w:rsidRPr="00A3711D">
        <w:t xml:space="preserve">Parhaillaan lausuttavana olevassa ehdotuksessa laiksi henkilötietojen käsittelystä rikosasioissa ja kansallisen turvallisuuden ylläpitämisen yhteydessä </w:t>
      </w:r>
      <w:r>
        <w:t>kyseistä yleis</w:t>
      </w:r>
      <w:r w:rsidRPr="00A3711D">
        <w:t xml:space="preserve">lakia esitetään sovellettavaksi vastaavasti myös poliisin suorittamaan </w:t>
      </w:r>
      <w:r w:rsidRPr="00A3711D">
        <w:lastRenderedPageBreak/>
        <w:t>henkilötieto</w:t>
      </w:r>
      <w:r w:rsidRPr="00A3711D">
        <w:t>jen käsittelyyn, kun tietoja käsitellään kansall</w:t>
      </w:r>
      <w:r>
        <w:t>isen turvallisuuden suojaamisen yhteydessä</w:t>
      </w:r>
      <w:r w:rsidRPr="00A3711D">
        <w:t>.</w:t>
      </w:r>
    </w:p>
    <w:p w:rsidR="00B739C2" w:rsidRDefault="00310E1A" w:rsidP="00B739C2">
      <w:pPr>
        <w:pStyle w:val="Leipteksti"/>
        <w:tabs>
          <w:tab w:val="left" w:pos="10205"/>
        </w:tabs>
        <w:ind w:right="-1"/>
        <w:jc w:val="both"/>
      </w:pPr>
      <w:r>
        <w:t>Esityksen mukaan lakia sovellettaisiin puolustusvoimien suorittamaan ja puolustusvoimien lukuun suoritettavaan henkilötietojen käsittelyyn, jota suoritetaan eräiden</w:t>
      </w:r>
      <w:r>
        <w:t xml:space="preserve"> puolustusvoimista annetussa laissa (551/2007) säädettyjen tehtävien hoitamiseksi. </w:t>
      </w:r>
      <w:r>
        <w:t xml:space="preserve">Sisäministeriö </w:t>
      </w:r>
      <w:r>
        <w:t>toteaa, että lakiehdotuksen asevelvollisrekisteriä koskeva sääntely sisältää myös Rajavartiolaitoksen aseman asevelvollisrekisterin rekisterinpitäjänä ja käyt</w:t>
      </w:r>
      <w:r>
        <w:t xml:space="preserve">täjänä. Sääntely on sinänsä asianmukaista ja tarpeellista, mutta se voidaan nähdä lain soveltamisalan kannalta ristiriitaisena. </w:t>
      </w:r>
      <w:r>
        <w:t>Sisäministeriön</w:t>
      </w:r>
      <w:r>
        <w:t xml:space="preserve"> esitys sääntelyn tarkistamisesta tältä osin on esitetty 2 lukua koskevissa kommenteissa.</w:t>
      </w:r>
    </w:p>
    <w:p w:rsidR="00B739C2" w:rsidRDefault="00310E1A" w:rsidP="00B739C2">
      <w:pPr>
        <w:pStyle w:val="Leipteksti"/>
        <w:tabs>
          <w:tab w:val="left" w:pos="10205"/>
        </w:tabs>
        <w:ind w:right="-1"/>
        <w:jc w:val="both"/>
      </w:pPr>
      <w:r>
        <w:t>Yleisesti todetaan, ett</w:t>
      </w:r>
      <w:r>
        <w:t xml:space="preserve">ä </w:t>
      </w:r>
      <w:r>
        <w:t xml:space="preserve">sisäministeriön </w:t>
      </w:r>
      <w:r>
        <w:t>rajavartio-osastolla</w:t>
      </w:r>
      <w:r>
        <w:t xml:space="preserve"> on valmistelussa henkilötietojen käsittelystä rajavartiolaitoksessa annetun lain (579/2005, jäljempänä Rajavartiolaitoksen henkilötietolaki) kokonaisuudistus, jossa otetaan tarvittavin osin huomioon lausuttavana oleva</w:t>
      </w:r>
      <w:r>
        <w:t>ssa luonnoksessa esitetty sääntely.</w:t>
      </w:r>
    </w:p>
    <w:p w:rsidR="003B0899" w:rsidRDefault="00310E1A" w:rsidP="003B0899">
      <w:pPr>
        <w:pStyle w:val="Sivuotsikko"/>
      </w:pPr>
      <w:r>
        <w:t>2 luku. Puolustusvoimien henkilörekisterit</w:t>
      </w:r>
    </w:p>
    <w:p w:rsidR="00165028" w:rsidRDefault="00310E1A" w:rsidP="000C6897">
      <w:pPr>
        <w:pStyle w:val="Leipteksti"/>
        <w:tabs>
          <w:tab w:val="left" w:pos="10205"/>
        </w:tabs>
        <w:ind w:right="-1"/>
        <w:jc w:val="both"/>
        <w:rPr>
          <w:i/>
        </w:rPr>
      </w:pPr>
      <w:r w:rsidRPr="00165028">
        <w:rPr>
          <w:i/>
        </w:rPr>
        <w:t>8 ja 9 §</w:t>
      </w:r>
    </w:p>
    <w:p w:rsidR="000C6897" w:rsidRPr="000C6897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0C6897">
        <w:t xml:space="preserve">Aluevalvontaviranomaisia </w:t>
      </w:r>
      <w:r>
        <w:t>on pyydetty</w:t>
      </w:r>
      <w:r w:rsidRPr="000C6897">
        <w:t xml:space="preserve"> esittämään näkemyksensä siitä, onko aluevalvonnan lupa- ja valvonta-asiain rekisteriä koskevan sääntelyn siirtäminen aluevalvontalaista tähän lakiin perusteltua.</w:t>
      </w:r>
    </w:p>
    <w:p w:rsidR="000C6897" w:rsidRPr="000C6897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0C6897">
        <w:t>Ehdotettua siirtoa perustellaan sillä, että tarkoituksena on koota kaikki puolustusvoimien he</w:t>
      </w:r>
      <w:r w:rsidRPr="000C6897">
        <w:t>nkilörekistereitä koskeva sääntely yhteen lakiin. Vaikka tavoite on sinänsä lähtökohtaisesti kannatettava, on huomattava, että aluevalvontalakiin jäisi kuitenkin eräitä henkilötietojen käsittelyä koskevia säännöksiä. Näitä ovat ainakin säännökset teknisest</w:t>
      </w:r>
      <w:r w:rsidRPr="000C6897">
        <w:t xml:space="preserve">ä valvonnasta (30 §), aluevalvonnan tilannekuvasta (30 a §) ja salassa pidettävien tietojen luovuttamisesta aluevalvontaa suorittavien toimijoiden kesken (37 §).  </w:t>
      </w:r>
    </w:p>
    <w:p w:rsidR="000C6897" w:rsidRPr="000C6897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0C6897">
        <w:t>Aluevalvontalaki on useaa viranomaista koskeva laki, jossa säädetään sekä aluevalvonnan toim</w:t>
      </w:r>
      <w:r w:rsidRPr="000C6897">
        <w:t>ivaltuuksista että aluevalvontaan liittyvästä henkilötietojen käsittelystä. Rajavartiolaitos on yksi aluevalvontaviranomaisista ja soveltaa esimerkiksi lain 30 ja 37 §:ää suoraan omassa toiminnassaan, eikä samoista asioista säädetä erikseen Rajavartiolaito</w:t>
      </w:r>
      <w:r w:rsidRPr="000C6897">
        <w:t xml:space="preserve">ksen henkilötietolaissa. </w:t>
      </w:r>
      <w:r>
        <w:t>Sisäministeriö</w:t>
      </w:r>
      <w:r w:rsidRPr="000C6897">
        <w:t xml:space="preserve"> esittää tämän vuoksi harkittavaksi, että kaikki aluevalvontaa koskevat säännökset säilytettäisiin aluevalvontalaissa.</w:t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  <w:rPr>
          <w:b/>
        </w:rPr>
      </w:pPr>
      <w:r>
        <w:rPr>
          <w:i/>
        </w:rPr>
        <w:t>13 §:n 2 momentti ja 15 §:n 2 momentti</w:t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</w:pPr>
      <w:r>
        <w:t>Sisäministeriö pitää ehdotettua merkityksellisyyden arvioin</w:t>
      </w:r>
      <w:r>
        <w:t xml:space="preserve">tia koskevaa sääntelyä perusteltuna. Myös meneillään olevassa poliisin henkilötietolain uudistushankkeessa on arvioitu tarpeelliseksi nostaa henkilötietojen tarpeellisuuden arvioimiseksi vaadittava henkilötietojen käsittely lakitasoisen sääntelyn piiriin. </w:t>
      </w:r>
    </w:p>
    <w:p w:rsidR="003B0899" w:rsidRPr="003F2954" w:rsidRDefault="00310E1A" w:rsidP="003B0899">
      <w:pPr>
        <w:pStyle w:val="Leipteksti"/>
        <w:rPr>
          <w:i/>
        </w:rPr>
      </w:pPr>
      <w:r w:rsidRPr="008C054E">
        <w:rPr>
          <w:i/>
        </w:rPr>
        <w:t>Muut kommentit sotilastiedustelurekisterin ja turvallisuustietorekisterin tietosisällön sääntelystä</w:t>
      </w:r>
      <w:r>
        <w:rPr>
          <w:i/>
        </w:rPr>
        <w:t>.</w:t>
      </w:r>
    </w:p>
    <w:p w:rsidR="003338E0" w:rsidRDefault="00310E1A" w:rsidP="003B0899">
      <w:pPr>
        <w:pStyle w:val="Leipteksti"/>
        <w:jc w:val="both"/>
      </w:pPr>
      <w:r w:rsidRPr="003338E0">
        <w:t>Kuten esityksen perusteluissa todetaan, puolustusvoimien harjoittamasta sotilastiedustelusta ja sen yhteydessä suoritettavasta henkilötietojen käsittelyst</w:t>
      </w:r>
      <w:r w:rsidRPr="003338E0">
        <w:t>ä ei ole tällä hetkellä lainkaan voimassa olevaa sääntelyä. Koska sotilastiedustelu kuuluu puolustusvoimien lakisääteisiin tehtäviin, sisäministeriö yhtyy näkemykseen siitä, että sotilastiedusteluun liittyvien henkilötietojen käsittelystä on tarpeen säätää</w:t>
      </w:r>
      <w:r w:rsidRPr="003338E0">
        <w:t xml:space="preserve"> lailla. Sisäministeriö toteaa, että myös Rajavartiolaitoksella on merkittävä asema sotilastiedustelussa. Sotilastiedustelu kuuluu myös Rajavartiolaitoksen lakisääteisiin tehtäviin osana rajavartiolain (578/2005) 25 §:n 1 momentissa säädettyä sotilaallisen</w:t>
      </w:r>
      <w:r w:rsidRPr="003338E0">
        <w:t xml:space="preserve"> maanpuolustuksen tehtävää sekä aluevalvontalaissa tarkoitettua alueellisen koskemattomuuden valvontaa ja turvaamista. Sisäministeriöllä ei ole huomautettavaa sotilastiedustelurekisterin tietosisältöön.</w:t>
      </w:r>
    </w:p>
    <w:p w:rsidR="003B0899" w:rsidRDefault="00310E1A" w:rsidP="003B0899">
      <w:pPr>
        <w:pStyle w:val="Leipteksti"/>
        <w:jc w:val="both"/>
      </w:pPr>
      <w:r w:rsidRPr="00BB3C29">
        <w:lastRenderedPageBreak/>
        <w:t>13 §:n 1 momentin 13 ja 14 kohdan sekä 15 §:n 1 momen</w:t>
      </w:r>
      <w:r w:rsidRPr="00BB3C29">
        <w:t xml:space="preserve">tin 13 ja 14 kohdan osalta </w:t>
      </w:r>
      <w:r>
        <w:t xml:space="preserve">on </w:t>
      </w:r>
      <w:r w:rsidRPr="00BB3C29">
        <w:t>syytä vielä harkita, onko niistä säätäminen tarpeen tässä laissa. Tiedon</w:t>
      </w:r>
      <w:r>
        <w:softHyphen/>
      </w:r>
      <w:r w:rsidRPr="00BB3C29">
        <w:t>hankintakeinoista säädetään toisessa laissa, jossa säädetään erikseen niiden avulla hankittujen tietojen säilyttämisestä ja hävittämisestä. Tiedonhankint</w:t>
      </w:r>
      <w:r w:rsidRPr="00BB3C29">
        <w:t>akeinojen käyttö ei ole sellaisenaan henkilötietojen käsittelyä, joten niistä säätäminen tässä yhteydessä voi luoda sekaannuksen niiden valvontaa koskien. Erityisesti tiedustelumenetelmiä ja niiden käyttöä valvomaan tullaan mahdollisesti asettamaan ulkoine</w:t>
      </w:r>
      <w:r w:rsidRPr="00BB3C29">
        <w:t xml:space="preserve">n valvoja eli tiedusteluvaltuutettu. Tämän lain mukaista henkilötietojen käsittelyä valvoo sen sijaan Tietosuojavirasto. Vaikka toimivaltuuksilla saatuja tietoja tosiasiassa säilytettäisiin rekisterissä, ei niistä ole </w:t>
      </w:r>
      <w:r>
        <w:t>sisäministeriö</w:t>
      </w:r>
      <w:r w:rsidRPr="00BB3C29">
        <w:t>n näkemyksen mukaan vält</w:t>
      </w:r>
      <w:r w:rsidRPr="00BB3C29">
        <w:t>tämätöntä säätää rekisterisääntelyn yhteydessä, koska kyseessä olevat tietosisällöt liittyvät kuitenkin sotilastiedustelurekisterin käyttötarkoitukseen. Mikäli kuitenkin ehdotettuun sääntelyratkaisuun päädytään, on syytä pohtia tarkasti, miten säätäminen s</w:t>
      </w:r>
      <w:r w:rsidRPr="00BB3C29">
        <w:t xml:space="preserve">uhteutuu sotilastiedustelussa säädettäväksi ehdotettavaan tietojen käsittelyyn.  </w:t>
      </w:r>
    </w:p>
    <w:p w:rsidR="003B0899" w:rsidRPr="00661CE5" w:rsidRDefault="00310E1A" w:rsidP="003B0899">
      <w:pPr>
        <w:pStyle w:val="Leipteksti"/>
        <w:tabs>
          <w:tab w:val="left" w:pos="10205"/>
        </w:tabs>
        <w:ind w:right="-1"/>
        <w:jc w:val="both"/>
        <w:rPr>
          <w:i/>
        </w:rPr>
      </w:pPr>
      <w:r w:rsidRPr="00661CE5">
        <w:rPr>
          <w:i/>
        </w:rPr>
        <w:t>Muut kommentit 2 luvusta</w:t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</w:pPr>
      <w:r>
        <w:t>Ehdotettu 11 §:n 2 momentti mahdollistaisi rikoksen asianosaisen fyysisiin ominai</w:t>
      </w:r>
      <w:r>
        <w:softHyphen/>
        <w:t>suuksiin perustuvien tuntomerkkitietojen tallettamisen sotilasoikeu</w:t>
      </w:r>
      <w:r>
        <w:t>den</w:t>
      </w:r>
      <w:r>
        <w:softHyphen/>
        <w:t>hoito</w:t>
      </w:r>
      <w:r>
        <w:softHyphen/>
        <w:t>rekisteriin myös muista kuin rikoksesta epäillystä. Kuten pykälän yksityiskohtaisissa perusteluissa (s. 32) todetaan, rikoksen esitutkinnassa voi olla tarpeellista käsitellä muun muassa sormenjälkiä ja henkilökuvia ja ne on tällöin voitava myös t</w:t>
      </w:r>
      <w:r>
        <w:t xml:space="preserve">allettaa rekisteriin. </w:t>
      </w:r>
      <w:r>
        <w:t>Sisäministeriö</w:t>
      </w:r>
      <w:r>
        <w:t xml:space="preserve"> kiinnittää kuitenkin huomiota siihen, että pakkokeinolaki mahdollistaa ainoastaan rikoksesta epäillyn (ei muiden asianosaisten) henkilö</w:t>
      </w:r>
      <w:r>
        <w:softHyphen/>
        <w:t xml:space="preserve">tuntomerkkien säilyttämisen ja rekisteröimisen. </w:t>
      </w:r>
      <w:r w:rsidRPr="00A00353">
        <w:t xml:space="preserve">Lakiehdotuksen </w:t>
      </w:r>
      <w:r>
        <w:t xml:space="preserve">perusteluiden pohjalta </w:t>
      </w:r>
      <w:r w:rsidRPr="00A00353">
        <w:t xml:space="preserve">jää </w:t>
      </w:r>
      <w:r>
        <w:t>myös</w:t>
      </w:r>
      <w:r w:rsidRPr="00A00353">
        <w:t xml:space="preserve"> epäselväksi, mikä olisi tuntomerkkien tallettamista koskevan säännöksen suhde poliis</w:t>
      </w:r>
      <w:r>
        <w:t xml:space="preserve">in henkilötietolain sääntelyyn, jonka </w:t>
      </w:r>
      <w:r w:rsidRPr="00A00353">
        <w:t>mukaan Puolustus</w:t>
      </w:r>
      <w:r>
        <w:softHyphen/>
      </w:r>
      <w:r w:rsidRPr="00A00353">
        <w:t>voimat, rajavartiolaitos ja Tulli tallettavat tuntomerkkitietoja ja muita esitutkinta</w:t>
      </w:r>
      <w:r w:rsidRPr="00A00353">
        <w:t xml:space="preserve">an liittyviä tietoja poliisin henkilörekistereihin. </w:t>
      </w:r>
      <w:r>
        <w:t>Sisäministeriö</w:t>
      </w:r>
      <w:r w:rsidRPr="00A00353">
        <w:t>n näkemyksen mukaan jatkovalmistelussa on</w:t>
      </w:r>
      <w:r>
        <w:t>kin</w:t>
      </w:r>
      <w:r w:rsidRPr="00A00353">
        <w:t xml:space="preserve"> syytä selventää poliisin rekisterei</w:t>
      </w:r>
      <w:r>
        <w:t xml:space="preserve">hin talletettavien tuntomerkki- ja muiden </w:t>
      </w:r>
      <w:r w:rsidRPr="00A00353">
        <w:t>tietojen suhdetta sotilasoikeuden</w:t>
      </w:r>
      <w:r>
        <w:softHyphen/>
      </w:r>
      <w:r w:rsidRPr="00A00353">
        <w:t>hoitorekisteriin talletettaviin ti</w:t>
      </w:r>
      <w:r w:rsidRPr="00A00353">
        <w:t>etoihin, joiden rekisterinpitäjänä toimisi</w:t>
      </w:r>
      <w:r>
        <w:t xml:space="preserve"> </w:t>
      </w:r>
      <w:r w:rsidRPr="00A00353">
        <w:t xml:space="preserve">Puolustusvoimat. </w:t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</w:pPr>
      <w:r>
        <w:t>J</w:t>
      </w:r>
      <w:r w:rsidRPr="001079EF">
        <w:t xml:space="preserve">atkovalmistelun aikana </w:t>
      </w:r>
      <w:r w:rsidRPr="00661CE5">
        <w:t>on syytä arvioida tarkemmin</w:t>
      </w:r>
      <w:r w:rsidRPr="001079EF">
        <w:rPr>
          <w:color w:val="FF0000"/>
        </w:rPr>
        <w:t xml:space="preserve"> </w:t>
      </w:r>
      <w:r w:rsidRPr="00661CE5">
        <w:t xml:space="preserve">myös </w:t>
      </w:r>
      <w:r>
        <w:t>merkityksellisyyden arviointia ja muiden rekisterien tietosisältöä koskevien säännösten</w:t>
      </w:r>
      <w:r w:rsidRPr="001079EF">
        <w:t xml:space="preserve"> yhdenmuka</w:t>
      </w:r>
      <w:r>
        <w:t xml:space="preserve">isuutta poliisin henkilötietolain </w:t>
      </w:r>
      <w:r w:rsidRPr="001079EF">
        <w:t>kanssa.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  <w:rPr>
          <w:i/>
          <w:u w:val="single"/>
        </w:rPr>
      </w:pPr>
      <w:r w:rsidRPr="00165028">
        <w:rPr>
          <w:i/>
          <w:u w:val="single"/>
        </w:rPr>
        <w:t>Asevelvollisrekisteri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165028">
        <w:t xml:space="preserve">Asevelvollisrekisteriä koskeva sääntely siirrettäisiin asevelvollisuuslaista ehdotettavaan uuteen lakiin. </w:t>
      </w:r>
      <w:r w:rsidRPr="00165028">
        <w:t>Sisäministeriö</w:t>
      </w:r>
      <w:r w:rsidRPr="00165028">
        <w:t xml:space="preserve"> pitää tärkeänä, että siirrosta huolimatta rekisterin käyttöperiaatteet ja -menettelyt Rajavartiolaitoksen osalta</w:t>
      </w:r>
      <w:r w:rsidRPr="00165028">
        <w:t xml:space="preserve"> säilyvät ennallaan.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165028">
        <w:t>Rajavartiolaitos kouluttaa asevelvollisia ja vapaaehtoiseen asepalvelukseen otettuja naisia ja käsittelee siinä tarkoituksessa asevelvollisiin liittyviä henkilötietoja. Rajavartiolaitos käyttää asevelvollisrekisteriä lisäksi oman henki</w:t>
      </w:r>
      <w:r w:rsidRPr="00165028">
        <w:t xml:space="preserve">löstönsä tietojen ylläpitoon sekä esimerkiksi kertausharjoitusten järjestämiseen. Tässä tarkoituksessa Rajavartiolaitos voi käsitellä myös puolustusvoimien henkilökuntaan kuuluvien tietoja. 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165028">
        <w:t>Asevelvollisuuslain (1438/2007) 92 §:n mukaan asevelvollisrekiste</w:t>
      </w:r>
      <w:r w:rsidRPr="00165028">
        <w:t>rin rekisterinpitäjiä ovat pääesikunta, puolustushaaran esikunta ja aluetoimisto toimialueellaan sekä joukko-osasto sen palveluksessa olevien osalta. Rajavartiolaitoksen hallinnosta annetun lain (577/2005) 30 §:n mukaan palveluun Rajavartiolaitoksessa sove</w:t>
      </w:r>
      <w:r w:rsidRPr="00165028">
        <w:t>lletaan soveltuvin osin, mitä palvelusta puolustusvoimista säädetään. Asevelvollisrekisterin näkökulmasta tämä tarkoittaa sitä, että Rajavartiolaitoksen osalta rekisterinpitäjiä ovat Rajavartiolaitoksen esikunta (puolustushaaran esikunta) ja Rajavartiolait</w:t>
      </w:r>
      <w:r w:rsidRPr="00165028">
        <w:t xml:space="preserve">oksen hallintoyksiköt (joukko-osasto). </w:t>
      </w:r>
      <w:r w:rsidRPr="00165028">
        <w:t>Sisäministeriö</w:t>
      </w:r>
      <w:r w:rsidRPr="00165028">
        <w:t xml:space="preserve"> esittää, että hallituksen esityksen perusteluissa kuvattaisiin tarkemmin Rajavartiolaitoksen nykyistä asemaa asevelvollisrekisterin rekisterinpitäjänä ja käyttäjänä.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165028">
        <w:t>Ehdotettavassa uudessa sääntelyssä P</w:t>
      </w:r>
      <w:r w:rsidRPr="00165028">
        <w:t xml:space="preserve">uolustusvoimien osalta rekisterinpitäjänä olisi vastedes Pääesikunta. Rajavartiolaitoksen osalta lakiluonnoksen 3 §:n 3 momentissa </w:t>
      </w:r>
      <w:r w:rsidRPr="00165028">
        <w:lastRenderedPageBreak/>
        <w:t>säädettäisiin, että Rajavartiolaitoksen esikunta toimii asevelvollisrekisterin rekisterinpitäjänä siltä osin, kun se käsittel</w:t>
      </w:r>
      <w:r w:rsidRPr="00165028">
        <w:t>ee 4 ja 5 §:n mukaisesti henkilötietoja Rajavartiolaitoksen laissa säädettyjen tehtävien hoitamista varten. Esityksen keskeiset ehdotukset -kohdassa puolestaan todetaan, että kyse on puolustusvoimien ja Rajavartiolaitoksen yhteisrekisteristä, jonka rekiste</w:t>
      </w:r>
      <w:r w:rsidRPr="00165028">
        <w:t xml:space="preserve">rinpidon vastuunjako puolustusvoimien ja Rajavartiolaitoksen kesken vastaisi nykytilaa. 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165028">
        <w:t>Sisäministeriö pitää sääntelyn peruslähtökohtaa sinänsä asianmukaisena, mutta näkee tulkinnanvaraisena sen, onko kyse varsinaisesta yhteisrekisteristä EU:n tietosuojas</w:t>
      </w:r>
      <w:r w:rsidRPr="00165028">
        <w:t>ääntelyssä tarkoitetulla tavalla. Sisäministeriö pitää tarkoituksenmukaisena, että asiaa ei nimenomaisesti korostettaisi hallituksen esityksessä, vaan rekisterinpidon käytännön järjestelyistä ja teknisestä toteutuksesta sovittaisiin tarkemmin puolustusvoim</w:t>
      </w:r>
      <w:r w:rsidRPr="00165028">
        <w:t>ien ja Rajavartiolaitoksen kesken. Rajavartiolaitoksessa ei ole myöskään vielä lopullisesti päätetty sitä, millä tahoilla eri rekisterien rekisterinpito on. Nämä seikat sekä ehdotetun lain soveltamisala huomioon ottaen sisäministeriö katsoo, että asevelvol</w:t>
      </w:r>
      <w:r w:rsidRPr="00165028">
        <w:t xml:space="preserve">lisrekisterisäännöksessä tarkoitettujen tietojen käsittelystä Rajavartiolaitoksessa olisi tarkoituksenmukaisempaa säätää Rajavartiolaitoksen omassa henkilötietolaissa. 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165028">
        <w:t xml:space="preserve">Edellä mainitun johdosta </w:t>
      </w:r>
      <w:r w:rsidRPr="00165028">
        <w:t>sisäministeriö</w:t>
      </w:r>
      <w:r w:rsidRPr="00165028">
        <w:t xml:space="preserve"> esittää, että 3 §:n 3 momentin viimeinen lause </w:t>
      </w:r>
      <w:r w:rsidRPr="00165028">
        <w:t xml:space="preserve">sekä 5 §:n 1 momentin 3 kohdan maininta Rajavartiolaitoksen palveluksessa olevien henkilötietojen tallettamisesta asevelvollisrekisteriin poistetaan. Rajavartiolaitoksen henkilötietolakiin sisällytettäisiin vastaavasti asiaa koskeva täsmällinen sääntely. </w:t>
      </w:r>
      <w:r w:rsidRPr="00165028">
        <w:t>S</w:t>
      </w:r>
      <w:r w:rsidRPr="00165028">
        <w:t>isäministeriö</w:t>
      </w:r>
      <w:r w:rsidRPr="00165028">
        <w:t xml:space="preserve"> pitää kuitenkin asianmukaisena, että laissa tai ainakin esityksen perusteluissa selvennettäisiin Rajavartiolaitoksen asema asevelvollisten henkilötietojen rekisterinpitäjänä omalta osaltaan esimerkiksi seuraavasti: "Asevelvollisten henkilötie</w:t>
      </w:r>
      <w:r w:rsidRPr="00165028">
        <w:t xml:space="preserve">tojen käsittelystä Rajavartiolaitoksen lakisääteisten tehtävien suorittamiseksi säädetään henkilötietojen käsittelystä Rajavartiolaitoksessa annetussa laissa ( / )." 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165028">
        <w:t>Mikäli edellä ehdotettua ei ole mahdollista aikataulusyistä yhteen sovittaa säädöshankkei</w:t>
      </w:r>
      <w:r w:rsidRPr="00165028">
        <w:t xml:space="preserve">ssa, </w:t>
      </w:r>
      <w:r w:rsidRPr="00165028">
        <w:t>sisäministeriö</w:t>
      </w:r>
      <w:r w:rsidRPr="00165028">
        <w:t xml:space="preserve"> esittää lausunnolla olevan sääntelyn säilyttämistä lakiehdotuksessa ja asian myöhempää korjaamista Rajavartiolaitoksen henkilötietolakihankkeessa.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165028">
        <w:t>Sisäministeriö toteaa myös, että mikäli esityksen jatkovalmistelun yhteydessä katsottaisi</w:t>
      </w:r>
      <w:r w:rsidRPr="00165028">
        <w:t xml:space="preserve">in kyseessä olevan puolustusvoimien ja Rajavartiolaitoksen yhteisrekisteri, siitä olisi perusteltua säätää laissa, joka soveltamisalansa puolesta koskee kumpaakin viranomaista. 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  <w:rPr>
          <w:u w:val="single"/>
        </w:rPr>
      </w:pPr>
      <w:r w:rsidRPr="00165028">
        <w:rPr>
          <w:u w:val="single"/>
        </w:rPr>
        <w:t>Sotilasoikeudenhoitorekisteri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165028">
        <w:t xml:space="preserve">Sisäministeriö toteaa, että Rajavartiolaitoksen </w:t>
      </w:r>
      <w:r w:rsidRPr="00165028">
        <w:t>henkilötietolaissa säädetään vastaavien tietojen käsittelystä Rajavartiolaitoksessa. Sisäministeriön hankkeessa tehdään tarvittavat tarkistukset, jotta puolustusvoimien ja Rajavartiolaitoksen sääntely asiassa on yhdenmukaista.</w:t>
      </w:r>
    </w:p>
    <w:p w:rsidR="003B0899" w:rsidRDefault="00310E1A" w:rsidP="003B0899">
      <w:pPr>
        <w:pStyle w:val="Sivuotsikko"/>
      </w:pPr>
      <w:r>
        <w:t xml:space="preserve">3 luku. Henkilötietojen </w:t>
      </w:r>
      <w:r>
        <w:t>käsittely</w:t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  <w:rPr>
          <w:i/>
        </w:rPr>
      </w:pPr>
      <w:r>
        <w:rPr>
          <w:i/>
        </w:rPr>
        <w:t>17</w:t>
      </w:r>
      <w:r w:rsidRPr="0024148C">
        <w:rPr>
          <w:i/>
        </w:rPr>
        <w:t xml:space="preserve"> §. </w:t>
      </w:r>
      <w:r>
        <w:rPr>
          <w:i/>
        </w:rPr>
        <w:t>Henkilötietojen käsittely muuhun kuin niiden alkuperäiseen keräämis- ja tallettamistarkoitukseen</w:t>
      </w:r>
    </w:p>
    <w:p w:rsidR="003B0899" w:rsidRPr="00E20AB1" w:rsidRDefault="00310E1A" w:rsidP="003B0899">
      <w:pPr>
        <w:pStyle w:val="Leipteksti"/>
        <w:tabs>
          <w:tab w:val="left" w:pos="10205"/>
        </w:tabs>
        <w:ind w:right="-1"/>
        <w:jc w:val="both"/>
      </w:pPr>
      <w:r>
        <w:t>Sisäministeriö pitää</w:t>
      </w:r>
      <w:r w:rsidRPr="00661CE5">
        <w:t xml:space="preserve"> kannatettavana </w:t>
      </w:r>
      <w:r>
        <w:t>siirtymistä nykyisistä Puolustusvoimien sisäisiä henkilö</w:t>
      </w:r>
      <w:r>
        <w:softHyphen/>
        <w:t xml:space="preserve">tietojen luovutuksia koskevista säännöksistä </w:t>
      </w:r>
      <w:r>
        <w:t>sääntelyyn, joka koskee henkilötietojen käsittelyä muuhun kuin niiden alkuperäiseen keräämis- ja tallettamis</w:t>
      </w:r>
      <w:r>
        <w:softHyphen/>
        <w:t>tarkoitukseen. Vastaava sääntelyratkaisu on arvioitu tarkoituksen</w:t>
      </w:r>
      <w:r>
        <w:softHyphen/>
        <w:t>mukaiseksi myös meneillään olevassa poliisin henkilötietolain uudistushankkeessa.</w:t>
      </w:r>
      <w:r>
        <w:t xml:space="preserve"> Sisäministeriö nostaa kuitenkin esiin huomion, että rikoksen ennalta ehkäisemisen, paljastamisen ja selvittämisen osalta ehdotettu 17 § ei rajoita tietojen jatkokäyttöä voimassa olevaa poliisin henkilötietolain 16 §:ää vastaavasti vankeusuhkaisiin rikoksi</w:t>
      </w:r>
      <w:r>
        <w:t>in. Kuten perusteluissa (s. 37) todetaan, laajat tiedonsaantioikeudet ja mahdollisuudet käsitellä henkilötietoja ovat välttämättömiä esitutkintatehtävien tehokkaan hoitamisen kannalta. Jatkovalmistelussa on sisäministeriön näkemyksen mukaan hyvä arvioida t</w:t>
      </w:r>
      <w:r>
        <w:t xml:space="preserve">arkemmin sääntelyn yhdenmukaisuutta poliisia koskevan sääntelyn kanssa ja varmistaa kaikille </w:t>
      </w:r>
      <w:r>
        <w:lastRenderedPageBreak/>
        <w:t>esitutkintaviranomaisille toiminnan kannalta tarkoituksenmukaiset, yhteneväiset mahdollisuudet henkilötietojen käsittelyyn.</w:t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  <w:rPr>
          <w:i/>
        </w:rPr>
      </w:pPr>
      <w:r w:rsidRPr="008C054E">
        <w:rPr>
          <w:i/>
        </w:rPr>
        <w:t>18 §. Yksittäiseen tehtävään liittymätt</w:t>
      </w:r>
      <w:r w:rsidRPr="008C054E">
        <w:rPr>
          <w:i/>
        </w:rPr>
        <w:t>ömien tietojen käsittely.</w:t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</w:pPr>
      <w:r>
        <w:t>Sisäministeriö pitää perusteltuna yksittäiseen tehtävään liittymättömien tietojen käsittelyä koskevien säännösten sisällyttämistä ehdotettuun lakiin</w:t>
      </w:r>
      <w:r w:rsidRPr="00E20AB1">
        <w:t>.</w:t>
      </w:r>
      <w:r>
        <w:t xml:space="preserve"> Myös yksittäiseen tehtävään liittymättömien tietojen käsittelyä koskevan sääntel</w:t>
      </w:r>
      <w:r>
        <w:t>yn yhdenmukaisuutta muita turvallisuusviranomaisia koskevan sääntelyn kanssa on sisäministeriön näkemyksen mukaan hyvä arvioida jatkovalmistelussa yhteistyössä muiden meneillään olevien lakihankkeiden kanssa.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  <w:rPr>
          <w:i/>
        </w:rPr>
      </w:pPr>
      <w:r w:rsidRPr="00165028">
        <w:rPr>
          <w:i/>
        </w:rPr>
        <w:t>Muut kommentit 3 luvusta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  <w:rPr>
          <w:u w:val="single"/>
        </w:rPr>
      </w:pPr>
      <w:r w:rsidRPr="00165028">
        <w:rPr>
          <w:u w:val="single"/>
        </w:rPr>
        <w:t>Asevelvollisten käyttö</w:t>
      </w:r>
      <w:r w:rsidRPr="00165028">
        <w:rPr>
          <w:u w:val="single"/>
        </w:rPr>
        <w:t>oikeus puolustusvoimien henkilörekistereihin</w:t>
      </w:r>
    </w:p>
    <w:p w:rsidR="000C6897" w:rsidRDefault="00310E1A" w:rsidP="000C6897">
      <w:pPr>
        <w:pStyle w:val="Leipteksti"/>
        <w:tabs>
          <w:tab w:val="left" w:pos="10205"/>
        </w:tabs>
        <w:ind w:right="-1"/>
        <w:jc w:val="both"/>
      </w:pPr>
      <w:r>
        <w:t>Esityksessä ehdotetaan, että puolustusvoimat saisi erityisestä syystä antaa asevelvollisuuslain nojalla palvelustaan suorittavalle käyttöoikeuden puolustusvoimien henkilörekisteriin, esimerkiksi asevelvollisreki</w:t>
      </w:r>
      <w:r>
        <w:t xml:space="preserve">steriin. </w:t>
      </w:r>
      <w:r>
        <w:t>Sisäministeriö</w:t>
      </w:r>
      <w:r>
        <w:t xml:space="preserve"> toteaa, että ehdotettu säännös ei koskisi Rajavartiolaitoksen rekisterinpidossa olevia tietoja. Tämä seikka on tarpeen ottaa huomioon myös pääsyn teknisessä toteutuksessa.</w:t>
      </w:r>
    </w:p>
    <w:p w:rsidR="003B0899" w:rsidRDefault="00310E1A" w:rsidP="003B0899">
      <w:pPr>
        <w:pStyle w:val="Sivuotsikko"/>
      </w:pPr>
      <w:r>
        <w:t>4 luku. Henkilötietojen luovuttaminen ja tiedonsaantioikeude</w:t>
      </w:r>
      <w:r>
        <w:t>t</w:t>
      </w:r>
    </w:p>
    <w:p w:rsidR="000C6897" w:rsidRPr="000C6897" w:rsidRDefault="00310E1A" w:rsidP="000C6897">
      <w:pPr>
        <w:pStyle w:val="Leipteksti"/>
        <w:tabs>
          <w:tab w:val="left" w:pos="10205"/>
        </w:tabs>
        <w:ind w:right="-1"/>
        <w:jc w:val="both"/>
        <w:rPr>
          <w:i/>
        </w:rPr>
      </w:pPr>
      <w:r w:rsidRPr="000C6897">
        <w:rPr>
          <w:i/>
        </w:rPr>
        <w:t>Yleiset kommentit henkilötietojen luovuttamista ja tiedonsaantia koskevan sääntelyn rakenteesta</w:t>
      </w:r>
    </w:p>
    <w:p w:rsidR="000C6897" w:rsidRPr="000C6897" w:rsidRDefault="00310E1A" w:rsidP="000C6897">
      <w:pPr>
        <w:pStyle w:val="Leipteksti"/>
        <w:tabs>
          <w:tab w:val="left" w:pos="10205"/>
        </w:tabs>
        <w:ind w:right="-1"/>
        <w:jc w:val="both"/>
      </w:pPr>
      <w:r>
        <w:t>Sisäministeriö</w:t>
      </w:r>
      <w:r>
        <w:t>llä</w:t>
      </w:r>
      <w:r w:rsidRPr="000C6897">
        <w:t xml:space="preserve"> ei ole huomautettavaa sääntelyn rakenteesta. </w:t>
      </w:r>
      <w:r>
        <w:t>Sisäministeriö</w:t>
      </w:r>
      <w:r w:rsidRPr="000C6897">
        <w:t xml:space="preserve"> toteaa kuitenkin, että puolustusvoimien tiedonsaantioikeuksia koskevia pykäläluo</w:t>
      </w:r>
      <w:r w:rsidRPr="000C6897">
        <w:t>nnoksia (29–31 §) on perusteltu varsin niukasti. Perusteluista ei esimerkiksi selviä, miksi mitäkin tietoa tarvitaan kyseisessä tehtävässä ja ovatko tiedonsaantioikeudet joiltakin osin tai kokonaan jo voimassa olevaa lainsäädäntöä.</w:t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  <w:rPr>
          <w:i/>
        </w:rPr>
      </w:pPr>
      <w:r>
        <w:rPr>
          <w:i/>
        </w:rPr>
        <w:t>26 ja 27 §: Henkilötieto</w:t>
      </w:r>
      <w:r>
        <w:rPr>
          <w:i/>
        </w:rPr>
        <w:t>jen luovuttaminen toiselle valtiolle tai kansainväliselle järjestölle.</w:t>
      </w:r>
    </w:p>
    <w:p w:rsidR="000C6897" w:rsidRPr="00165028" w:rsidRDefault="00310E1A" w:rsidP="003B0899">
      <w:pPr>
        <w:pStyle w:val="Leipteksti"/>
        <w:tabs>
          <w:tab w:val="left" w:pos="10205"/>
        </w:tabs>
        <w:ind w:right="-1"/>
        <w:jc w:val="both"/>
      </w:pPr>
      <w:r w:rsidRPr="00165028">
        <w:t xml:space="preserve">Lakiluonnoksen 26 §:ssä säädettäisiin muun muassa asevelvollisrekisterin tietojen luovuttamisesta toiselle valtiolle tai kansainväliselle järjestölle. </w:t>
      </w:r>
      <w:r w:rsidRPr="00165028">
        <w:t>Sisäministeriö</w:t>
      </w:r>
      <w:r w:rsidRPr="00165028">
        <w:t xml:space="preserve"> toteaa, että siltä </w:t>
      </w:r>
      <w:r w:rsidRPr="00165028">
        <w:t>osin kuin kyse on Rajavartiolaitoksen rekisterinpidossa olevista asevelvollisten henkilötiedoista, luovutusoikeudesta päättää Rajavartiolaitos. Puolustusvoimien oikeudesta saada tietoja Rajavartiolaitoksen henkilörekistereistä säädetään Rajavartiolaitoksen</w:t>
      </w:r>
      <w:r w:rsidRPr="00165028">
        <w:t xml:space="preserve"> henkilötietolaissa, mutta tietojen mahdollisesta eteenpäin luovuttamisesta tulee sopia erikseen Rajavartiolaitoksen rekisterinpitäjän kanssa.</w:t>
      </w:r>
      <w:r w:rsidRPr="00165028">
        <w:t xml:space="preserve"> Sisäministeriö nostaa kuitenkin esiin, että 27 §:ää vastaava sääntely ei soveltuisi siviilitiedustelun kansainväl</w:t>
      </w:r>
      <w:r w:rsidRPr="00165028">
        <w:t>iseen yhteistyöhön. Suojelupoliisin keskeisimpiin tehtäviin kuuluu kansainvälinen yhteistyö muiden tiedustelu- ja turvallisuuspalveluiden kanssa. Tietoja luovutetaan ja vastaanotetaan kansallisen turvallisuuden suojaamiseksi eli tiedonvaihto rajoittuu suoj</w:t>
      </w:r>
      <w:r w:rsidRPr="00165028">
        <w:t>elupoliisin tehtävän suorittamiseen. Parhaillaan käynnissä olevassa pol</w:t>
      </w:r>
      <w:r w:rsidRPr="00165028">
        <w:t>iisin henkilötietolain kokonais</w:t>
      </w:r>
      <w:r w:rsidRPr="00165028">
        <w:t>uudistuksessa ei ole arvioitu tarkoituksenmukaiseksi säätää suojelupoliisin tietojen luovuttamiselle muita r</w:t>
      </w:r>
      <w:r w:rsidRPr="00165028">
        <w:t>ajoituksia kuin se, että tiedon</w:t>
      </w:r>
      <w:r w:rsidRPr="00165028">
        <w:t>luovutuksen pit</w:t>
      </w:r>
      <w:r w:rsidRPr="00165028">
        <w:t>ää liittyä suojelupoliisin tehtävään. Ehdotetun 27 §:n kaltainen säännös siviilitiedustelussa voisi vaarantaa ja estää tehtävän, jonka vuoksi henkilötietojen käsittelystä on säädetty.</w:t>
      </w:r>
    </w:p>
    <w:p w:rsidR="003B0899" w:rsidRPr="00595C22" w:rsidRDefault="00310E1A" w:rsidP="003B0899">
      <w:pPr>
        <w:pStyle w:val="Leipteksti"/>
        <w:tabs>
          <w:tab w:val="left" w:pos="10205"/>
        </w:tabs>
        <w:ind w:right="-1"/>
        <w:jc w:val="both"/>
        <w:rPr>
          <w:i/>
        </w:rPr>
      </w:pPr>
      <w:r w:rsidRPr="00595C22">
        <w:rPr>
          <w:i/>
        </w:rPr>
        <w:t>Muut kommentit 4 luvusta</w:t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</w:pPr>
      <w:r>
        <w:t>Sisäministeriö</w:t>
      </w:r>
      <w:r w:rsidRPr="000230BE">
        <w:t xml:space="preserve"> kiinnittää huomiota myös 31 §:ss</w:t>
      </w:r>
      <w:r w:rsidRPr="000230BE">
        <w:t>ä ehdotettuun Puolustusvoimien oikeuteen saada lentoliikenteen matkustajatietoja lentoliikenteen harjoittajalta. Tiedonsaantioikeuden tarve ja perusteet olisi jatkovalmistelussa syytä kuvata katta</w:t>
      </w:r>
      <w:r>
        <w:softHyphen/>
      </w:r>
      <w:r w:rsidRPr="000230BE">
        <w:t>vammin pykälän perusteluissa. Samassa yhteydessä olisi tark</w:t>
      </w:r>
      <w:r w:rsidRPr="000230BE">
        <w:t>oituksenmukaista kuvata myös ehdotetun tiedonsaantioikeuden suhde PNR-direktiivin ja sen kansal</w:t>
      </w:r>
      <w:r>
        <w:softHyphen/>
      </w:r>
      <w:r w:rsidRPr="000230BE">
        <w:t>lisen täytäntöönpanolain nojalla tapahtuvaan matkustajatietojen käsittelyyn muissa turvallisuusviranomaisissa.</w:t>
      </w:r>
    </w:p>
    <w:p w:rsidR="00165028" w:rsidRDefault="00310E1A">
      <w:pPr>
        <w:rPr>
          <w:u w:val="single"/>
        </w:rPr>
      </w:pPr>
      <w:r>
        <w:rPr>
          <w:u w:val="single"/>
        </w:rPr>
        <w:br w:type="page"/>
      </w:r>
    </w:p>
    <w:p w:rsidR="000C6897" w:rsidRPr="003338E0" w:rsidRDefault="00310E1A" w:rsidP="000C6897">
      <w:pPr>
        <w:pStyle w:val="Leipteksti"/>
        <w:tabs>
          <w:tab w:val="left" w:pos="10205"/>
        </w:tabs>
        <w:ind w:right="-1"/>
        <w:jc w:val="both"/>
        <w:rPr>
          <w:u w:val="single"/>
        </w:rPr>
      </w:pPr>
      <w:r w:rsidRPr="003338E0">
        <w:rPr>
          <w:u w:val="single"/>
        </w:rPr>
        <w:lastRenderedPageBreak/>
        <w:t xml:space="preserve">Rajavartiolaitoksen tiedonsaantioikeus </w:t>
      </w:r>
      <w:r w:rsidRPr="003338E0">
        <w:rPr>
          <w:u w:val="single"/>
        </w:rPr>
        <w:t>puolustusvoimien henkilörekistereistä</w:t>
      </w:r>
    </w:p>
    <w:p w:rsidR="000C6897" w:rsidRPr="003338E0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3338E0">
        <w:t xml:space="preserve">Lakiluonnoksen 24 §:ssä säädetään puolustusvoimien oikeudesta luovuttaa henkilörekisteriensä tietoja teknisen käyttöyhteyden avulla. </w:t>
      </w:r>
      <w:r w:rsidRPr="003338E0">
        <w:t>Sisäministeriö</w:t>
      </w:r>
      <w:r w:rsidRPr="003338E0">
        <w:t xml:space="preserve"> esittää, että 24 §:n 1 momentin 1 kohtaan lisätään uusi säännös, jonka</w:t>
      </w:r>
      <w:r w:rsidRPr="003338E0">
        <w:t xml:space="preserve"> mukaan puolustusvoimat voi luovuttaa teknisen käyttöyhteyden avulla henkilötietoja Rajavartiolaitokselle myös sotilastiedustelutehtävää varten. Kuten edellä on todettu, sotilastiedustelu kuuluu myös Rajavartiolaitoksen lakisääteisiin tehtäviin.</w:t>
      </w:r>
    </w:p>
    <w:p w:rsidR="000C6897" w:rsidRPr="003338E0" w:rsidRDefault="00310E1A" w:rsidP="000C6897">
      <w:pPr>
        <w:pStyle w:val="Leipteksti"/>
        <w:tabs>
          <w:tab w:val="left" w:pos="10205"/>
        </w:tabs>
        <w:ind w:right="-1"/>
        <w:jc w:val="both"/>
        <w:rPr>
          <w:u w:val="single"/>
        </w:rPr>
      </w:pPr>
      <w:r w:rsidRPr="003338E0">
        <w:rPr>
          <w:u w:val="single"/>
        </w:rPr>
        <w:t>Rajavartio</w:t>
      </w:r>
      <w:r w:rsidRPr="003338E0">
        <w:rPr>
          <w:u w:val="single"/>
        </w:rPr>
        <w:t>laitoksen oikeus tallettaa tietoja puolustusvoimien rekistereihin</w:t>
      </w:r>
    </w:p>
    <w:p w:rsidR="000C6897" w:rsidRPr="003338E0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3338E0">
        <w:t>Lakiluonnoksen 32 §:ssä säädettäisiin muiden viranomaisten oikeudesta tallettaa tietoja suorakäyttöisesti puolustusvoimien henkilörekistereihin. Rajavartiolaitoksen osalta sääntelyssä on asi</w:t>
      </w:r>
      <w:r w:rsidRPr="003338E0">
        <w:t xml:space="preserve">anmukaisesti huomioitu asevelvollisrekisteri sekä sellaisten tietojen tallettaminen, jotka ovat tarpeen palvelukseen määräämistä, sotilastiedustelutehtävien suorittamista tai rikosten ennalta estämis- tai paljastamistehtävien suorittamista varten. </w:t>
      </w:r>
      <w:r w:rsidRPr="003338E0">
        <w:t>Sisämini</w:t>
      </w:r>
      <w:r w:rsidRPr="003338E0">
        <w:t>steriö</w:t>
      </w:r>
      <w:r w:rsidRPr="003338E0">
        <w:t xml:space="preserve"> toteaa, että asevelvollisrekisterin osalta kyse olisi Pääesikunnan rekisterinpidossa olevista tiedoista. Säännös on tarpeellinen, koska Rajavartiolaitos käsittelee satunnaisesti jo nykyisin asevelvollisrekisterissä puolustusvoimien henkilöstöön liit</w:t>
      </w:r>
      <w:r w:rsidRPr="003338E0">
        <w:t>tyviä tietoja esimerkiksi kertausharjoitusten yhteydessä. Teknisenä huomiona todetaan, että pykälän perustelut puuttuvat vielä esityksestä.</w:t>
      </w:r>
    </w:p>
    <w:p w:rsidR="000C6897" w:rsidRPr="003338E0" w:rsidRDefault="00310E1A" w:rsidP="000C6897">
      <w:pPr>
        <w:pStyle w:val="Leipteksti"/>
        <w:tabs>
          <w:tab w:val="left" w:pos="10205"/>
        </w:tabs>
        <w:ind w:right="-1"/>
        <w:jc w:val="both"/>
        <w:rPr>
          <w:u w:val="single"/>
        </w:rPr>
      </w:pPr>
      <w:r w:rsidRPr="003338E0">
        <w:rPr>
          <w:u w:val="single"/>
        </w:rPr>
        <w:t>Lentoliikenteen matkustajatiedot</w:t>
      </w:r>
    </w:p>
    <w:p w:rsidR="000C6897" w:rsidRPr="003338E0" w:rsidRDefault="00310E1A" w:rsidP="000C6897">
      <w:pPr>
        <w:pStyle w:val="Leipteksti"/>
        <w:tabs>
          <w:tab w:val="left" w:pos="10205"/>
        </w:tabs>
        <w:ind w:right="-1"/>
        <w:jc w:val="both"/>
      </w:pPr>
      <w:r w:rsidRPr="003338E0">
        <w:t>Lakiehdotuksen 31 §:n 2 momentin mukaan lentoliikenteen harjoittajan olisi toimitet</w:t>
      </w:r>
      <w:r w:rsidRPr="003338E0">
        <w:t>tava Puolustusvoimille tämän pyynnöstä lentoliikenteen matkustajatiedot. Säännöksestä jää epäselväksi, missä tarkoituksessa tietoja olisi puolustusvoimille toimitettava ja olisiko tietojen luovutus säännönmukaista ja massamaista. Tiedonsaantioikeus vaikutt</w:t>
      </w:r>
      <w:r w:rsidRPr="003338E0">
        <w:t>aa voimassa olevaan lainsäädäntöön nähden uudelta, mutta sitä ei ole perusteltu lainkaan. Perusteluissa tulisi arvioida myös ehdotetun sääntelyn suhdetta PNR-direktiiviin (2016/681/EU) ja API-direktiiviin (2004/82/EY), jotka velvoittavat lentoliikenteen ha</w:t>
      </w:r>
      <w:r w:rsidRPr="003338E0">
        <w:t>rjoittajia toimittamaan matkustajatietoja matkustajatietoyksikölle ja rajatarkastusviranomaisille.</w:t>
      </w:r>
    </w:p>
    <w:p w:rsidR="003B0899" w:rsidRPr="003338E0" w:rsidRDefault="00310E1A" w:rsidP="003338E0">
      <w:pPr>
        <w:pStyle w:val="Sivuotsikko"/>
      </w:pPr>
      <w:r w:rsidRPr="003338E0">
        <w:t>5 luku. Henkilötietojen poistaminen Puolustusvoimien henkilörekistereistä</w:t>
      </w:r>
    </w:p>
    <w:p w:rsidR="003B0899" w:rsidRPr="009A0E2E" w:rsidRDefault="00310E1A" w:rsidP="003B0899">
      <w:pPr>
        <w:pStyle w:val="Leipteksti"/>
        <w:tabs>
          <w:tab w:val="left" w:pos="10205"/>
        </w:tabs>
        <w:ind w:right="-1"/>
        <w:jc w:val="both"/>
      </w:pPr>
      <w:r>
        <w:t xml:space="preserve">Sisäministeriö </w:t>
      </w:r>
      <w:r w:rsidRPr="00F15F9D">
        <w:t xml:space="preserve">nostaa esiin tarpeen </w:t>
      </w:r>
      <w:r>
        <w:t>sovittaa myös henkilötietojen poistamista koske</w:t>
      </w:r>
      <w:r>
        <w:t>vat säännökset yhteen poliisia koskevan sääntelyn kanssa erityisesti esitutkintaa koskevien tietojen osalta. Toisistaan poikkeavat tietojen säilytysajat olisivat ongelmallisia viranomaisten toiminnassa etenkin siltä osin kuin henkilötietoja käsitellään sam</w:t>
      </w:r>
      <w:r>
        <w:t xml:space="preserve">oissa tietojärjestelmissä poliisin tietojen kanssa. </w:t>
      </w:r>
    </w:p>
    <w:p w:rsidR="000C6897" w:rsidRPr="003338E0" w:rsidRDefault="00310E1A" w:rsidP="003338E0">
      <w:pPr>
        <w:pStyle w:val="Sivuotsikko"/>
      </w:pPr>
      <w:r w:rsidRPr="003338E0">
        <w:t>Liitelait</w:t>
      </w:r>
    </w:p>
    <w:p w:rsidR="000C6897" w:rsidRPr="00165028" w:rsidRDefault="00310E1A" w:rsidP="000C6897">
      <w:pPr>
        <w:pStyle w:val="Leipteksti"/>
        <w:tabs>
          <w:tab w:val="left" w:pos="10205"/>
        </w:tabs>
        <w:ind w:right="-1"/>
        <w:jc w:val="both"/>
        <w:rPr>
          <w:u w:val="single"/>
        </w:rPr>
      </w:pPr>
      <w:r w:rsidRPr="00165028">
        <w:rPr>
          <w:u w:val="single"/>
        </w:rPr>
        <w:t>Kommentit puolustusvoimista annetun lain tiedonsaantia koskevasta 17 §:stä</w:t>
      </w:r>
    </w:p>
    <w:p w:rsidR="000C6897" w:rsidRDefault="00310E1A" w:rsidP="000C6897">
      <w:pPr>
        <w:pStyle w:val="Leipteksti"/>
        <w:tabs>
          <w:tab w:val="left" w:pos="10205"/>
        </w:tabs>
        <w:ind w:right="-1"/>
        <w:jc w:val="both"/>
      </w:pPr>
      <w:r>
        <w:t>Lakiin lisättäisiin puolustusvoimille yleinen oikeus saada viranomaiselta, julkista tehtävää hoitamaan asetetulta yhteisöltä ja yksityiseltä laissa säädetyn tehtävän suorittamiseksi tarpeelliset tiedot ja asiakirjat maksutta ja salassapitovelvollisuuden es</w:t>
      </w:r>
      <w:r>
        <w:t xml:space="preserve">tämättä, jollei sellaisen tiedon tai asiakirjan antamista puolustusvoimille ole laissa kielletty tai rajoitettu. </w:t>
      </w:r>
      <w:r>
        <w:t>Sisäministeriön</w:t>
      </w:r>
      <w:r>
        <w:t xml:space="preserve"> näkemyksen mukaan yleinen tiedonsaantioikeussäännös on sinänsä perusteltu, mutta ehdotettu sanamuoto vaikuttaa melko väljältä. </w:t>
      </w:r>
      <w:r>
        <w:t>Sääntely poikkeaisi erityisesti yksityisiltä tahoilta saatavien tietojen osalta merkittävästi siitä, mitä vastaavasta asiasta on säädetty poliisilaissa (872/2011) ja Rajavartiolaitoksen henkilötietolaissa. Kyseisissä laeissa tietoja on oikeus saada vain ri</w:t>
      </w:r>
      <w:r>
        <w:t>kosten ennalta estämiseksi tai selvittämiseksi taikka jos tärkeä yleinen tai yksityinen etu sitä vaatii. Tiedonsaantioikeus on lisäksi kytketty tietyntasoisen virkamiehen pyyntöön ja sääntely on muiltakin osin yksityiskohtaisempaa. Jatkovalmistelussa olisi</w:t>
      </w:r>
      <w:r>
        <w:t>kin tarpeen arvioida, onko ehdotettua sääntelyä syytä tältä osin täsmentää.</w:t>
      </w:r>
    </w:p>
    <w:p w:rsidR="000C6897" w:rsidRPr="003338E0" w:rsidRDefault="00310E1A" w:rsidP="000C6897">
      <w:pPr>
        <w:pStyle w:val="Leipteksti"/>
        <w:tabs>
          <w:tab w:val="left" w:pos="10205"/>
        </w:tabs>
        <w:ind w:right="-1"/>
        <w:jc w:val="both"/>
        <w:rPr>
          <w:i/>
        </w:rPr>
      </w:pPr>
      <w:r w:rsidRPr="003338E0">
        <w:rPr>
          <w:i/>
        </w:rPr>
        <w:t xml:space="preserve">Muut kommentit liitelaeista </w:t>
      </w:r>
    </w:p>
    <w:p w:rsidR="000C6897" w:rsidRPr="003338E0" w:rsidRDefault="00310E1A" w:rsidP="000C6897">
      <w:pPr>
        <w:pStyle w:val="Leipteksti"/>
        <w:tabs>
          <w:tab w:val="left" w:pos="10205"/>
        </w:tabs>
        <w:ind w:right="-1"/>
        <w:jc w:val="both"/>
        <w:rPr>
          <w:u w:val="single"/>
        </w:rPr>
      </w:pPr>
      <w:r w:rsidRPr="003338E0">
        <w:rPr>
          <w:u w:val="single"/>
        </w:rPr>
        <w:t>DNA-näytteiden ottaminen</w:t>
      </w:r>
    </w:p>
    <w:p w:rsidR="003B0899" w:rsidRDefault="00310E1A" w:rsidP="000C6897">
      <w:pPr>
        <w:pStyle w:val="Leipteksti"/>
        <w:tabs>
          <w:tab w:val="left" w:pos="10205"/>
        </w:tabs>
        <w:ind w:right="-1"/>
        <w:jc w:val="both"/>
      </w:pPr>
      <w:r>
        <w:lastRenderedPageBreak/>
        <w:t>Asevelvollisuuslakiin ehdotetaan lisättäväksi puolustusvoimille toimivaltuus DNA-näytteen ottamiseen asevelvolliselta tai vapa</w:t>
      </w:r>
      <w:r>
        <w:t xml:space="preserve">aehtoiseen asepalvelukseen otetulta. </w:t>
      </w:r>
      <w:r>
        <w:t>Sisäministeriö</w:t>
      </w:r>
      <w:r>
        <w:t xml:space="preserve"> katsoo, että säännöstä on tulkittava niin, että se oikeuttaisi puolustusvoimat ottamaan DNA-näytteen myös Rajavartiolaitoksen asevelvollisista. </w:t>
      </w:r>
      <w:r>
        <w:t>Sisäministeriö</w:t>
      </w:r>
      <w:r>
        <w:t xml:space="preserve"> pitää toimivaltuutta asianmukaisena ja tarpee</w:t>
      </w:r>
      <w:r>
        <w:t>llisena.</w:t>
      </w:r>
    </w:p>
    <w:p w:rsidR="003B0899" w:rsidRDefault="00310E1A" w:rsidP="003B0899">
      <w:pPr>
        <w:pStyle w:val="Sivuotsikko"/>
      </w:pPr>
      <w:r>
        <w:t>Hallituksen esityksen perustelut</w:t>
      </w:r>
    </w:p>
    <w:p w:rsidR="003B0899" w:rsidRPr="00F93CF1" w:rsidRDefault="00310E1A" w:rsidP="003B0899">
      <w:pPr>
        <w:pStyle w:val="Leipteksti"/>
        <w:tabs>
          <w:tab w:val="left" w:pos="10205"/>
        </w:tabs>
        <w:ind w:right="-1"/>
        <w:jc w:val="both"/>
        <w:rPr>
          <w:i/>
        </w:rPr>
      </w:pPr>
      <w:r w:rsidRPr="00F93CF1">
        <w:rPr>
          <w:i/>
        </w:rPr>
        <w:t>Kommentit yleisperusteluihin</w:t>
      </w:r>
    </w:p>
    <w:p w:rsidR="003B0899" w:rsidRDefault="00310E1A" w:rsidP="003B0899">
      <w:pPr>
        <w:pStyle w:val="Leipteksti"/>
        <w:tabs>
          <w:tab w:val="left" w:pos="10205"/>
        </w:tabs>
        <w:ind w:right="-1"/>
        <w:jc w:val="both"/>
      </w:pPr>
      <w:r w:rsidRPr="00F93CF1">
        <w:t>Esityksen taloudellisia vaikutuksia ei ole arvioitu yleisperusteluissa, koska taloudel</w:t>
      </w:r>
      <w:r>
        <w:softHyphen/>
      </w:r>
      <w:r w:rsidRPr="00F93CF1">
        <w:t>liset vaikutukset ai</w:t>
      </w:r>
      <w:r>
        <w:t>heutuvat esityksen mu</w:t>
      </w:r>
      <w:r w:rsidRPr="00F93CF1">
        <w:t>kaan pääosin ehdotetusta henkilötietojen käsittelystä rik</w:t>
      </w:r>
      <w:r w:rsidRPr="00F93CF1">
        <w:t xml:space="preserve">osasioissa ja kansallisen turvallisuuden ylläpitämisen yhteydessä annettavasta laista sekä osittain yleisestä tietosuoja-asetuksesta. </w:t>
      </w:r>
      <w:r>
        <w:t xml:space="preserve"> </w:t>
      </w:r>
      <w:r>
        <w:t>Sisäministeriö</w:t>
      </w:r>
      <w:r>
        <w:t xml:space="preserve"> nostaa esiin, että kustannusvaikutuksia voi aiheutua myös kansallisten lainsäädäntö</w:t>
      </w:r>
      <w:r>
        <w:softHyphen/>
        <w:t xml:space="preserve">ratkaisujen </w:t>
      </w:r>
      <w:r>
        <w:t>toteuttamiseksi tarvittavista tietojärjestelmämuutoksista, mikäli samoissa järjestelmissä tapahtuvaa henkilötietojen käsittelyä säännellään eri tavoin poliisin ja Puolustusvoimien osalta.</w:t>
      </w:r>
    </w:p>
    <w:p w:rsidR="000C6897" w:rsidRPr="000C6897" w:rsidRDefault="00310E1A" w:rsidP="003B0899">
      <w:pPr>
        <w:pStyle w:val="Leipteksti"/>
        <w:tabs>
          <w:tab w:val="left" w:pos="10205"/>
        </w:tabs>
        <w:ind w:right="-1"/>
        <w:jc w:val="both"/>
        <w:rPr>
          <w:i/>
        </w:rPr>
      </w:pPr>
      <w:r w:rsidRPr="000C6897">
        <w:rPr>
          <w:i/>
        </w:rPr>
        <w:t>Kommentit yksityiskohtaisiin perusteluihin</w:t>
      </w:r>
    </w:p>
    <w:p w:rsidR="00B739C2" w:rsidRDefault="00310E1A" w:rsidP="003B0899">
      <w:pPr>
        <w:pStyle w:val="Leipteksti"/>
        <w:tabs>
          <w:tab w:val="left" w:pos="10205"/>
        </w:tabs>
        <w:ind w:right="-1"/>
        <w:jc w:val="both"/>
      </w:pPr>
      <w:r w:rsidRPr="000C6897">
        <w:t>Edellä mainitulla tavalla</w:t>
      </w:r>
      <w:r w:rsidRPr="000C6897">
        <w:t xml:space="preserve"> </w:t>
      </w:r>
      <w:r>
        <w:t>sisäministeriö</w:t>
      </w:r>
      <w:r w:rsidRPr="000C6897">
        <w:t xml:space="preserve"> esittää, että Rajavartiolaitoksen asemaa asevelvollisrekisterin rekisterinpitäjänä ja käyttäjänä selostettaisiin esityksessä tarkemmin.</w:t>
      </w:r>
    </w:p>
    <w:p w:rsidR="002A6CD5" w:rsidRDefault="00310E1A" w:rsidP="003B0899">
      <w:pPr>
        <w:pStyle w:val="Sivuotsikko"/>
      </w:pPr>
      <w:r>
        <w:t>Muuta</w:t>
      </w:r>
    </w:p>
    <w:p w:rsidR="003338E0" w:rsidRDefault="00310E1A" w:rsidP="003B0899">
      <w:pPr>
        <w:pStyle w:val="Leipteksti"/>
      </w:pPr>
      <w:r>
        <w:t>Lisätietoja sisäministeriön lausunnosta antaa poliisin toimialan osalta ylitarkastaja Suvi Pato-Oj</w:t>
      </w:r>
      <w:r>
        <w:t>a (</w:t>
      </w:r>
      <w:hyperlink r:id="rId9" w:history="1">
        <w:r w:rsidRPr="00AF5CD1">
          <w:rPr>
            <w:rStyle w:val="Hyperlinkki"/>
          </w:rPr>
          <w:t>etunimi.sukunimi@intermin.fi</w:t>
        </w:r>
      </w:hyperlink>
      <w:r>
        <w:t xml:space="preserve"> ja Rajavartiolaitoksen toimialan osalta rajavartioylitarkastaja Anne Ihanus (</w:t>
      </w:r>
      <w:hyperlink r:id="rId10" w:history="1">
        <w:r w:rsidRPr="00013EF1">
          <w:rPr>
            <w:rStyle w:val="Hyperlinkki"/>
          </w:rPr>
          <w:t>etunimi.sukunimi@raja.fi</w:t>
        </w:r>
      </w:hyperlink>
      <w:r>
        <w:t>).</w:t>
      </w:r>
    </w:p>
    <w:p w:rsidR="00CF11FD" w:rsidRDefault="00310E1A" w:rsidP="002A6CD5">
      <w:pPr>
        <w:pStyle w:val="Leipteksti"/>
      </w:pPr>
    </w:p>
    <w:p w:rsidR="003338E0" w:rsidRDefault="00310E1A" w:rsidP="002A6CD5">
      <w:pPr>
        <w:pStyle w:val="Leipteksti"/>
      </w:pPr>
    </w:p>
    <w:p w:rsidR="00CF11FD" w:rsidRDefault="00310E1A" w:rsidP="002A6CD5">
      <w:pPr>
        <w:pStyle w:val="Leipteksti"/>
      </w:pPr>
      <w:r>
        <w:t>Kansliapäällikkö</w:t>
      </w:r>
      <w:r>
        <w:tab/>
        <w:t>P</w:t>
      </w:r>
      <w:r>
        <w:t>äivi Nerg</w:t>
      </w:r>
    </w:p>
    <w:p w:rsidR="00CF11FD" w:rsidRDefault="00310E1A" w:rsidP="00CF11FD">
      <w:pPr>
        <w:pStyle w:val="Leipteksti"/>
      </w:pPr>
    </w:p>
    <w:p w:rsidR="00CF11FD" w:rsidRDefault="00310E1A" w:rsidP="00CF11FD">
      <w:pPr>
        <w:pStyle w:val="Leipteksti"/>
      </w:pPr>
      <w:r>
        <w:t>Erityisasiantuntija</w:t>
      </w:r>
      <w:r>
        <w:tab/>
        <w:t>Hanne Huvila</w:t>
      </w:r>
    </w:p>
    <w:p w:rsidR="008C5E06" w:rsidRDefault="00310E1A" w:rsidP="00CF11FD">
      <w:pPr>
        <w:pStyle w:val="Leipteksti"/>
      </w:pPr>
    </w:p>
    <w:p w:rsidR="00CF11FD" w:rsidRDefault="00310E1A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sähköisesti allekirjoitettu asianhallintajärjestelmässä. Sisäministeriö 22.11.2017 klo 07:51. Allekirjoituksen oikeellisuuden voi todentaa kirjaa</w:t>
      </w:r>
      <w:r>
        <w:t>mosta.</w:t>
      </w:r>
      <w:r>
        <w:fldChar w:fldCharType="end"/>
      </w:r>
    </w:p>
    <w:p w:rsidR="00CF11FD" w:rsidRDefault="00310E1A" w:rsidP="00F874C0">
      <w:pPr>
        <w:pStyle w:val="Leipteksti"/>
      </w:pPr>
    </w:p>
    <w:p w:rsidR="008C5E06" w:rsidRDefault="00310E1A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746BDF" w:rsidTr="00CF11FD">
        <w:trPr>
          <w:trHeight w:val="556"/>
        </w:trPr>
        <w:tc>
          <w:tcPr>
            <w:tcW w:w="2608" w:type="dxa"/>
          </w:tcPr>
          <w:p w:rsidR="00CF11FD" w:rsidRPr="00242B73" w:rsidRDefault="00310E1A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Default="00310E1A" w:rsidP="00CF11FD">
            <w:r>
              <w:t>Sisäministeri Risikko</w:t>
            </w:r>
          </w:p>
          <w:p w:rsidR="00545CC8" w:rsidRDefault="00310E1A" w:rsidP="00CF11FD">
            <w:r>
              <w:t>Erityisavustajat Rytilä ja Salo</w:t>
            </w:r>
          </w:p>
          <w:p w:rsidR="00545CC8" w:rsidRPr="00242B73" w:rsidRDefault="00310E1A" w:rsidP="00CF11FD">
            <w:pPr>
              <w:rPr>
                <w:sz w:val="20"/>
                <w:szCs w:val="20"/>
              </w:rPr>
            </w:pPr>
            <w:r>
              <w:t>Ylitarkastaja Pato-Oja</w:t>
            </w:r>
          </w:p>
        </w:tc>
      </w:tr>
    </w:tbl>
    <w:p w:rsidR="00162585" w:rsidRDefault="00310E1A" w:rsidP="00162585"/>
    <w:p w:rsidR="00D76923" w:rsidRDefault="00310E1A"/>
    <w:p w:rsidR="0035265B" w:rsidRDefault="00310E1A"/>
    <w:p w:rsidR="008C5E06" w:rsidRPr="00162585" w:rsidRDefault="00310E1A" w:rsidP="00D76923"/>
    <w:sectPr w:rsidR="008C5E06" w:rsidRPr="00162585" w:rsidSect="002208F1">
      <w:headerReference w:type="default" r:id="rId11"/>
      <w:headerReference w:type="first" r:id="rId12"/>
      <w:footerReference w:type="first" r:id="rId13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0E1A">
      <w:r>
        <w:separator/>
      </w:r>
    </w:p>
  </w:endnote>
  <w:endnote w:type="continuationSeparator" w:id="0">
    <w:p w:rsidR="00000000" w:rsidRDefault="003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746BDF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310E1A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310E1A" w:rsidP="001811CD">
          <w:pPr>
            <w:pStyle w:val="Alatunniste"/>
          </w:pPr>
        </w:p>
      </w:tc>
    </w:tr>
    <w:tr w:rsidR="00746BDF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310E1A" w:rsidP="001811CD">
          <w:pPr>
            <w:pStyle w:val="Alatunniste"/>
          </w:pPr>
        </w:p>
      </w:tc>
    </w:tr>
    <w:tr w:rsidR="00746BDF" w:rsidTr="001811CD">
      <w:tc>
        <w:tcPr>
          <w:tcW w:w="2586" w:type="dxa"/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10E1A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310E1A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310E1A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310E1A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746BDF" w:rsidTr="001811CD">
      <w:tc>
        <w:tcPr>
          <w:tcW w:w="2586" w:type="dxa"/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10E1A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310E1A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310E1A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310E1A" w:rsidP="001811CD">
          <w:pPr>
            <w:pStyle w:val="Alatunniste"/>
          </w:pPr>
          <w:r>
            <w:t>kirjaamo@intermin.fi</w:t>
          </w:r>
        </w:p>
      </w:tc>
    </w:tr>
    <w:tr w:rsidR="00746BDF" w:rsidTr="001811CD">
      <w:tc>
        <w:tcPr>
          <w:tcW w:w="2586" w:type="dxa"/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10E1A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310E1A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310E1A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310E1A" w:rsidP="001811CD">
          <w:pPr>
            <w:pStyle w:val="Alatunniste"/>
          </w:pPr>
          <w:r>
            <w:t>www.intermin.fi</w:t>
          </w:r>
        </w:p>
      </w:tc>
    </w:tr>
    <w:tr w:rsidR="00746BDF" w:rsidTr="001811CD">
      <w:tc>
        <w:tcPr>
          <w:tcW w:w="2586" w:type="dxa"/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310E1A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310E1A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310E1A" w:rsidP="001811CD">
          <w:pPr>
            <w:pStyle w:val="Alatunniste"/>
          </w:pPr>
        </w:p>
      </w:tc>
    </w:tr>
    <w:tr w:rsidR="00746BDF" w:rsidTr="001811CD">
      <w:tc>
        <w:tcPr>
          <w:tcW w:w="2586" w:type="dxa"/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809" w:type="dxa"/>
        </w:tcPr>
        <w:p w:rsidR="00C32D98" w:rsidRDefault="00310E1A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310E1A" w:rsidP="001811CD">
          <w:pPr>
            <w:pStyle w:val="Alatunniste"/>
          </w:pPr>
        </w:p>
      </w:tc>
      <w:tc>
        <w:tcPr>
          <w:tcW w:w="1843" w:type="dxa"/>
        </w:tcPr>
        <w:p w:rsidR="00C32D98" w:rsidRDefault="00310E1A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310E1A" w:rsidP="001811CD">
          <w:pPr>
            <w:pStyle w:val="Alatunniste"/>
          </w:pPr>
        </w:p>
      </w:tc>
    </w:tr>
  </w:tbl>
  <w:p w:rsidR="00EF222F" w:rsidRDefault="00310E1A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0E1A">
      <w:r>
        <w:separator/>
      </w:r>
    </w:p>
  </w:footnote>
  <w:footnote w:type="continuationSeparator" w:id="0">
    <w:p w:rsidR="00000000" w:rsidRDefault="0031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746BDF" w:rsidTr="005E4795">
      <w:tc>
        <w:tcPr>
          <w:tcW w:w="5222" w:type="dxa"/>
        </w:tcPr>
        <w:p w:rsidR="0035265B" w:rsidRPr="00770045" w:rsidRDefault="00310E1A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310E1A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310E1A" w:rsidP="005E4795">
          <w:pPr>
            <w:pStyle w:val="Yltunniste"/>
          </w:pPr>
        </w:p>
      </w:tc>
      <w:tc>
        <w:tcPr>
          <w:tcW w:w="1054" w:type="dxa"/>
        </w:tcPr>
        <w:p w:rsidR="0035265B" w:rsidRDefault="00310E1A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t>)</w:t>
          </w:r>
        </w:p>
      </w:tc>
    </w:tr>
    <w:tr w:rsidR="00746BDF" w:rsidTr="005E4795">
      <w:trPr>
        <w:trHeight w:val="272"/>
      </w:trPr>
      <w:tc>
        <w:tcPr>
          <w:tcW w:w="5222" w:type="dxa"/>
        </w:tcPr>
        <w:p w:rsidR="0035265B" w:rsidRPr="002A6CD5" w:rsidRDefault="00310E1A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310E1A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10E1A" w:rsidP="005E4795">
          <w:pPr>
            <w:pStyle w:val="Yltunniste"/>
          </w:pPr>
        </w:p>
      </w:tc>
    </w:tr>
    <w:tr w:rsidR="00746BDF" w:rsidTr="005E4795">
      <w:trPr>
        <w:trHeight w:val="272"/>
      </w:trPr>
      <w:tc>
        <w:tcPr>
          <w:tcW w:w="5222" w:type="dxa"/>
        </w:tcPr>
        <w:p w:rsidR="0035265B" w:rsidRDefault="00310E1A" w:rsidP="005E4795">
          <w:pPr>
            <w:pStyle w:val="Yltunniste"/>
          </w:pPr>
        </w:p>
      </w:tc>
      <w:tc>
        <w:tcPr>
          <w:tcW w:w="2608" w:type="dxa"/>
        </w:tcPr>
        <w:p w:rsidR="0035265B" w:rsidRDefault="00310E1A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310E1A" w:rsidP="005E4795">
          <w:pPr>
            <w:pStyle w:val="Yltunniste"/>
          </w:pPr>
        </w:p>
      </w:tc>
    </w:tr>
    <w:tr w:rsidR="00746BDF" w:rsidTr="005E4795">
      <w:trPr>
        <w:trHeight w:val="272"/>
      </w:trPr>
      <w:tc>
        <w:tcPr>
          <w:tcW w:w="5222" w:type="dxa"/>
        </w:tcPr>
        <w:p w:rsidR="0035265B" w:rsidRDefault="00310E1A" w:rsidP="005E4795">
          <w:pPr>
            <w:pStyle w:val="Yltunniste"/>
          </w:pPr>
        </w:p>
      </w:tc>
      <w:tc>
        <w:tcPr>
          <w:tcW w:w="2608" w:type="dxa"/>
        </w:tcPr>
        <w:p w:rsidR="0035265B" w:rsidRDefault="00310E1A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22.11.2017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310E1A" w:rsidP="005E4795">
          <w:pPr>
            <w:pStyle w:val="Yltunniste"/>
          </w:pPr>
        </w:p>
      </w:tc>
    </w:tr>
  </w:tbl>
  <w:p w:rsidR="00D64AB2" w:rsidRDefault="00310E1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746BDF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310E1A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 wp14:anchorId="4FF859EC" wp14:editId="059EA3A8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310E1A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310E1A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310E1A" w:rsidP="005E4795">
          <w:pPr>
            <w:pStyle w:val="Yltunniste"/>
            <w:jc w:val="center"/>
          </w:pPr>
        </w:p>
      </w:tc>
    </w:tr>
    <w:tr w:rsidR="00746BDF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310E1A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310E1A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310E1A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SM17193261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310E1A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t>)</w:t>
          </w:r>
        </w:p>
      </w:tc>
    </w:tr>
    <w:tr w:rsidR="00746BDF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310E1A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310E1A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10E1A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746BDF" w:rsidTr="005E4795">
      <w:tc>
        <w:tcPr>
          <w:tcW w:w="5823" w:type="dxa"/>
          <w:vMerge/>
          <w:tcMar>
            <w:left w:w="0" w:type="dxa"/>
          </w:tcMar>
        </w:tcPr>
        <w:p w:rsidR="0035265B" w:rsidRDefault="00310E1A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310E1A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10E1A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SMDno-2017-1653</w:t>
          </w:r>
          <w:r>
            <w:fldChar w:fldCharType="end"/>
          </w:r>
        </w:p>
      </w:tc>
    </w:tr>
    <w:tr w:rsidR="00746BDF" w:rsidTr="005E4795">
      <w:tc>
        <w:tcPr>
          <w:tcW w:w="5823" w:type="dxa"/>
          <w:tcMar>
            <w:left w:w="0" w:type="dxa"/>
          </w:tcMar>
        </w:tcPr>
        <w:p w:rsidR="0035265B" w:rsidRDefault="00310E1A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310E1A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22.11.2017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310E1A" w:rsidP="005E4795">
          <w:pPr>
            <w:pStyle w:val="Yltunniste"/>
          </w:pPr>
        </w:p>
      </w:tc>
    </w:tr>
  </w:tbl>
  <w:p w:rsidR="002723D0" w:rsidRDefault="00310E1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DF"/>
    <w:rsid w:val="00310E1A"/>
    <w:rsid w:val="007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  <w:style w:type="character" w:styleId="Hyperlinkki">
    <w:name w:val="Hyperlink"/>
    <w:basedOn w:val="Kappaleenoletusfontti"/>
    <w:uiPriority w:val="99"/>
    <w:unhideWhenUsed/>
    <w:rsid w:val="003B0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  <w:style w:type="character" w:styleId="Hyperlinkki">
    <w:name w:val="Hyperlink"/>
    <w:basedOn w:val="Kappaleenoletusfontti"/>
    <w:uiPriority w:val="99"/>
    <w:unhideWhenUsed/>
    <w:rsid w:val="003B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tunimi.sukunimi@raja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unimi.sukunimi@intermin.f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95CC-FF5C-453F-B8B8-5AE6F5AF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2705</Words>
  <Characters>21916</Characters>
  <Application>Microsoft Office Word</Application>
  <DocSecurity>0</DocSecurity>
  <Lines>182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Peltonen Pyry PLM</cp:lastModifiedBy>
  <cp:revision>2</cp:revision>
  <cp:lastPrinted>2017-11-22T10:48:00Z</cp:lastPrinted>
  <dcterms:created xsi:type="dcterms:W3CDTF">2017-11-22T10:48:00Z</dcterms:created>
  <dcterms:modified xsi:type="dcterms:W3CDTF">2017-11-22T10:48:00Z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22.11.2017 klo 07:51.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SMDno-2017-1653</vt:lpwstr>
  </property>
  <property fmtid="{D5CDD505-2E9C-101B-9397-08002B2CF9AE}" pid="6" name="sm_id">
    <vt:lpwstr>SM17193261</vt:lpwstr>
  </property>
  <property fmtid="{D5CDD505-2E9C-101B-9397-08002B2CF9AE}" pid="7" name="sm_käsittelyluokka">
    <vt:lpwstr/>
  </property>
  <property fmtid="{D5CDD505-2E9C-101B-9397-08002B2CF9AE}" pid="8" name="sm_laatija">
    <vt:lpwstr>Hanne Huvila</vt:lpwstr>
  </property>
  <property fmtid="{D5CDD505-2E9C-101B-9397-08002B2CF9AE}" pid="9" name="sm_laatimispvm">
    <vt:lpwstr>20.11.2017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HE laiksi henkilötietojen käsittelystä Puolustusvoimissa sekä eräiden siihen liittyvien lakien muuttamisesta</vt:lpwstr>
  </property>
  <property fmtid="{D5CDD505-2E9C-101B-9397-08002B2CF9AE}" pid="15" name="sm_pvm">
    <vt:lpwstr>22.11.2017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