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D7" w:rsidRPr="003408CE" w:rsidRDefault="002107D7" w:rsidP="002107D7">
      <w:pPr>
        <w:rPr>
          <w:szCs w:val="24"/>
        </w:rPr>
      </w:pPr>
      <w:r>
        <w:rPr>
          <w:szCs w:val="24"/>
        </w:rPr>
        <w:t>19.12.2017 VM/BO/RY/</w:t>
      </w:r>
    </w:p>
    <w:p w:rsidR="002107D7" w:rsidRDefault="002107D7" w:rsidP="002107D7">
      <w:pPr>
        <w:rPr>
          <w:szCs w:val="24"/>
          <w:u w:val="single"/>
        </w:rPr>
      </w:pPr>
    </w:p>
    <w:p w:rsidR="002107D7" w:rsidRDefault="002107D7" w:rsidP="002107D7">
      <w:pPr>
        <w:rPr>
          <w:szCs w:val="24"/>
          <w:u w:val="single"/>
        </w:rPr>
      </w:pPr>
    </w:p>
    <w:p w:rsidR="002107D7" w:rsidRDefault="002107D7" w:rsidP="002107D7">
      <w:pPr>
        <w:rPr>
          <w:szCs w:val="24"/>
          <w:u w:val="single"/>
        </w:rPr>
      </w:pPr>
    </w:p>
    <w:p w:rsidR="002107D7" w:rsidRPr="00192065" w:rsidRDefault="002107D7" w:rsidP="002107D7">
      <w:pPr>
        <w:rPr>
          <w:szCs w:val="24"/>
          <w:u w:val="single"/>
        </w:rPr>
      </w:pPr>
      <w:r>
        <w:rPr>
          <w:szCs w:val="24"/>
          <w:u w:val="single"/>
        </w:rPr>
        <w:t>Vanhempainvapaa</w:t>
      </w:r>
      <w:r w:rsidRPr="00192065">
        <w:rPr>
          <w:szCs w:val="24"/>
          <w:u w:val="single"/>
        </w:rPr>
        <w:t xml:space="preserve"> ja työllisyys 5+4+5 (äiti, valinta, isä)</w:t>
      </w:r>
      <w:r>
        <w:rPr>
          <w:szCs w:val="24"/>
          <w:u w:val="single"/>
        </w:rPr>
        <w:t xml:space="preserve"> sekä lastenhoidontuki 1,5 vuotta</w:t>
      </w:r>
    </w:p>
    <w:p w:rsidR="002107D7" w:rsidRDefault="002107D7" w:rsidP="002107D7">
      <w:pPr>
        <w:rPr>
          <w:sz w:val="16"/>
          <w:szCs w:val="16"/>
        </w:rPr>
      </w:pPr>
    </w:p>
    <w:p w:rsidR="002107D7" w:rsidRPr="00971DFD" w:rsidRDefault="002107D7" w:rsidP="002107D7">
      <w:pPr>
        <w:rPr>
          <w:sz w:val="22"/>
          <w:szCs w:val="22"/>
        </w:rPr>
      </w:pPr>
      <w:r>
        <w:rPr>
          <w:sz w:val="22"/>
          <w:szCs w:val="22"/>
        </w:rPr>
        <w:t>Taulukkoon on listattu malli, jossa sosiaalivakuutusjakso isällä ja äidillä on viisi kuukautta ja neljä kuukautta on perheen päätettävissä, kumpi vanhempainvapaaetuuden käyttää. Laskelmissa on oletettu, että ä</w:t>
      </w:r>
      <w:r w:rsidRPr="00971DFD">
        <w:rPr>
          <w:sz w:val="22"/>
          <w:szCs w:val="22"/>
        </w:rPr>
        <w:t>itiysp</w:t>
      </w:r>
      <w:r>
        <w:rPr>
          <w:sz w:val="22"/>
          <w:szCs w:val="22"/>
        </w:rPr>
        <w:t>äi</w:t>
      </w:r>
      <w:r w:rsidRPr="00971DFD">
        <w:rPr>
          <w:sz w:val="22"/>
          <w:szCs w:val="22"/>
        </w:rPr>
        <w:t>v</w:t>
      </w:r>
      <w:r>
        <w:rPr>
          <w:sz w:val="22"/>
          <w:szCs w:val="22"/>
        </w:rPr>
        <w:t>ä</w:t>
      </w:r>
      <w:r w:rsidRPr="00971DFD">
        <w:rPr>
          <w:sz w:val="22"/>
          <w:szCs w:val="22"/>
        </w:rPr>
        <w:t>rah</w:t>
      </w:r>
      <w:r>
        <w:rPr>
          <w:sz w:val="22"/>
          <w:szCs w:val="22"/>
        </w:rPr>
        <w:t>akauden alkua voi siirtää 30 päivä</w:t>
      </w:r>
      <w:r w:rsidRPr="00971DFD">
        <w:rPr>
          <w:sz w:val="22"/>
          <w:szCs w:val="22"/>
        </w:rPr>
        <w:t>stä 24 päivään ilman sopimusta</w:t>
      </w:r>
      <w:r>
        <w:rPr>
          <w:sz w:val="22"/>
          <w:szCs w:val="22"/>
        </w:rPr>
        <w:t xml:space="preserve"> työnantajan kanssa ja kaikki äidit käyttävät tätä mahdollisuutta</w:t>
      </w:r>
      <w:r w:rsidRPr="00971DFD">
        <w:rPr>
          <w:sz w:val="22"/>
          <w:szCs w:val="22"/>
        </w:rPr>
        <w:t>.</w:t>
      </w:r>
      <w:r>
        <w:rPr>
          <w:sz w:val="22"/>
          <w:szCs w:val="22"/>
        </w:rPr>
        <w:t xml:space="preserve"> Lisäksi on oletettu, että p</w:t>
      </w:r>
      <w:r w:rsidRPr="00971DFD">
        <w:rPr>
          <w:sz w:val="22"/>
          <w:szCs w:val="22"/>
        </w:rPr>
        <w:t>äivärahakauden alkua voi siirtää sopimall</w:t>
      </w:r>
      <w:r>
        <w:rPr>
          <w:sz w:val="22"/>
          <w:szCs w:val="22"/>
        </w:rPr>
        <w:t>a työnantajan kanssa 18 päivään ja puolet</w:t>
      </w:r>
      <w:r w:rsidRPr="00971DFD">
        <w:rPr>
          <w:sz w:val="22"/>
          <w:szCs w:val="22"/>
        </w:rPr>
        <w:t xml:space="preserve"> </w:t>
      </w:r>
      <w:r>
        <w:rPr>
          <w:sz w:val="22"/>
          <w:szCs w:val="22"/>
        </w:rPr>
        <w:t>äideistä tekee näin.</w:t>
      </w:r>
    </w:p>
    <w:p w:rsidR="002107D7" w:rsidRDefault="002107D7" w:rsidP="002107D7">
      <w:pPr>
        <w:rPr>
          <w:sz w:val="22"/>
          <w:szCs w:val="22"/>
        </w:rPr>
      </w:pPr>
    </w:p>
    <w:p w:rsidR="002107D7" w:rsidRDefault="002107D7" w:rsidP="002107D7">
      <w:pPr>
        <w:rPr>
          <w:sz w:val="22"/>
          <w:szCs w:val="22"/>
        </w:rPr>
      </w:pPr>
      <w:r>
        <w:rPr>
          <w:sz w:val="22"/>
          <w:szCs w:val="22"/>
        </w:rPr>
        <w:t>Lastenhoidontukijaksossa on porrastus 1,5 vuoden kohdalla. Tuen suuruus on siihen asti nykyisen suuruinen ja siitä eteenpäin joustavan hoitorahan suuruinen.</w:t>
      </w:r>
    </w:p>
    <w:p w:rsidR="002107D7" w:rsidRDefault="002107D7" w:rsidP="002107D7">
      <w:pPr>
        <w:rPr>
          <w:sz w:val="22"/>
          <w:szCs w:val="22"/>
        </w:rPr>
      </w:pPr>
    </w:p>
    <w:p w:rsidR="002107D7" w:rsidRPr="00971DFD" w:rsidRDefault="002107D7" w:rsidP="002107D7">
      <w:pPr>
        <w:rPr>
          <w:sz w:val="22"/>
          <w:szCs w:val="22"/>
        </w:rPr>
      </w:pPr>
      <w:r>
        <w:rPr>
          <w:sz w:val="22"/>
          <w:szCs w:val="22"/>
        </w:rPr>
        <w:t xml:space="preserve">Lukuja käytettäessä tulee muistaa, että ne ovat </w:t>
      </w:r>
      <w:r w:rsidRPr="00331FBE">
        <w:rPr>
          <w:b/>
          <w:i/>
          <w:sz w:val="22"/>
          <w:szCs w:val="22"/>
        </w:rPr>
        <w:t>suuntaa-antavia</w:t>
      </w:r>
      <w:r>
        <w:rPr>
          <w:sz w:val="22"/>
          <w:szCs w:val="22"/>
        </w:rPr>
        <w:t xml:space="preserve"> - laskenta nojaa oletuksiin ja laskentaan on ollut käytettävissä vain karkea välineistö. Vaikka laskenta antaa suhteellisen tarkalta näyttäviä lukuja, työllisten määriä ei tule tarkastella satojen henkilötyövuosien tarkkuudella.</w:t>
      </w:r>
    </w:p>
    <w:p w:rsidR="002107D7" w:rsidRPr="00971DFD" w:rsidRDefault="002107D7" w:rsidP="002107D7">
      <w:pPr>
        <w:rPr>
          <w:sz w:val="22"/>
          <w:szCs w:val="22"/>
        </w:rPr>
      </w:pPr>
    </w:p>
    <w:p w:rsidR="002107D7" w:rsidRDefault="002107D7" w:rsidP="002107D7">
      <w:pPr>
        <w:rPr>
          <w:sz w:val="16"/>
          <w:szCs w:val="16"/>
        </w:rPr>
      </w:pPr>
    </w:p>
    <w:tbl>
      <w:tblPr>
        <w:tblStyle w:val="TaulukkoRuudukko"/>
        <w:tblpPr w:leftFromText="141" w:rightFromText="141" w:vertAnchor="text" w:horzAnchor="page" w:tblpX="1825" w:tblpY="-23"/>
        <w:tblW w:w="7905" w:type="dxa"/>
        <w:tblLayout w:type="fixed"/>
        <w:tblLook w:val="04A0" w:firstRow="1" w:lastRow="0" w:firstColumn="1" w:lastColumn="0" w:noHBand="0" w:noVBand="1"/>
      </w:tblPr>
      <w:tblGrid>
        <w:gridCol w:w="2376"/>
        <w:gridCol w:w="2410"/>
        <w:gridCol w:w="3119"/>
      </w:tblGrid>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Vanhempainvapaat</w:t>
            </w:r>
          </w:p>
          <w:p w:rsidR="002107D7" w:rsidRPr="00971DFD" w:rsidRDefault="002107D7" w:rsidP="0049420B">
            <w:pPr>
              <w:autoSpaceDE w:val="0"/>
              <w:autoSpaceDN w:val="0"/>
              <w:adjustRightInd w:val="0"/>
              <w:rPr>
                <w:sz w:val="22"/>
                <w:szCs w:val="22"/>
              </w:rPr>
            </w:pPr>
          </w:p>
        </w:tc>
        <w:tc>
          <w:tcPr>
            <w:tcW w:w="2410" w:type="dxa"/>
          </w:tcPr>
          <w:p w:rsidR="002107D7" w:rsidRPr="00971DFD" w:rsidRDefault="002107D7" w:rsidP="0049420B">
            <w:pPr>
              <w:autoSpaceDE w:val="0"/>
              <w:autoSpaceDN w:val="0"/>
              <w:adjustRightInd w:val="0"/>
              <w:rPr>
                <w:sz w:val="22"/>
                <w:szCs w:val="22"/>
              </w:rPr>
            </w:pPr>
            <w:r w:rsidRPr="00971DFD">
              <w:rPr>
                <w:sz w:val="22"/>
                <w:szCs w:val="22"/>
              </w:rPr>
              <w:t xml:space="preserve">Nykymalli  </w:t>
            </w:r>
          </w:p>
        </w:tc>
        <w:tc>
          <w:tcPr>
            <w:tcW w:w="3119" w:type="dxa"/>
          </w:tcPr>
          <w:p w:rsidR="002107D7" w:rsidRPr="00971DFD" w:rsidRDefault="002107D7" w:rsidP="0049420B">
            <w:pPr>
              <w:rPr>
                <w:sz w:val="22"/>
                <w:szCs w:val="22"/>
              </w:rPr>
            </w:pPr>
            <w:r w:rsidRPr="00971DFD">
              <w:rPr>
                <w:sz w:val="22"/>
                <w:szCs w:val="22"/>
              </w:rPr>
              <w:t>Malli G</w:t>
            </w:r>
            <w:r>
              <w:rPr>
                <w:sz w:val="22"/>
                <w:szCs w:val="22"/>
              </w:rPr>
              <w:t>2</w:t>
            </w: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 xml:space="preserve">Äiti </w:t>
            </w:r>
          </w:p>
        </w:tc>
        <w:tc>
          <w:tcPr>
            <w:tcW w:w="2410" w:type="dxa"/>
          </w:tcPr>
          <w:p w:rsidR="002107D7" w:rsidRPr="00971DFD" w:rsidRDefault="002107D7" w:rsidP="0049420B">
            <w:pPr>
              <w:autoSpaceDE w:val="0"/>
              <w:autoSpaceDN w:val="0"/>
              <w:adjustRightInd w:val="0"/>
              <w:rPr>
                <w:sz w:val="22"/>
                <w:szCs w:val="22"/>
              </w:rPr>
            </w:pPr>
            <w:r w:rsidRPr="00971DFD">
              <w:rPr>
                <w:i/>
                <w:sz w:val="22"/>
                <w:szCs w:val="22"/>
              </w:rPr>
              <w:t>4,2 kk</w:t>
            </w:r>
            <w:r w:rsidRPr="00971DFD">
              <w:rPr>
                <w:sz w:val="22"/>
                <w:szCs w:val="22"/>
              </w:rPr>
              <w:t xml:space="preserve"> </w:t>
            </w:r>
          </w:p>
          <w:p w:rsidR="002107D7" w:rsidRPr="00971DFD" w:rsidRDefault="002107D7" w:rsidP="0049420B">
            <w:pPr>
              <w:autoSpaceDE w:val="0"/>
              <w:autoSpaceDN w:val="0"/>
              <w:adjustRightInd w:val="0"/>
              <w:rPr>
                <w:sz w:val="22"/>
                <w:szCs w:val="22"/>
              </w:rPr>
            </w:pPr>
            <w:r w:rsidRPr="00971DFD">
              <w:rPr>
                <w:sz w:val="22"/>
                <w:szCs w:val="22"/>
              </w:rPr>
              <w:t xml:space="preserve">90%/70 % </w:t>
            </w:r>
          </w:p>
        </w:tc>
        <w:tc>
          <w:tcPr>
            <w:tcW w:w="3119" w:type="dxa"/>
          </w:tcPr>
          <w:p w:rsidR="002107D7" w:rsidRPr="00971DFD" w:rsidRDefault="002107D7" w:rsidP="0049420B">
            <w:pPr>
              <w:rPr>
                <w:sz w:val="22"/>
                <w:szCs w:val="22"/>
              </w:rPr>
            </w:pPr>
            <w:r w:rsidRPr="00971DFD">
              <w:rPr>
                <w:sz w:val="22"/>
                <w:szCs w:val="22"/>
              </w:rPr>
              <w:t>5 kk</w:t>
            </w:r>
            <w:r>
              <w:rPr>
                <w:sz w:val="22"/>
                <w:szCs w:val="22"/>
              </w:rPr>
              <w:t xml:space="preserve"> </w:t>
            </w: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Äiti tai isä</w:t>
            </w:r>
          </w:p>
        </w:tc>
        <w:tc>
          <w:tcPr>
            <w:tcW w:w="2410" w:type="dxa"/>
          </w:tcPr>
          <w:p w:rsidR="002107D7" w:rsidRPr="00971DFD" w:rsidRDefault="002107D7" w:rsidP="0049420B">
            <w:pPr>
              <w:autoSpaceDE w:val="0"/>
              <w:autoSpaceDN w:val="0"/>
              <w:adjustRightInd w:val="0"/>
              <w:rPr>
                <w:sz w:val="22"/>
                <w:szCs w:val="22"/>
              </w:rPr>
            </w:pPr>
            <w:r w:rsidRPr="00971DFD">
              <w:rPr>
                <w:sz w:val="22"/>
                <w:szCs w:val="22"/>
              </w:rPr>
              <w:t xml:space="preserve">6,3 kk (158 arkipv) </w:t>
            </w:r>
          </w:p>
          <w:p w:rsidR="002107D7" w:rsidRPr="00971DFD" w:rsidRDefault="002107D7" w:rsidP="0049420B">
            <w:pPr>
              <w:autoSpaceDE w:val="0"/>
              <w:autoSpaceDN w:val="0"/>
              <w:adjustRightInd w:val="0"/>
              <w:rPr>
                <w:sz w:val="22"/>
                <w:szCs w:val="22"/>
              </w:rPr>
            </w:pPr>
            <w:r w:rsidRPr="00971DFD">
              <w:rPr>
                <w:sz w:val="22"/>
                <w:szCs w:val="22"/>
              </w:rPr>
              <w:t xml:space="preserve"> 70 %</w:t>
            </w:r>
          </w:p>
        </w:tc>
        <w:tc>
          <w:tcPr>
            <w:tcW w:w="3119" w:type="dxa"/>
          </w:tcPr>
          <w:p w:rsidR="002107D7" w:rsidRPr="00971DFD" w:rsidRDefault="002107D7" w:rsidP="0049420B">
            <w:pPr>
              <w:rPr>
                <w:sz w:val="22"/>
                <w:szCs w:val="22"/>
              </w:rPr>
            </w:pPr>
            <w:r w:rsidRPr="00971DFD">
              <w:rPr>
                <w:sz w:val="22"/>
                <w:szCs w:val="22"/>
              </w:rPr>
              <w:t>4 kk</w:t>
            </w:r>
            <w:r>
              <w:rPr>
                <w:sz w:val="22"/>
                <w:szCs w:val="22"/>
              </w:rPr>
              <w:t xml:space="preserve"> </w:t>
            </w: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 xml:space="preserve">Isä </w:t>
            </w:r>
          </w:p>
        </w:tc>
        <w:tc>
          <w:tcPr>
            <w:tcW w:w="2410" w:type="dxa"/>
          </w:tcPr>
          <w:p w:rsidR="002107D7" w:rsidRPr="00971DFD" w:rsidRDefault="002107D7" w:rsidP="0049420B">
            <w:pPr>
              <w:autoSpaceDE w:val="0"/>
              <w:autoSpaceDN w:val="0"/>
              <w:adjustRightInd w:val="0"/>
              <w:rPr>
                <w:sz w:val="22"/>
                <w:szCs w:val="22"/>
              </w:rPr>
            </w:pPr>
            <w:r w:rsidRPr="00971DFD">
              <w:rPr>
                <w:sz w:val="22"/>
                <w:szCs w:val="22"/>
              </w:rPr>
              <w:t xml:space="preserve">2,2 kk (54 arkipv) </w:t>
            </w:r>
          </w:p>
          <w:p w:rsidR="002107D7" w:rsidRPr="00971DFD" w:rsidRDefault="002107D7" w:rsidP="0049420B">
            <w:pPr>
              <w:autoSpaceDE w:val="0"/>
              <w:autoSpaceDN w:val="0"/>
              <w:adjustRightInd w:val="0"/>
              <w:rPr>
                <w:sz w:val="22"/>
                <w:szCs w:val="22"/>
              </w:rPr>
            </w:pPr>
            <w:r w:rsidRPr="00971DFD">
              <w:rPr>
                <w:sz w:val="22"/>
                <w:szCs w:val="22"/>
              </w:rPr>
              <w:t xml:space="preserve">70 %. </w:t>
            </w:r>
          </w:p>
        </w:tc>
        <w:tc>
          <w:tcPr>
            <w:tcW w:w="3119" w:type="dxa"/>
          </w:tcPr>
          <w:p w:rsidR="002107D7" w:rsidRPr="00971DFD" w:rsidRDefault="002107D7" w:rsidP="0049420B">
            <w:pPr>
              <w:rPr>
                <w:sz w:val="22"/>
                <w:szCs w:val="22"/>
              </w:rPr>
            </w:pPr>
            <w:r w:rsidRPr="00971DFD">
              <w:rPr>
                <w:sz w:val="22"/>
                <w:szCs w:val="22"/>
              </w:rPr>
              <w:t>5 kk</w:t>
            </w:r>
            <w:r>
              <w:rPr>
                <w:sz w:val="22"/>
                <w:szCs w:val="22"/>
              </w:rPr>
              <w:t xml:space="preserve"> </w:t>
            </w:r>
          </w:p>
        </w:tc>
      </w:tr>
      <w:tr w:rsidR="002107D7" w:rsidRPr="00971DFD" w:rsidTr="0049420B">
        <w:tc>
          <w:tcPr>
            <w:tcW w:w="2376" w:type="dxa"/>
          </w:tcPr>
          <w:p w:rsidR="002107D7" w:rsidRPr="00971DFD" w:rsidRDefault="002107D7" w:rsidP="0049420B">
            <w:pPr>
              <w:autoSpaceDE w:val="0"/>
              <w:autoSpaceDN w:val="0"/>
              <w:adjustRightInd w:val="0"/>
              <w:rPr>
                <w:b/>
                <w:sz w:val="22"/>
                <w:szCs w:val="22"/>
              </w:rPr>
            </w:pPr>
            <w:r w:rsidRPr="00971DFD">
              <w:rPr>
                <w:b/>
                <w:sz w:val="22"/>
                <w:szCs w:val="22"/>
              </w:rPr>
              <w:t xml:space="preserve">Lastenhoidon tuki </w:t>
            </w:r>
          </w:p>
        </w:tc>
        <w:tc>
          <w:tcPr>
            <w:tcW w:w="2410" w:type="dxa"/>
          </w:tcPr>
          <w:p w:rsidR="002107D7" w:rsidRPr="00971DFD" w:rsidRDefault="002107D7" w:rsidP="0049420B">
            <w:pPr>
              <w:autoSpaceDE w:val="0"/>
              <w:autoSpaceDN w:val="0"/>
              <w:adjustRightInd w:val="0"/>
              <w:rPr>
                <w:sz w:val="22"/>
                <w:szCs w:val="22"/>
              </w:rPr>
            </w:pPr>
          </w:p>
        </w:tc>
        <w:tc>
          <w:tcPr>
            <w:tcW w:w="3119" w:type="dxa"/>
          </w:tcPr>
          <w:p w:rsidR="002107D7" w:rsidRPr="00971DFD" w:rsidRDefault="002107D7" w:rsidP="0049420B">
            <w:pPr>
              <w:rPr>
                <w:sz w:val="22"/>
                <w:szCs w:val="22"/>
              </w:rPr>
            </w:pP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Hoitoraha</w:t>
            </w:r>
          </w:p>
          <w:p w:rsidR="002107D7" w:rsidRPr="00971DFD" w:rsidRDefault="002107D7" w:rsidP="0049420B">
            <w:pPr>
              <w:autoSpaceDE w:val="0"/>
              <w:autoSpaceDN w:val="0"/>
              <w:adjustRightInd w:val="0"/>
              <w:rPr>
                <w:b/>
                <w:sz w:val="22"/>
                <w:szCs w:val="22"/>
              </w:rPr>
            </w:pPr>
          </w:p>
        </w:tc>
        <w:tc>
          <w:tcPr>
            <w:tcW w:w="2410" w:type="dxa"/>
          </w:tcPr>
          <w:p w:rsidR="002107D7" w:rsidRPr="00971DFD" w:rsidRDefault="002107D7" w:rsidP="0049420B">
            <w:pPr>
              <w:autoSpaceDE w:val="0"/>
              <w:autoSpaceDN w:val="0"/>
              <w:adjustRightInd w:val="0"/>
              <w:rPr>
                <w:sz w:val="22"/>
                <w:szCs w:val="22"/>
              </w:rPr>
            </w:pPr>
            <w:r w:rsidRPr="00971DFD">
              <w:rPr>
                <w:sz w:val="22"/>
                <w:szCs w:val="22"/>
              </w:rPr>
              <w:t>&lt;3v 338,34 e/kk</w:t>
            </w:r>
          </w:p>
        </w:tc>
        <w:tc>
          <w:tcPr>
            <w:tcW w:w="3119" w:type="dxa"/>
          </w:tcPr>
          <w:p w:rsidR="002107D7" w:rsidRPr="00971DFD" w:rsidRDefault="002107D7" w:rsidP="0049420B">
            <w:pPr>
              <w:rPr>
                <w:sz w:val="22"/>
                <w:szCs w:val="22"/>
              </w:rPr>
            </w:pPr>
            <w:r>
              <w:rPr>
                <w:sz w:val="22"/>
                <w:szCs w:val="22"/>
              </w:rPr>
              <w:t>338,34</w:t>
            </w:r>
            <w:r w:rsidRPr="00971DFD">
              <w:rPr>
                <w:sz w:val="22"/>
                <w:szCs w:val="22"/>
              </w:rPr>
              <w:t xml:space="preserve"> euroa 13-</w:t>
            </w:r>
            <w:r>
              <w:rPr>
                <w:sz w:val="22"/>
                <w:szCs w:val="22"/>
              </w:rPr>
              <w:t>18</w:t>
            </w:r>
            <w:r w:rsidRPr="00971DFD">
              <w:rPr>
                <w:sz w:val="22"/>
                <w:szCs w:val="22"/>
              </w:rPr>
              <w:t>kk</w:t>
            </w:r>
          </w:p>
          <w:p w:rsidR="002107D7" w:rsidRPr="00971DFD" w:rsidRDefault="002107D7" w:rsidP="0049420B">
            <w:pPr>
              <w:rPr>
                <w:sz w:val="22"/>
                <w:szCs w:val="22"/>
              </w:rPr>
            </w:pPr>
            <w:r>
              <w:rPr>
                <w:sz w:val="22"/>
                <w:szCs w:val="22"/>
              </w:rPr>
              <w:t>240 euroa 19</w:t>
            </w:r>
            <w:r w:rsidRPr="00971DFD">
              <w:rPr>
                <w:sz w:val="22"/>
                <w:szCs w:val="22"/>
              </w:rPr>
              <w:t>-36 kk</w:t>
            </w: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Sisaruskorotukset</w:t>
            </w:r>
          </w:p>
        </w:tc>
        <w:tc>
          <w:tcPr>
            <w:tcW w:w="2410" w:type="dxa"/>
          </w:tcPr>
          <w:p w:rsidR="002107D7" w:rsidRPr="00971DFD" w:rsidRDefault="002107D7" w:rsidP="0049420B">
            <w:pPr>
              <w:autoSpaceDE w:val="0"/>
              <w:autoSpaceDN w:val="0"/>
              <w:adjustRightInd w:val="0"/>
              <w:rPr>
                <w:sz w:val="22"/>
                <w:szCs w:val="22"/>
              </w:rPr>
            </w:pPr>
            <w:r w:rsidRPr="00971DFD">
              <w:rPr>
                <w:sz w:val="22"/>
                <w:szCs w:val="22"/>
              </w:rPr>
              <w:t>+&lt;3v 101,29 e/kk/lapsi</w:t>
            </w:r>
          </w:p>
          <w:p w:rsidR="002107D7" w:rsidRPr="00971DFD" w:rsidRDefault="002107D7" w:rsidP="0049420B">
            <w:pPr>
              <w:autoSpaceDE w:val="0"/>
              <w:autoSpaceDN w:val="0"/>
              <w:adjustRightInd w:val="0"/>
              <w:rPr>
                <w:sz w:val="22"/>
                <w:szCs w:val="22"/>
              </w:rPr>
            </w:pPr>
            <w:r w:rsidRPr="00971DFD">
              <w:rPr>
                <w:sz w:val="22"/>
                <w:szCs w:val="22"/>
              </w:rPr>
              <w:t>+3-7v 65,09 e/kk/lapsi.</w:t>
            </w:r>
          </w:p>
        </w:tc>
        <w:tc>
          <w:tcPr>
            <w:tcW w:w="3119" w:type="dxa"/>
          </w:tcPr>
          <w:p w:rsidR="002107D7" w:rsidRPr="00971DFD" w:rsidRDefault="002107D7" w:rsidP="0049420B">
            <w:pPr>
              <w:autoSpaceDE w:val="0"/>
              <w:autoSpaceDN w:val="0"/>
              <w:adjustRightInd w:val="0"/>
              <w:rPr>
                <w:sz w:val="22"/>
                <w:szCs w:val="22"/>
              </w:rPr>
            </w:pPr>
            <w:r w:rsidRPr="00971DFD">
              <w:rPr>
                <w:sz w:val="22"/>
                <w:szCs w:val="22"/>
              </w:rPr>
              <w:t>Sisarkorotus yli 3v poistuu</w:t>
            </w: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Hoitolisä tulosidonnainen</w:t>
            </w:r>
          </w:p>
        </w:tc>
        <w:tc>
          <w:tcPr>
            <w:tcW w:w="2410" w:type="dxa"/>
          </w:tcPr>
          <w:p w:rsidR="002107D7" w:rsidRPr="00971DFD" w:rsidRDefault="002107D7" w:rsidP="0049420B">
            <w:pPr>
              <w:autoSpaceDE w:val="0"/>
              <w:autoSpaceDN w:val="0"/>
              <w:adjustRightInd w:val="0"/>
              <w:rPr>
                <w:sz w:val="22"/>
                <w:szCs w:val="22"/>
              </w:rPr>
            </w:pPr>
            <w:r w:rsidRPr="00971DFD">
              <w:rPr>
                <w:sz w:val="22"/>
                <w:szCs w:val="22"/>
              </w:rPr>
              <w:t>max 181,07 e/kk.</w:t>
            </w:r>
          </w:p>
          <w:p w:rsidR="002107D7" w:rsidRPr="00971DFD" w:rsidRDefault="002107D7" w:rsidP="0049420B">
            <w:pPr>
              <w:autoSpaceDE w:val="0"/>
              <w:autoSpaceDN w:val="0"/>
              <w:adjustRightInd w:val="0"/>
              <w:rPr>
                <w:sz w:val="22"/>
                <w:szCs w:val="22"/>
              </w:rPr>
            </w:pPr>
          </w:p>
        </w:tc>
        <w:tc>
          <w:tcPr>
            <w:tcW w:w="3119" w:type="dxa"/>
          </w:tcPr>
          <w:p w:rsidR="002107D7" w:rsidRDefault="002107D7" w:rsidP="0049420B">
            <w:pPr>
              <w:autoSpaceDE w:val="0"/>
              <w:autoSpaceDN w:val="0"/>
              <w:adjustRightInd w:val="0"/>
              <w:rPr>
                <w:sz w:val="22"/>
                <w:szCs w:val="22"/>
              </w:rPr>
            </w:pPr>
            <w:r>
              <w:rPr>
                <w:sz w:val="22"/>
                <w:szCs w:val="22"/>
              </w:rPr>
              <w:t>E</w:t>
            </w:r>
            <w:r w:rsidRPr="00971DFD">
              <w:rPr>
                <w:sz w:val="22"/>
                <w:szCs w:val="22"/>
              </w:rPr>
              <w:t>nnallaan</w:t>
            </w:r>
            <w:r>
              <w:rPr>
                <w:sz w:val="22"/>
                <w:szCs w:val="22"/>
              </w:rPr>
              <w:t xml:space="preserve"> 13-18 kk</w:t>
            </w:r>
          </w:p>
          <w:p w:rsidR="002107D7" w:rsidRPr="00971DFD" w:rsidRDefault="002107D7" w:rsidP="0049420B">
            <w:pPr>
              <w:autoSpaceDE w:val="0"/>
              <w:autoSpaceDN w:val="0"/>
              <w:adjustRightInd w:val="0"/>
              <w:rPr>
                <w:sz w:val="22"/>
                <w:szCs w:val="22"/>
              </w:rPr>
            </w:pPr>
            <w:r>
              <w:rPr>
                <w:sz w:val="22"/>
                <w:szCs w:val="22"/>
              </w:rPr>
              <w:t>poistuu 19-36 kk</w:t>
            </w: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Kuntalisä</w:t>
            </w:r>
          </w:p>
        </w:tc>
        <w:tc>
          <w:tcPr>
            <w:tcW w:w="2410" w:type="dxa"/>
          </w:tcPr>
          <w:p w:rsidR="002107D7" w:rsidRPr="00971DFD" w:rsidRDefault="002107D7" w:rsidP="0049420B">
            <w:pPr>
              <w:autoSpaceDE w:val="0"/>
              <w:autoSpaceDN w:val="0"/>
              <w:adjustRightInd w:val="0"/>
              <w:rPr>
                <w:sz w:val="22"/>
                <w:szCs w:val="22"/>
              </w:rPr>
            </w:pPr>
            <w:r w:rsidRPr="00971DFD">
              <w:rPr>
                <w:sz w:val="22"/>
                <w:szCs w:val="22"/>
              </w:rPr>
              <w:t>kyllä</w:t>
            </w:r>
          </w:p>
        </w:tc>
        <w:tc>
          <w:tcPr>
            <w:tcW w:w="3119" w:type="dxa"/>
          </w:tcPr>
          <w:p w:rsidR="002107D7" w:rsidRPr="00971DFD" w:rsidRDefault="002107D7" w:rsidP="0049420B">
            <w:pPr>
              <w:rPr>
                <w:sz w:val="22"/>
                <w:szCs w:val="22"/>
              </w:rPr>
            </w:pPr>
            <w:r w:rsidRPr="00971DFD">
              <w:rPr>
                <w:sz w:val="22"/>
                <w:szCs w:val="22"/>
              </w:rPr>
              <w:t>ei voi poistaa</w:t>
            </w:r>
          </w:p>
        </w:tc>
      </w:tr>
      <w:tr w:rsidR="002107D7" w:rsidRPr="00971DFD" w:rsidTr="0049420B">
        <w:tc>
          <w:tcPr>
            <w:tcW w:w="2376" w:type="dxa"/>
          </w:tcPr>
          <w:p w:rsidR="002107D7" w:rsidRPr="00971DFD" w:rsidRDefault="002107D7" w:rsidP="0049420B">
            <w:pPr>
              <w:autoSpaceDE w:val="0"/>
              <w:autoSpaceDN w:val="0"/>
              <w:adjustRightInd w:val="0"/>
              <w:rPr>
                <w:sz w:val="22"/>
                <w:szCs w:val="22"/>
              </w:rPr>
            </w:pPr>
            <w:r w:rsidRPr="00971DFD">
              <w:rPr>
                <w:sz w:val="22"/>
                <w:szCs w:val="22"/>
              </w:rPr>
              <w:t>Työllisyys</w:t>
            </w:r>
            <w:r>
              <w:rPr>
                <w:sz w:val="22"/>
                <w:szCs w:val="22"/>
              </w:rPr>
              <w:t xml:space="preserve">lisäys </w:t>
            </w:r>
            <w:r w:rsidRPr="00971DFD">
              <w:rPr>
                <w:sz w:val="22"/>
                <w:szCs w:val="22"/>
              </w:rPr>
              <w:t>verrattuna perusmalliin</w:t>
            </w:r>
          </w:p>
        </w:tc>
        <w:tc>
          <w:tcPr>
            <w:tcW w:w="2410" w:type="dxa"/>
          </w:tcPr>
          <w:p w:rsidR="002107D7" w:rsidRPr="00971DFD" w:rsidRDefault="002107D7" w:rsidP="0049420B">
            <w:pPr>
              <w:autoSpaceDE w:val="0"/>
              <w:autoSpaceDN w:val="0"/>
              <w:adjustRightInd w:val="0"/>
              <w:jc w:val="center"/>
              <w:rPr>
                <w:sz w:val="22"/>
                <w:szCs w:val="22"/>
              </w:rPr>
            </w:pPr>
          </w:p>
        </w:tc>
        <w:tc>
          <w:tcPr>
            <w:tcW w:w="3119" w:type="dxa"/>
          </w:tcPr>
          <w:p w:rsidR="002107D7" w:rsidRDefault="002107D7" w:rsidP="0049420B">
            <w:pPr>
              <w:rPr>
                <w:sz w:val="22"/>
                <w:szCs w:val="22"/>
              </w:rPr>
            </w:pPr>
            <w:r>
              <w:rPr>
                <w:sz w:val="22"/>
                <w:szCs w:val="22"/>
              </w:rPr>
              <w:t>1000-2300+2300</w:t>
            </w:r>
            <w:r w:rsidRPr="00971DFD">
              <w:rPr>
                <w:sz w:val="22"/>
                <w:szCs w:val="22"/>
              </w:rPr>
              <w:t>=</w:t>
            </w:r>
            <w:r>
              <w:rPr>
                <w:sz w:val="22"/>
                <w:szCs w:val="22"/>
              </w:rPr>
              <w:t>10</w:t>
            </w:r>
            <w:r w:rsidRPr="00971DFD">
              <w:rPr>
                <w:sz w:val="22"/>
                <w:szCs w:val="22"/>
              </w:rPr>
              <w:t>00</w:t>
            </w:r>
            <w:r>
              <w:rPr>
                <w:sz w:val="22"/>
                <w:szCs w:val="22"/>
              </w:rPr>
              <w:t xml:space="preserve"> htv</w:t>
            </w:r>
          </w:p>
          <w:p w:rsidR="002107D7" w:rsidRPr="00971DFD" w:rsidRDefault="002107D7" w:rsidP="0049420B">
            <w:pPr>
              <w:rPr>
                <w:sz w:val="22"/>
                <w:szCs w:val="22"/>
              </w:rPr>
            </w:pPr>
          </w:p>
        </w:tc>
      </w:tr>
    </w:tbl>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p>
    <w:p w:rsidR="002107D7" w:rsidRPr="00971DFD" w:rsidRDefault="002107D7" w:rsidP="002107D7">
      <w:pPr>
        <w:rPr>
          <w:sz w:val="22"/>
          <w:szCs w:val="22"/>
        </w:rPr>
      </w:pPr>
      <w:r w:rsidRPr="00971DFD">
        <w:rPr>
          <w:sz w:val="22"/>
          <w:szCs w:val="22"/>
        </w:rPr>
        <w:tab/>
      </w:r>
    </w:p>
    <w:p w:rsidR="002107D7" w:rsidRDefault="002107D7" w:rsidP="002107D7">
      <w:pPr>
        <w:rPr>
          <w:rFonts w:asciiTheme="minorHAnsi" w:hAnsiTheme="minorHAnsi" w:cstheme="minorHAnsi"/>
          <w:b/>
          <w:sz w:val="22"/>
          <w:szCs w:val="22"/>
        </w:rPr>
      </w:pPr>
      <w:r>
        <w:rPr>
          <w:sz w:val="22"/>
          <w:szCs w:val="22"/>
        </w:rPr>
        <w:t>Työllisyyden muutos jakautuu kolmeen eri osatekijään. Äitien mahdollisuus myöhentää äitiysloman alkua lisää äitien työllisyyttä (oheisessa taulukossa 1000 lisätyöllistä). Isille myönnetty pidempi ansiosidonnainen etuuskausi vähentää isien työllisyyttä (taulukossa -2300 työllistä). Lastenhoidontuen muutokset jakson loppupätkällä – hoitorahan pienennys, yli 3-vuotiaiden sisarkorotuksen poisto ja hoitolisän poisto yli 2-vuotiailta - lisäävät työllisyyttä (taulukossa 2300 työllistä). Nettona malli tuottaa näillä laskentaoletuksilla noin tuhat työllistä. Jos äitiysloman alkua ei myöhennetä, työllisyysvaikutus on lähellä nollaa.</w:t>
      </w:r>
      <w:r w:rsidRPr="009D68C0">
        <w:rPr>
          <w:sz w:val="22"/>
          <w:szCs w:val="22"/>
        </w:rPr>
        <w:t xml:space="preserve"> </w:t>
      </w:r>
      <w:r>
        <w:rPr>
          <w:sz w:val="22"/>
          <w:szCs w:val="22"/>
        </w:rPr>
        <w:t>Äitiysloman alkamisen myöhentäminen johtanee sairaspäivärahalla olevien määrän kasvuun. Tätä ei ole näissä laskelmissa huomioitu. Lisäksi ei ole selvää, mitä tapahtuu kuntalisille, joiden taso on kuntien päätettävissä. Tässä on oletettu, että ne eivät muutu (vaikka joustavaan hoitorahaan ei nykyisten sääntöjen mukaan kuntalisää makseta).</w:t>
      </w:r>
      <w:bookmarkStart w:id="0" w:name="_GoBack"/>
      <w:bookmarkEnd w:id="0"/>
    </w:p>
    <w:p w:rsidR="002107D7" w:rsidRDefault="002107D7" w:rsidP="002107D7">
      <w:pPr>
        <w:rPr>
          <w:rFonts w:asciiTheme="minorHAnsi" w:hAnsiTheme="minorHAnsi" w:cstheme="minorHAnsi"/>
          <w:b/>
          <w:sz w:val="22"/>
          <w:szCs w:val="22"/>
        </w:rPr>
      </w:pPr>
    </w:p>
    <w:p w:rsidR="002107D7" w:rsidRDefault="002107D7" w:rsidP="002107D7">
      <w:pPr>
        <w:rPr>
          <w:rFonts w:asciiTheme="minorHAnsi" w:hAnsiTheme="minorHAnsi" w:cstheme="minorHAnsi"/>
          <w:b/>
          <w:sz w:val="22"/>
          <w:szCs w:val="22"/>
        </w:rPr>
      </w:pPr>
    </w:p>
    <w:p w:rsidR="009B230C" w:rsidRPr="00562E6B" w:rsidRDefault="009B230C" w:rsidP="00446E3A"/>
    <w:sectPr w:rsidR="009B230C" w:rsidRPr="00562E6B" w:rsidSect="00562E6B">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D7" w:rsidRDefault="002107D7" w:rsidP="008E0F4A">
      <w:r>
        <w:separator/>
      </w:r>
    </w:p>
  </w:endnote>
  <w:endnote w:type="continuationSeparator" w:id="0">
    <w:p w:rsidR="002107D7" w:rsidRDefault="002107D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33" w:rsidRDefault="001E4D3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33" w:rsidRDefault="001E4D3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D7" w:rsidRDefault="002107D7" w:rsidP="008E0F4A">
      <w:r>
        <w:separator/>
      </w:r>
    </w:p>
  </w:footnote>
  <w:footnote w:type="continuationSeparator" w:id="0">
    <w:p w:rsidR="002107D7" w:rsidRDefault="002107D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33" w:rsidRDefault="001E4D33">
    <w:pPr>
      <w:pStyle w:val="Yltunnis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49235" o:spid="_x0000_s2050" type="#_x0000_t136" style="position:absolute;margin-left:0;margin-top:0;width:641.55pt;height:37.7pt;rotation:315;z-index:-251655168;mso-position-horizontal:center;mso-position-horizontal-relative:margin;mso-position-vertical:center;mso-position-vertical-relative:margin" o:allowincell="f" fillcolor="red" stroked="f">
          <v:fill opacity=".5"/>
          <v:textpath style="font-family:&quot;Arial&quot;;font-size:1pt" string="KESKENERÄINEN, ei jatkettu valmistelua"/>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33" w:rsidRDefault="001E4D33" w:rsidP="00562E6B">
    <w:pPr>
      <w:ind w:right="-143" w:firstLine="8789"/>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49236" o:spid="_x0000_s2051" type="#_x0000_t136" style="position:absolute;left:0;text-align:left;margin-left:0;margin-top:0;width:641.55pt;height:37.7pt;rotation:315;z-index:-251653120;mso-position-horizontal:center;mso-position-horizontal-relative:margin;mso-position-vertical:center;mso-position-vertical-relative:margin" o:allowincell="f" fillcolor="red" stroked="f">
          <v:fill opacity=".5"/>
          <v:textpath style="font-family:&quot;Arial&quot;;font-size:1pt" string="KESKENERÄINEN, ei jatkettu valmistelua"/>
        </v:shape>
      </w:pict>
    </w:r>
  </w:p>
  <w:sdt>
    <w:sdtPr>
      <w:id w:val="9902399"/>
      <w:docPartObj>
        <w:docPartGallery w:val="Page Numbers (Top of Page)"/>
        <w:docPartUnique/>
      </w:docPartObj>
    </w:sdtPr>
    <w:sdtEndPr/>
    <w:sdtContent>
      <w:p w:rsidR="008E0F4A" w:rsidRDefault="002107D7" w:rsidP="00562E6B">
        <w:pPr>
          <w:ind w:right="-143" w:firstLine="8789"/>
          <w:jc w:val="center"/>
        </w:pPr>
        <w:r>
          <w:fldChar w:fldCharType="begin"/>
        </w:r>
        <w:r>
          <w:instrText xml:space="preserve"> PAGE   \* MERGEFORMAT </w:instrText>
        </w:r>
        <w:r>
          <w:fldChar w:fldCharType="separate"/>
        </w:r>
        <w:r w:rsidR="001E4D33">
          <w:rPr>
            <w:noProof/>
          </w:rPr>
          <w:t>2</w:t>
        </w:r>
        <w:r>
          <w:rPr>
            <w:noProof/>
          </w:rPr>
          <w:fldChar w:fldCharType="end"/>
        </w:r>
        <w:r w:rsidR="008E0F4A">
          <w:t>(</w:t>
        </w:r>
        <w:r w:rsidR="001E4D33">
          <w:fldChar w:fldCharType="begin"/>
        </w:r>
        <w:r w:rsidR="001E4D33">
          <w:instrText xml:space="preserve"> NUMPAGES   \* MERGEFORMAT </w:instrText>
        </w:r>
        <w:r w:rsidR="001E4D33">
          <w:fldChar w:fldCharType="separate"/>
        </w:r>
        <w:r w:rsidR="001E4D33">
          <w:rPr>
            <w:noProof/>
          </w:rPr>
          <w:t>2</w:t>
        </w:r>
        <w:r w:rsidR="001E4D33">
          <w:rPr>
            <w:noProof/>
          </w:rPr>
          <w:fldChar w:fldCharType="end"/>
        </w:r>
        <w:r w:rsidR="008E0F4A">
          <w:t>)</w:t>
        </w:r>
      </w:p>
      <w:p w:rsidR="008E0F4A" w:rsidRDefault="008E0F4A" w:rsidP="00562E6B">
        <w:pPr>
          <w:tabs>
            <w:tab w:val="left" w:pos="5245"/>
          </w:tabs>
        </w:pPr>
        <w:r>
          <w:tab/>
        </w:r>
      </w:p>
      <w:p w:rsidR="00FA6ACE" w:rsidRDefault="00FA6ACE" w:rsidP="00562E6B"/>
      <w:p w:rsidR="008E0F4A" w:rsidRDefault="001E4D33" w:rsidP="00562E6B"/>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D33" w:rsidRDefault="001E4D33" w:rsidP="00562E6B">
    <w:pPr>
      <w:ind w:right="-143" w:firstLine="8789"/>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49234" o:spid="_x0000_s2049" type="#_x0000_t136" style="position:absolute;left:0;text-align:left;margin-left:0;margin-top:0;width:641.55pt;height:37.7pt;rotation:315;z-index:-251657216;mso-position-horizontal:center;mso-position-horizontal-relative:margin;mso-position-vertical:center;mso-position-vertical-relative:margin" o:allowincell="f" fillcolor="red" stroked="f">
          <v:fill opacity=".5"/>
          <v:textpath style="font-family:&quot;Arial&quot;;font-size:1pt" string="KESKENERÄINEN, ei jatkettu valmistelua"/>
        </v:shape>
      </w:pict>
    </w:r>
  </w:p>
  <w:sdt>
    <w:sdtPr>
      <w:id w:val="9902400"/>
      <w:docPartObj>
        <w:docPartGallery w:val="Page Numbers (Top of Page)"/>
        <w:docPartUnique/>
      </w:docPartObj>
    </w:sdtPr>
    <w:sdtEndPr/>
    <w:sdtContent>
      <w:p w:rsidR="00FA6ACE" w:rsidRDefault="002107D7" w:rsidP="00562E6B">
        <w:pPr>
          <w:ind w:right="-143" w:firstLine="8789"/>
          <w:jc w:val="right"/>
        </w:pPr>
        <w:r>
          <w:fldChar w:fldCharType="begin"/>
        </w:r>
        <w:r>
          <w:instrText xml:space="preserve"> PAGE   \* MERGEFORMAT </w:instrText>
        </w:r>
        <w:r>
          <w:fldChar w:fldCharType="separate"/>
        </w:r>
        <w:r w:rsidR="001E4D33">
          <w:rPr>
            <w:noProof/>
          </w:rPr>
          <w:t>1</w:t>
        </w:r>
        <w:r>
          <w:rPr>
            <w:noProof/>
          </w:rPr>
          <w:fldChar w:fldCharType="end"/>
        </w:r>
        <w:r w:rsidR="00FA6ACE">
          <w:t>(</w:t>
        </w:r>
        <w:r w:rsidR="001E4D33">
          <w:fldChar w:fldCharType="begin"/>
        </w:r>
        <w:r w:rsidR="001E4D33">
          <w:instrText xml:space="preserve"> NUMPAGES   \* MERGEFORMAT </w:instrText>
        </w:r>
        <w:r w:rsidR="001E4D33">
          <w:fldChar w:fldCharType="separate"/>
        </w:r>
        <w:r w:rsidR="001E4D33">
          <w:rPr>
            <w:noProof/>
          </w:rPr>
          <w:t>1</w:t>
        </w:r>
        <w:r w:rsidR="001E4D33">
          <w:rPr>
            <w:noProof/>
          </w:rPr>
          <w:fldChar w:fldCharType="end"/>
        </w:r>
        <w:r w:rsidR="00FA6ACE">
          <w:t>)</w:t>
        </w:r>
      </w:p>
      <w:p w:rsidR="00FA6ACE" w:rsidRDefault="001E4D33"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D7"/>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4D33"/>
    <w:rsid w:val="001E5F86"/>
    <w:rsid w:val="001F70AF"/>
    <w:rsid w:val="00210152"/>
    <w:rsid w:val="002107D7"/>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B675F"/>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0A7C731-0745-4409-AC86-7339FE60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2107D7"/>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21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2288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Hakola-Uusitalo Tuulia VM</dc:creator>
  <cp:lastModifiedBy>Ilonen Terhi</cp:lastModifiedBy>
  <cp:revision>2</cp:revision>
  <dcterms:created xsi:type="dcterms:W3CDTF">2018-02-15T13:11:00Z</dcterms:created>
  <dcterms:modified xsi:type="dcterms:W3CDTF">2018-02-15T13:11:00Z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