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96DB8"/>
    <w:p w:rsidR="00F178A7"/>
    <w:p w:rsidR="00F178A7"/>
    <w:p w:rsidR="008C5E06">
      <w:r>
        <w:t>Hallinto- ja kehittämisosasto</w:t>
      </w:r>
    </w:p>
    <w:p w:rsidR="00BE5CB2" w:rsidP="0035265B">
      <w:pPr>
        <w:pStyle w:val="Vastaanottajatiedot"/>
      </w:pPr>
    </w:p>
    <w:p w:rsidR="00F178A7" w:rsidP="0035265B">
      <w:pPr>
        <w:pStyle w:val="Vastaanottajatiedot"/>
      </w:pPr>
    </w:p>
    <w:p w:rsidR="00F178A7" w:rsidP="0035265B">
      <w:pPr>
        <w:pStyle w:val="Vastaanottajatiedot"/>
      </w:pPr>
    </w:p>
    <w:p w:rsidR="00F874C0"/>
    <w:p w:rsidR="002A6CD5">
      <w:r>
        <w:t>HKO:n</w:t>
      </w:r>
      <w:r>
        <w:t xml:space="preserve"> lausuntopyyntö 2.7.2018</w:t>
      </w:r>
    </w:p>
    <w:p w:rsidR="00BE5CB2"/>
    <w:p w:rsidR="002A6CD5" w:rsidP="002A6CD5">
      <w:pPr>
        <w:pStyle w:val="Title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 w:rsidR="0037216A">
        <w:t>Lausunto arvonleikkaussäännösten poistamisen vaikutuksista</w:t>
      </w:r>
      <w:r w:rsidR="0037216A">
        <w:fldChar w:fldCharType="end"/>
      </w:r>
    </w:p>
    <w:p w:rsidR="002A6CD5" w:rsidP="002A6CD5">
      <w:pPr>
        <w:pStyle w:val="BodyText"/>
      </w:pPr>
      <w:r>
        <w:t>Hallinto- ja kehittämisosasto on pyytänyt poliisiosaston lausuntoa</w:t>
      </w:r>
      <w:r w:rsidR="00151331">
        <w:t xml:space="preserve"> </w:t>
      </w:r>
      <w:r w:rsidR="00F6205F">
        <w:t xml:space="preserve">Oikeusministeriön selvityksestä </w:t>
      </w:r>
      <w:r w:rsidR="00151331">
        <w:t>arvonleikkaussäännösten poistamisen vaikutuksista. Poliisiosasto lausuu asiasta seuraavaa:</w:t>
      </w:r>
    </w:p>
    <w:p w:rsidR="00443EC6" w:rsidP="002A6CD5">
      <w:pPr>
        <w:pStyle w:val="BodyText"/>
      </w:pPr>
      <w:r>
        <w:t>Poliisiosasto</w:t>
      </w:r>
      <w:r w:rsidR="00317907">
        <w:t xml:space="preserve"> pitää</w:t>
      </w:r>
      <w:r w:rsidR="00F87988">
        <w:t xml:space="preserve"> arvonleikkaussäännösten poistamista</w:t>
      </w:r>
      <w:r w:rsidR="00317907">
        <w:t xml:space="preserve"> kannatettavana</w:t>
      </w:r>
      <w:r w:rsidR="00F87988">
        <w:t xml:space="preserve">. </w:t>
      </w:r>
    </w:p>
    <w:p w:rsidR="00F178A7" w:rsidP="002A6CD5">
      <w:pPr>
        <w:pStyle w:val="BodyText"/>
      </w:pPr>
      <w:r>
        <w:t>Lunastuslain säätämisen jälkeen maankäytön suunnittelua ja maapolitiikkaa koskeva lainsäädäntö on kokonaisuudessaan uudistunut lukuun ottamatta etuostolakia (608/1977), joka on edelleen voimassa. Lunastuslain säätämisajankohtana voimassa ollut maapolitiikan keinovalikoimaa koskeva järjestelmä on siis muuttunut oleellisesti.</w:t>
      </w:r>
    </w:p>
    <w:p w:rsidR="00F178A7" w:rsidP="002A6CD5">
      <w:pPr>
        <w:pStyle w:val="BodyText"/>
      </w:pPr>
      <w:r>
        <w:t xml:space="preserve">Uudistuksella voidaan </w:t>
      </w:r>
      <w:r w:rsidR="00443EC6">
        <w:t xml:space="preserve">nykysäännöstöä </w:t>
      </w:r>
      <w:r>
        <w:t>paremmin varmistaa tasa-arvoinen ja oikeudenmukainen menettely ostajan ja myyjän välillä maakauppojen yhteydessä.</w:t>
      </w:r>
      <w:r w:rsidR="00ED2590">
        <w:t xml:space="preserve"> </w:t>
      </w:r>
    </w:p>
    <w:p w:rsidR="00443EC6" w:rsidP="002A6CD5">
      <w:pPr>
        <w:pStyle w:val="BodyText"/>
      </w:pPr>
      <w:r>
        <w:t>Arvonleikkaussäännösten poistaminen voi</w:t>
      </w:r>
      <w:r w:rsidR="00532A49">
        <w:t xml:space="preserve"> kuitenkin</w:t>
      </w:r>
      <w:r>
        <w:t xml:space="preserve"> jossain tapauksissa </w:t>
      </w:r>
      <w:r w:rsidR="00CD3728">
        <w:t xml:space="preserve">mahdollistaa </w:t>
      </w:r>
      <w:r>
        <w:t>m</w:t>
      </w:r>
      <w:r w:rsidR="00CD3728">
        <w:t>aanhankintakeinottelu</w:t>
      </w:r>
      <w:r>
        <w:t>a</w:t>
      </w:r>
      <w:r w:rsidR="009A1C7D">
        <w:t>.</w:t>
      </w:r>
      <w:r w:rsidR="00532A49">
        <w:t xml:space="preserve"> Jos </w:t>
      </w:r>
      <w:r w:rsidR="00FB7F3E">
        <w:t xml:space="preserve">kunnissa tai kaupungeissa </w:t>
      </w:r>
      <w:r w:rsidR="00532A49">
        <w:t xml:space="preserve">kehittämissuunnitelmat ovat salaista ja tieto näistä tulee ulkopuolisille, </w:t>
      </w:r>
      <w:r w:rsidR="00FD16C3">
        <w:t xml:space="preserve">on olemassa mahdollisuus, että jotkut </w:t>
      </w:r>
      <w:r w:rsidR="00FB7F3E">
        <w:t>sijoittajat</w:t>
      </w:r>
      <w:r w:rsidR="00FD16C3">
        <w:t xml:space="preserve"> voivat</w:t>
      </w:r>
      <w:r w:rsidR="00FB7F3E">
        <w:t xml:space="preserve"> käyttää</w:t>
      </w:r>
      <w:r w:rsidR="00532A49">
        <w:t xml:space="preserve"> varojaan maa-alueiden hankintaan</w:t>
      </w:r>
      <w:r w:rsidR="00FB7F3E">
        <w:t>.</w:t>
      </w:r>
    </w:p>
    <w:p w:rsidR="00CD3728" w:rsidP="002A6CD5">
      <w:pPr>
        <w:pStyle w:val="BodyText"/>
      </w:pPr>
      <w:r>
        <w:t>Kuntien ja kaupunkien</w:t>
      </w:r>
      <w:r w:rsidR="009A1C7D">
        <w:t xml:space="preserve"> omalla </w:t>
      </w:r>
      <w:r w:rsidR="00486DD3">
        <w:t>maankäyttöpolitiikalla</w:t>
      </w:r>
      <w:r w:rsidR="00F178A7">
        <w:t xml:space="preserve"> tulee</w:t>
      </w:r>
      <w:r w:rsidR="00486DD3">
        <w:t xml:space="preserve"> </w:t>
      </w:r>
      <w:r w:rsidR="009A1C7D">
        <w:t xml:space="preserve">varmistaa kriittisten maa-alueiden hankinta pitkällä aikavälillä ja </w:t>
      </w:r>
      <w:r w:rsidR="00532A49">
        <w:t xml:space="preserve">samalla </w:t>
      </w:r>
      <w:r w:rsidR="009A1C7D">
        <w:t>vähentää keinottelun riskiä.</w:t>
      </w:r>
      <w:r w:rsidR="00486DD3">
        <w:t xml:space="preserve"> </w:t>
      </w:r>
      <w:r w:rsidR="009A1C7D">
        <w:t>K</w:t>
      </w:r>
      <w:r>
        <w:t>ehittämissuunnitelmat ja p</w:t>
      </w:r>
      <w:r w:rsidR="00AC11F5">
        <w:t>äätöksenteko infrastruktuurin sekä</w:t>
      </w:r>
      <w:r>
        <w:t xml:space="preserve"> rakentamisen suhteen tulisi olla mahdollisimman avointa, jotta </w:t>
      </w:r>
      <w:r w:rsidR="00980D8C">
        <w:t>väärinkäytösepäilyjä ei pääse syntymään.</w:t>
      </w:r>
    </w:p>
    <w:p w:rsidR="00ED2590" w:rsidP="002A6CD5">
      <w:pPr>
        <w:pStyle w:val="BodyText"/>
      </w:pPr>
      <w:r>
        <w:t>Poliisitoimintaan</w:t>
      </w:r>
      <w:r w:rsidR="00CD3728">
        <w:t xml:space="preserve"> säännösten poistamisella ei arvioida olevan merkitystä.  </w:t>
      </w:r>
    </w:p>
    <w:p w:rsidR="00EE3CDC" w:rsidP="002A6CD5">
      <w:pPr>
        <w:pStyle w:val="BodyText"/>
      </w:pPr>
    </w:p>
    <w:p w:rsidR="00CF11FD" w:rsidP="002A6CD5">
      <w:pPr>
        <w:pStyle w:val="BodyText"/>
      </w:pPr>
    </w:p>
    <w:p w:rsidR="00CF11FD" w:rsidP="00337F2A">
      <w:pPr>
        <w:pStyle w:val="BodyText"/>
        <w:spacing w:after="0"/>
      </w:pPr>
      <w:r>
        <w:t>Poliisijohtaja</w:t>
      </w:r>
      <w:r w:rsidR="0037216A">
        <w:tab/>
      </w:r>
      <w:r>
        <w:tab/>
        <w:t>Marko Viitanen</w:t>
      </w:r>
    </w:p>
    <w:p w:rsidR="00CF11FD" w:rsidP="00CF11FD">
      <w:pPr>
        <w:pStyle w:val="BodyText"/>
      </w:pPr>
    </w:p>
    <w:p w:rsidR="00337F2A" w:rsidP="00CF11FD">
      <w:pPr>
        <w:pStyle w:val="BodyText"/>
      </w:pPr>
    </w:p>
    <w:p w:rsidR="00CF11FD" w:rsidP="00CF11FD">
      <w:pPr>
        <w:pStyle w:val="BodyText"/>
      </w:pPr>
      <w:r>
        <w:t>Poliisitarkastaja</w:t>
      </w:r>
      <w:r w:rsidR="0037216A">
        <w:tab/>
      </w:r>
      <w:r>
        <w:t>Juha Tuovinen</w:t>
      </w:r>
    </w:p>
    <w:p w:rsidR="008C5E06" w:rsidP="00CF11FD">
      <w:pPr>
        <w:pStyle w:val="BodyText"/>
      </w:pPr>
    </w:p>
    <w:p w:rsidR="00CF11FD" w:rsidP="00CF11FD">
      <w:pPr>
        <w:pStyle w:val="BodyText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Sisäministeriö 27.07.2018 klo 08:44. Allekirjoituksen oikeellisuuden</w:t>
      </w:r>
      <w:r>
        <w:t xml:space="preserve"> voi todentaa kirjaamosta.</w:t>
      </w:r>
      <w:r>
        <w:fldChar w:fldCharType="end"/>
      </w:r>
    </w:p>
    <w:p w:rsidR="008C5E06" w:rsidP="00F874C0">
      <w:pPr>
        <w:pStyle w:val="BodyText"/>
      </w:pPr>
    </w:p>
    <w:tbl>
      <w:tblPr>
        <w:tblStyle w:val="Eireunaviivaa"/>
        <w:tblW w:w="0" w:type="auto"/>
        <w:tblLayout w:type="fixed"/>
        <w:tblLook w:val="04A0"/>
      </w:tblPr>
      <w:tblGrid>
        <w:gridCol w:w="2608"/>
        <w:gridCol w:w="7761"/>
      </w:tblGrid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</w:p>
        </w:tc>
      </w:tr>
    </w:tbl>
    <w:p w:rsidR="006660D6">
      <w:r>
        <w:br w:type="page"/>
      </w:r>
      <w:bookmarkStart w:id="0" w:name="_GoBack"/>
      <w:bookmarkEnd w:id="0"/>
    </w:p>
    <w:tbl>
      <w:tblPr>
        <w:tblStyle w:val="Eireunaviivaa"/>
        <w:tblW w:w="0" w:type="auto"/>
        <w:tblLayout w:type="fixed"/>
        <w:tblLook w:val="04A0"/>
      </w:tblPr>
      <w:tblGrid>
        <w:gridCol w:w="2608"/>
        <w:gridCol w:w="7761"/>
      </w:tblGrid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Hallinto- ja kehittämisosasto</w:t>
            </w:r>
          </w:p>
        </w:tc>
      </w:tr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 Huvila</w:t>
            </w:r>
          </w:p>
          <w:p w:rsidR="00BE5CB2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Risto Lammi</w:t>
            </w:r>
          </w:p>
          <w:p w:rsidR="008C3F06" w:rsidRPr="00242B73" w:rsidP="00CF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Poliisiosaston virkapolisi</w:t>
            </w:r>
          </w:p>
        </w:tc>
      </w:tr>
    </w:tbl>
    <w:p w:rsidR="008C5E06" w:rsidRPr="00162585" w:rsidP="00D76923"/>
    <w:sectPr w:rsidSect="002208F1">
      <w:headerReference w:type="default" r:id="rId4"/>
      <w:headerReference w:type="first" r:id="rId5"/>
      <w:footerReference w:type="first" r:id="rId6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275" w:type="dxa"/>
      <w:tblLayout w:type="fixed"/>
      <w:tblCellMar>
        <w:right w:w="0" w:type="dxa"/>
      </w:tblCellMar>
      <w:tblLook w:val="04A0"/>
    </w:tblPr>
    <w:tblGrid>
      <w:gridCol w:w="2586"/>
      <w:gridCol w:w="1809"/>
      <w:gridCol w:w="2126"/>
      <w:gridCol w:w="1843"/>
      <w:gridCol w:w="1911"/>
    </w:tblGrid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 w:rsidRPr="00755304">
            <w:rPr>
              <w:color w:val="59B5A4"/>
            </w:rPr>
            <w:t>Virkasähköpostiosoite: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Sisäministeriö</w:t>
          </w:r>
        </w:p>
      </w:tc>
      <w:tc>
        <w:tcPr>
          <w:tcW w:w="2126" w:type="dxa"/>
        </w:tcPr>
        <w:p w:rsidR="00C32D98" w:rsidRPr="00EF222F" w:rsidP="006A5C73">
          <w:pPr>
            <w:pStyle w:val="Footer"/>
          </w:pPr>
          <w:r>
            <w:t>Kirkkokatu 12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t xml:space="preserve">Vaihde 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kirjaamo@intermin.fi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PL 26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>
            <w:t>Helsinki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6536B0">
            <w:t>0295 480 171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www.intermin.fi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00023 Valtioneuvosto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P="001811CD">
          <w:pPr>
            <w:pStyle w:val="Footer"/>
          </w:pP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P="002752F1">
          <w:pPr>
            <w:pStyle w:val="Footer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</w:tbl>
  <w:p w:rsidR="00EF222F" w:rsidP="00EF222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5E4795">
      <w:tblPrEx>
        <w:tblW w:w="10347" w:type="dxa"/>
        <w:tblLayout w:type="fixed"/>
        <w:tblLook w:val="04A0"/>
      </w:tblPrEx>
      <w:tc>
        <w:tcPr>
          <w:tcW w:w="5222" w:type="dxa"/>
        </w:tcPr>
        <w:p w:rsidR="0035265B" w:rsidRPr="00770045" w:rsidP="005E4795">
          <w:pPr>
            <w:pStyle w:val="Header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P="005E4795">
          <w:pPr>
            <w:pStyle w:val="Header"/>
          </w:pPr>
        </w:p>
      </w:tc>
      <w:tc>
        <w:tcPr>
          <w:tcW w:w="1054" w:type="dxa"/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60D6">
            <w:rPr>
              <w:rFonts w:ascii="Arial" w:hAnsi="Arial" w:eastAsiaTheme="minorHAnsi" w:cstheme="minorHAnsi"/>
              <w:noProof/>
              <w:sz w:val="18"/>
              <w:szCs w:val="18"/>
              <w:lang w:val="fi-FI" w:eastAsia="en-US" w:bidi="ar-SA"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6660D6">
            <w:rPr>
              <w:rFonts w:ascii="Arial" w:hAnsi="Arial" w:eastAsiaTheme="minorHAnsi" w:cstheme="minorHAnsi"/>
              <w:noProof/>
              <w:sz w:val="18"/>
              <w:szCs w:val="18"/>
              <w:lang w:val="fi-FI" w:eastAsia="en-US" w:bidi="ar-SA"/>
            </w:rPr>
            <w:t>2</w:t>
          </w:r>
          <w:r w:rsidR="006660D6">
            <w:fldChar w:fldCharType="end"/>
          </w:r>
          <w:r>
            <w:t>)</w:t>
          </w: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 w:rsidR="0037216A">
            <w:t>27.07.2018</w:t>
          </w:r>
          <w:r w:rsidR="0037216A">
            <w:fldChar w:fldCharType="end"/>
          </w: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</w:tbl>
  <w:p w:rsidR="00D64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948" w:type="dxa"/>
      <w:tblInd w:w="-567" w:type="dxa"/>
      <w:tblLayout w:type="fixed"/>
      <w:tblLook w:val="04A0"/>
    </w:tblPr>
    <w:tblGrid>
      <w:gridCol w:w="5823"/>
      <w:gridCol w:w="2608"/>
      <w:gridCol w:w="1463"/>
      <w:gridCol w:w="1054"/>
    </w:tblGrid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 w:val="restart"/>
          <w:tcMar>
            <w:left w:w="0" w:type="dxa"/>
          </w:tcMar>
        </w:tcPr>
        <w:p w:rsidR="0035265B" w:rsidRPr="00F063F8" w:rsidP="005E4795">
          <w:pPr>
            <w:pStyle w:val="Header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9779D7" w:rsidP="005E4795">
          <w:pPr>
            <w:pStyle w:val="Header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 w:rsidR="0037216A">
            <w:t>SM1822017</w:t>
          </w:r>
          <w:r w:rsidR="0037216A"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60D6">
            <w:rPr>
              <w:rFonts w:ascii="Arial" w:hAnsi="Arial" w:eastAsiaTheme="minorHAnsi" w:cstheme="minorHAnsi"/>
              <w:noProof/>
              <w:sz w:val="18"/>
              <w:szCs w:val="18"/>
              <w:lang w:val="fi-FI" w:eastAsia="en-US" w:bidi="ar-SA"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6660D6">
            <w:rPr>
              <w:rFonts w:ascii="Arial" w:hAnsi="Arial" w:eastAsiaTheme="minorHAnsi" w:cstheme="minorHAnsi"/>
              <w:noProof/>
              <w:sz w:val="18"/>
              <w:szCs w:val="18"/>
              <w:lang w:val="fi-FI" w:eastAsia="en-US" w:bidi="ar-SA"/>
            </w:rPr>
            <w:t>2</w:t>
          </w:r>
          <w:r w:rsidR="006660D6">
            <w:fldChar w:fldCharType="end"/>
          </w:r>
          <w:r>
            <w:t>)</w:t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 w:rsidR="0037216A">
            <w:t>00.02.04</w:t>
          </w:r>
          <w:r w:rsidR="0037216A"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 w:rsidR="0037216A">
            <w:t>SMDno-2018-1311</w:t>
          </w:r>
          <w:r w:rsidR="0037216A"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 w:rsidR="0037216A">
            <w:t>27.07.2018</w:t>
          </w:r>
          <w:r w:rsidR="0037216A"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</w:p>
      </w:tc>
    </w:tr>
  </w:tbl>
  <w:p w:rsidR="00272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11C27B62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ListBullet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2752F1"/>
  </w:style>
  <w:style w:type="paragraph" w:styleId="Heading1">
    <w:name w:val="heading 1"/>
    <w:basedOn w:val="Normal"/>
    <w:next w:val="BodyText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BodyText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35265B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DefaultParagraphFont"/>
    <w:link w:val="Footer"/>
    <w:uiPriority w:val="99"/>
    <w:rsid w:val="0035265B"/>
    <w:rPr>
      <w:rFonts w:ascii="Arial" w:hAnsi="Arial"/>
      <w:sz w:val="16"/>
      <w:szCs w:val="18"/>
    </w:rPr>
  </w:style>
  <w:style w:type="table" w:styleId="TableGrid">
    <w:name w:val="Table Grid"/>
    <w:basedOn w:val="TableNormal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TOCHeading">
    <w:name w:val="TOC Heading"/>
    <w:next w:val="Normal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35265B"/>
    <w:rPr>
      <w:sz w:val="18"/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DefaultParagraphFont"/>
    <w:link w:val="BodyText"/>
    <w:uiPriority w:val="1"/>
    <w:rsid w:val="0035265B"/>
    <w:rPr>
      <w:sz w:val="18"/>
      <w:szCs w:val="18"/>
    </w:rPr>
  </w:style>
  <w:style w:type="paragraph" w:styleId="NoSpacing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DefaultParagraphFont"/>
    <w:link w:val="Heading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l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Tuovinen Juha SM</cp:lastModifiedBy>
  <cp:revision>21</cp:revision>
  <dcterms:created xsi:type="dcterms:W3CDTF">2015-04-15T10:06:00Z</dcterms:created>
  <dcterms:modified xsi:type="dcterms:W3CDTF">2018-07-27T05:44:00Z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27.07.2018 klo 08:44.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SMDno-2018-1311</vt:lpwstr>
  </property>
  <property fmtid="{D5CDD505-2E9C-101B-9397-08002B2CF9AE}" pid="6" name="sm_id">
    <vt:lpwstr>SM1822017</vt:lpwstr>
  </property>
  <property fmtid="{D5CDD505-2E9C-101B-9397-08002B2CF9AE}" pid="7" name="sm_käsittelyluokka">
    <vt:lpwstr/>
  </property>
  <property fmtid="{D5CDD505-2E9C-101B-9397-08002B2CF9AE}" pid="8" name="sm_laatija">
    <vt:lpwstr>Juha Tuovinen</vt:lpwstr>
  </property>
  <property fmtid="{D5CDD505-2E9C-101B-9397-08002B2CF9AE}" pid="9" name="sm_laatimispvm">
    <vt:lpwstr>09.07.2018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Lausunto arvonleikkaussäännösten poistamisen vaikutuksista</vt:lpwstr>
  </property>
  <property fmtid="{D5CDD505-2E9C-101B-9397-08002B2CF9AE}" pid="15" name="sm_pvm">
    <vt:lpwstr>27.07.2018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