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2A" w:rsidRDefault="002C6FA9" w:rsidP="003B1C36">
      <w:r>
        <w:t>Oikeusministeriö</w:t>
      </w:r>
    </w:p>
    <w:p w:rsidR="00E513B7" w:rsidRDefault="0091501D" w:rsidP="00E513B7">
      <w:pPr>
        <w:pStyle w:val="Leipteksti"/>
      </w:pPr>
      <w:hyperlink r:id="rId8" w:history="1">
        <w:r w:rsidR="001A6ADA" w:rsidRPr="006515B2">
          <w:rPr>
            <w:rStyle w:val="Hyperlinkki"/>
          </w:rPr>
          <w:t>oikeusministerio@om.fi</w:t>
        </w:r>
      </w:hyperlink>
    </w:p>
    <w:p w:rsidR="001A6ADA" w:rsidRDefault="001A6ADA" w:rsidP="00E513B7">
      <w:pPr>
        <w:pStyle w:val="Leipteksti"/>
      </w:pPr>
    </w:p>
    <w:p w:rsidR="00E513B7" w:rsidRDefault="00E513B7" w:rsidP="00E513B7">
      <w:pPr>
        <w:pStyle w:val="Leipteksti"/>
      </w:pPr>
    </w:p>
    <w:p w:rsidR="00E513B7" w:rsidRDefault="00E513B7" w:rsidP="00E513B7">
      <w:pPr>
        <w:pStyle w:val="Leipteksti"/>
      </w:pPr>
    </w:p>
    <w:p w:rsidR="00E513B7" w:rsidRDefault="00E513B7" w:rsidP="00E513B7">
      <w:pPr>
        <w:pStyle w:val="Leipteksti"/>
      </w:pPr>
      <w:r>
        <w:t xml:space="preserve">Viite: </w:t>
      </w:r>
      <w:r w:rsidR="002346E2">
        <w:t>Lausuntopyyntö</w:t>
      </w:r>
      <w:r w:rsidR="00980C7E">
        <w:t xml:space="preserve"> </w:t>
      </w:r>
      <w:r w:rsidR="00FA3C66" w:rsidRPr="00FA3C66">
        <w:rPr>
          <w:szCs w:val="20"/>
        </w:rPr>
        <w:t>OM 21/41/2015</w:t>
      </w:r>
      <w:r w:rsidR="00FA3C66">
        <w:rPr>
          <w:szCs w:val="20"/>
        </w:rPr>
        <w:t>, 22.8.2016</w:t>
      </w:r>
    </w:p>
    <w:p w:rsidR="00E513B7" w:rsidRDefault="00E513B7" w:rsidP="00E513B7">
      <w:pPr>
        <w:pStyle w:val="Leipteksti"/>
      </w:pPr>
    </w:p>
    <w:p w:rsidR="00E513B7" w:rsidRDefault="002346E2" w:rsidP="00E513B7">
      <w:pPr>
        <w:pStyle w:val="Otsikko1"/>
      </w:pPr>
      <w:r>
        <w:t xml:space="preserve">Lausunto </w:t>
      </w:r>
      <w:r w:rsidR="00FA3C66">
        <w:t xml:space="preserve">lunastuslainsäädännön uudistamistarpeita koskevasta </w:t>
      </w:r>
      <w:bookmarkStart w:id="0" w:name="_GoBack"/>
      <w:bookmarkEnd w:id="0"/>
      <w:r w:rsidR="00FA3C66">
        <w:t>muistiosta</w:t>
      </w:r>
    </w:p>
    <w:p w:rsidR="00E513B7" w:rsidRDefault="00E513B7" w:rsidP="00E513B7">
      <w:pPr>
        <w:pStyle w:val="Leipteksti"/>
      </w:pPr>
    </w:p>
    <w:p w:rsidR="003E3F83" w:rsidRDefault="001A6ADA" w:rsidP="0042507A">
      <w:pPr>
        <w:pStyle w:val="Leipteksti"/>
      </w:pPr>
      <w:r>
        <w:t xml:space="preserve">Energiateollisuus ry (ET) kiittää oikeusministeriötä mahdollisuudesta lausua </w:t>
      </w:r>
      <w:r w:rsidR="00FA3C66">
        <w:t xml:space="preserve">lunastuslainsäädännön uudistamistarpeita koskevasta </w:t>
      </w:r>
      <w:r w:rsidR="00604EAF">
        <w:t>arvio</w:t>
      </w:r>
      <w:r w:rsidR="00FA3C66">
        <w:t>muistiosta.</w:t>
      </w:r>
      <w:r w:rsidR="006D0F76">
        <w:t xml:space="preserve"> Energiainfrastruktuurihankkeiden toteuttajat pyrkivät järjestämää</w:t>
      </w:r>
      <w:r w:rsidR="00835220">
        <w:t>n hankkeiden vaatimat käyttöoikeudet ja niistä maksettavat korvaukset lähtökohtaisesti maanomistajien kanssa tehtävillä sopimuksilla. Aina tämä ei ole kuitenkaan mahdollista, jolloin korvauksien määrittämisessä voidaan joutua sove</w:t>
      </w:r>
      <w:r w:rsidR="00604EAF">
        <w:t>ltamaan lunastuslain menettelyä.</w:t>
      </w:r>
    </w:p>
    <w:p w:rsidR="003E3F83" w:rsidRDefault="003E3F83" w:rsidP="0042507A">
      <w:pPr>
        <w:pStyle w:val="Leipteksti"/>
      </w:pPr>
    </w:p>
    <w:p w:rsidR="003E3F83" w:rsidRDefault="003E3F83" w:rsidP="003E3F83">
      <w:pPr>
        <w:pStyle w:val="Otsikko3"/>
      </w:pPr>
      <w:r>
        <w:t>Yleistä</w:t>
      </w:r>
    </w:p>
    <w:p w:rsidR="003E3F83" w:rsidRDefault="003E3F83" w:rsidP="003E3F83">
      <w:pPr>
        <w:pStyle w:val="Leipteksti"/>
      </w:pPr>
    </w:p>
    <w:p w:rsidR="00604EAF" w:rsidRDefault="000302AC" w:rsidP="003E3F83">
      <w:pPr>
        <w:pStyle w:val="Leipteksti"/>
      </w:pPr>
      <w:r>
        <w:t>Arviomuistiossa päädytään perustellusti siihen, että</w:t>
      </w:r>
      <w:r w:rsidR="00921320">
        <w:t xml:space="preserve"> pääosaa lunastuslainsää</w:t>
      </w:r>
      <w:r w:rsidR="00A96ABC">
        <w:t>dännöstä ei ole tarpeen tarkistaa. ET pitää tärkeänä, että jatkossakin l</w:t>
      </w:r>
      <w:r w:rsidR="00921320">
        <w:t>unastuslainsää</w:t>
      </w:r>
      <w:r w:rsidR="00C814BA">
        <w:t>dännön</w:t>
      </w:r>
      <w:r w:rsidR="00921320">
        <w:t xml:space="preserve"> lähtökohtana ovat täyden korvauksen periaate ja objektiivisten menetysten korvaaminen.</w:t>
      </w:r>
      <w:r w:rsidR="007A2E8D">
        <w:t xml:space="preserve"> </w:t>
      </w:r>
    </w:p>
    <w:p w:rsidR="00066CF3" w:rsidRDefault="00066CF3" w:rsidP="003E3F83">
      <w:pPr>
        <w:pStyle w:val="Leipteksti"/>
      </w:pPr>
    </w:p>
    <w:p w:rsidR="00F26957" w:rsidRDefault="00F26957" w:rsidP="00F26957">
      <w:pPr>
        <w:pStyle w:val="Otsikko2"/>
      </w:pPr>
      <w:r>
        <w:t>Korvausperusteiden tarkistamisesta</w:t>
      </w:r>
    </w:p>
    <w:p w:rsidR="00F26957" w:rsidRDefault="00F26957" w:rsidP="003E3F83">
      <w:pPr>
        <w:pStyle w:val="Leipteksti"/>
      </w:pPr>
    </w:p>
    <w:p w:rsidR="00125251" w:rsidRPr="00921320" w:rsidRDefault="000302AC" w:rsidP="00F26957">
      <w:pPr>
        <w:pStyle w:val="Leipteksti"/>
      </w:pPr>
      <w:r>
        <w:t>ET pitää perusteltuna arviomuistiossa esitettyjä näkemyksiä siitä, että l</w:t>
      </w:r>
      <w:r w:rsidR="007A2E8D">
        <w:t xml:space="preserve">ähtökohtana pitää olla lunastettavan omaisuuden haltijalle aiheutuvan vahingon hyvittäminen ja varallisuusaseman pysyttäminen ennallaan. Lunastettavan alueen tulevalla käyttötarkoituksella ja alueesta saatavalla tai toiminnasta kertyvällä hyödyllä ei pidä olla merkitystä lunastuskorvauksen määräämisen perusteisiin. </w:t>
      </w:r>
      <w:r w:rsidR="001D5214">
        <w:t>Liiketaloudellisin perustein toimintaa harjoittavan lunast</w:t>
      </w:r>
      <w:r w:rsidR="00125251">
        <w:t>ajan</w:t>
      </w:r>
      <w:r w:rsidR="001D5214">
        <w:t xml:space="preserve"> pitää olla samassa asemassa kuin kunnan, valtion tai muun </w:t>
      </w:r>
      <w:r w:rsidR="00125251">
        <w:t>lunastajan, jonka toimintaa ei harjoiteta kokonaan tai osittain liiketaloudellisin perustein</w:t>
      </w:r>
      <w:r w:rsidR="001D5214">
        <w:t>.</w:t>
      </w:r>
    </w:p>
    <w:p w:rsidR="00F26957" w:rsidRDefault="00F26957" w:rsidP="003E3F83">
      <w:pPr>
        <w:pStyle w:val="Leipteksti"/>
      </w:pPr>
    </w:p>
    <w:p w:rsidR="00387A7A" w:rsidRDefault="00921320" w:rsidP="00921320">
      <w:pPr>
        <w:pStyle w:val="Leipteksti"/>
      </w:pPr>
      <w:r>
        <w:t xml:space="preserve">Arviomuistiossa on </w:t>
      </w:r>
      <w:r w:rsidR="00F26957">
        <w:t xml:space="preserve">sivulla 25 </w:t>
      </w:r>
      <w:r w:rsidR="00387A7A">
        <w:t>esitetty</w:t>
      </w:r>
      <w:r w:rsidRPr="00921320">
        <w:t xml:space="preserve"> käsitys, että korvaust</w:t>
      </w:r>
      <w:r w:rsidR="00387A7A">
        <w:t xml:space="preserve">asojen korotuksella tuskin tulisi olemaan juurikaan merkitystä infrastruktuurihankkeiden toteuttamiseen, koska alueiden hankinnan kustannukset muodostavat niin pienen osan hankkeen kokonaiskustannuksista. </w:t>
      </w:r>
      <w:r w:rsidR="00810C35" w:rsidRPr="00810C35">
        <w:t>Arviomuistiossa esitettyä käsitystä ei perustella mitenkään, ja koska lunastuskorvaukset jo nykyisellään muodostavat tuntuvan kustannuserän</w:t>
      </w:r>
      <w:r w:rsidR="00810C35">
        <w:t>, a</w:t>
      </w:r>
      <w:r w:rsidR="00387A7A">
        <w:t>sia on syytä selvittää perusteellisesti</w:t>
      </w:r>
      <w:r w:rsidR="006D0F76">
        <w:t xml:space="preserve"> ennen johtopäätösten tekemistä</w:t>
      </w:r>
      <w:r w:rsidR="000302AC">
        <w:t xml:space="preserve">. </w:t>
      </w:r>
      <w:r w:rsidR="00810C35" w:rsidRPr="00810C35">
        <w:t>Missään tapauksessa</w:t>
      </w:r>
      <w:r w:rsidR="000302AC">
        <w:t xml:space="preserve"> korvaustasojen korotukseen johtavia säännöksiä ei voi perustella sillä, mikä vaikutus korvaustasojen korotuksella olisi infrastruktuurihankkeiden toteuttamiseen.</w:t>
      </w:r>
      <w:r w:rsidR="00A96ABC">
        <w:t xml:space="preserve"> </w:t>
      </w:r>
      <w:r w:rsidR="00387A7A">
        <w:t xml:space="preserve">Korvaustasojen korotus todennäköisesti pitkällä tähtäimellä nostaa palvelun hintaa, jonka infrastruktuurin käyttäjät maksavat. </w:t>
      </w:r>
      <w:r w:rsidR="00810C35" w:rsidRPr="00810C35">
        <w:t>Yhteiskunnan kannalta on ehdottoman tärkeää, että infrastruktuurihankkeita voidaan myös jatkossa toteuttaa kannattavasti.</w:t>
      </w:r>
      <w:r w:rsidR="00387A7A">
        <w:t xml:space="preserve"> </w:t>
      </w:r>
    </w:p>
    <w:p w:rsidR="00387A7A" w:rsidRDefault="00387A7A" w:rsidP="00921320">
      <w:pPr>
        <w:pStyle w:val="Leipteksti"/>
      </w:pPr>
    </w:p>
    <w:p w:rsidR="00F430A6" w:rsidRDefault="00524B14" w:rsidP="003E3F83">
      <w:pPr>
        <w:pStyle w:val="Leipteksti"/>
      </w:pPr>
      <w:r>
        <w:t xml:space="preserve">Arviomuistiossa ehdotetaan, että korvausperusteiden tarkistamisen selvittämistä ja mahdollisten säädösmuutosten valmistelua varten asetettaisiin työryhmä. </w:t>
      </w:r>
      <w:r w:rsidR="00810C35" w:rsidRPr="00810C35">
        <w:t>ET:n näkemyksen mukaan täyden korvauksen periaate toteutuu tälläkin hetkellä, joten ET ei pidä työryhmän asettamista lähtökohtaisesti tarpeellisena.</w:t>
      </w:r>
      <w:r w:rsidR="00810C35">
        <w:t xml:space="preserve"> </w:t>
      </w:r>
      <w:r w:rsidR="00F430A6">
        <w:t xml:space="preserve">Valmistelun tarkoituksena tulee olla perusteellisen selvityksen laatiminen siitä, </w:t>
      </w:r>
      <w:r w:rsidR="00066CF3">
        <w:t xml:space="preserve">miten täyden korvauksen periaate toteutuu. </w:t>
      </w:r>
      <w:r w:rsidR="00810C35" w:rsidRPr="00810C35">
        <w:t xml:space="preserve">Vasta siinä tapauksessa, että täyden korvauksen periaatteen ei katsottaisi täyttyvän kaikilta osin, voidaan edes harkita, miltä osin korvausperusteiden tarkistamiseen olisi tarpeen ryhtyä. </w:t>
      </w:r>
      <w:r w:rsidR="00066CF3">
        <w:t xml:space="preserve">Jos epäkohtia </w:t>
      </w:r>
      <w:r w:rsidR="00066CF3">
        <w:lastRenderedPageBreak/>
        <w:t xml:space="preserve">tulee esiin, </w:t>
      </w:r>
      <w:r w:rsidR="00810C35">
        <w:t xml:space="preserve">lainsäädännön uudistamisessa </w:t>
      </w:r>
      <w:r w:rsidR="00066CF3">
        <w:t xml:space="preserve">pitäisi keskittyä näiden epäkohtien korjaamiseen, ei kaikkiin lunastustilanteisiin tehtäviin korvaustasojen korotuksiin. </w:t>
      </w:r>
      <w:r w:rsidR="00810C35">
        <w:t>Tällöin energiainfrastruktuuri</w:t>
      </w:r>
      <w:r w:rsidR="00810C35" w:rsidRPr="00810C35">
        <w:t>hankkeiden toteuttajien pitää olla edustettuna valmistelussa, koska lunastusmenettelyistä merkittävä osa liittyy niiden liiketoimintaan.</w:t>
      </w:r>
    </w:p>
    <w:p w:rsidR="00921320" w:rsidRDefault="00921320" w:rsidP="003E3F83">
      <w:pPr>
        <w:pStyle w:val="Leipteksti"/>
      </w:pPr>
    </w:p>
    <w:p w:rsidR="00921320" w:rsidRDefault="0056457C" w:rsidP="00921320">
      <w:pPr>
        <w:pStyle w:val="Leipteksti"/>
        <w:rPr>
          <w:b/>
        </w:rPr>
      </w:pPr>
      <w:r>
        <w:rPr>
          <w:b/>
        </w:rPr>
        <w:t>Kertakorvaus</w:t>
      </w:r>
    </w:p>
    <w:p w:rsidR="00604EAF" w:rsidRDefault="00604EAF" w:rsidP="00921320">
      <w:pPr>
        <w:pStyle w:val="Leipteksti"/>
        <w:rPr>
          <w:b/>
        </w:rPr>
      </w:pPr>
    </w:p>
    <w:p w:rsidR="00921320" w:rsidRPr="00921320" w:rsidRDefault="00604EAF" w:rsidP="00921320">
      <w:pPr>
        <w:pStyle w:val="Leipteksti"/>
      </w:pPr>
      <w:r>
        <w:t xml:space="preserve">ET pitää perusteltuna arviomuistiossa esitettyä näkemystä, että ei ole tarvetta muuttaa </w:t>
      </w:r>
      <w:r w:rsidR="0056457C">
        <w:t xml:space="preserve">lunastuslain periaatteita, joiden mukaan korvauksen on oltava kertakaikkinen rahakorvaus ja omaisuus on arvioitava sellaisena kuin se lunastuspäätöksen julistamishetkellä on. </w:t>
      </w:r>
      <w:r>
        <w:t>Oikeusvarmuuden takaamiseksi ja lunastukseen liittyvien yksityisoikeudellisten suhteiden järjestämiseksi yhdellä kerralla on tärkeää, että lunastuskorvaus suoritetaan kertakorvauksena</w:t>
      </w:r>
      <w:r w:rsidR="0056457C">
        <w:t xml:space="preserve"> ja arviointi keskittyy lunastamispäätöksen julkistamisen hetkeen</w:t>
      </w:r>
      <w:r>
        <w:t>.</w:t>
      </w:r>
      <w:r w:rsidR="0056457C">
        <w:t xml:space="preserve"> </w:t>
      </w:r>
    </w:p>
    <w:p w:rsidR="008A033F" w:rsidRDefault="008A033F" w:rsidP="008A033F">
      <w:pPr>
        <w:pStyle w:val="Leipteksti"/>
      </w:pPr>
    </w:p>
    <w:p w:rsidR="00A3323D" w:rsidRDefault="00A3323D" w:rsidP="0042507A">
      <w:pPr>
        <w:pStyle w:val="Leipteksti"/>
        <w:rPr>
          <w:b/>
        </w:rPr>
      </w:pPr>
    </w:p>
    <w:p w:rsidR="00455BEF" w:rsidRPr="00A3323D" w:rsidRDefault="00A3323D" w:rsidP="0042507A">
      <w:pPr>
        <w:pStyle w:val="Leipteksti"/>
      </w:pPr>
      <w:r>
        <w:t xml:space="preserve">Lisätietoja </w:t>
      </w:r>
      <w:r w:rsidR="00126605">
        <w:t xml:space="preserve">lausunnosta </w:t>
      </w:r>
      <w:r>
        <w:t xml:space="preserve">antaa Tuomas Rytkönen, </w:t>
      </w:r>
      <w:hyperlink r:id="rId9" w:history="1">
        <w:r w:rsidRPr="00BB1A07">
          <w:rPr>
            <w:rStyle w:val="Hyperlinkki"/>
          </w:rPr>
          <w:t>tuomas.rytkonen@energia.fi</w:t>
        </w:r>
      </w:hyperlink>
      <w:r>
        <w:t>, p. 050 575 6857.</w:t>
      </w:r>
    </w:p>
    <w:p w:rsidR="00FA40FB" w:rsidRDefault="00FA40FB" w:rsidP="00E513B7">
      <w:pPr>
        <w:pStyle w:val="Leipteksti"/>
        <w:rPr>
          <w:b/>
        </w:rPr>
      </w:pPr>
    </w:p>
    <w:p w:rsidR="00126605" w:rsidRPr="009E506D" w:rsidRDefault="00126605" w:rsidP="00E513B7">
      <w:pPr>
        <w:pStyle w:val="Leipteksti"/>
        <w:rPr>
          <w:b/>
        </w:rPr>
      </w:pPr>
    </w:p>
    <w:p w:rsidR="00E513B7" w:rsidRDefault="00E513B7" w:rsidP="00E513B7">
      <w:pPr>
        <w:pStyle w:val="Leipteksti"/>
      </w:pPr>
      <w:r>
        <w:t>Ystävällisin terveisin</w:t>
      </w:r>
    </w:p>
    <w:p w:rsidR="00E513B7" w:rsidRDefault="00E513B7" w:rsidP="00E513B7">
      <w:pPr>
        <w:pStyle w:val="Leipteksti"/>
      </w:pPr>
    </w:p>
    <w:p w:rsidR="00E513B7" w:rsidRDefault="00E513B7" w:rsidP="00E513B7">
      <w:pPr>
        <w:pStyle w:val="Leipteksti"/>
      </w:pPr>
      <w:r>
        <w:t>ENERGIATEOLLISUUS RY</w:t>
      </w:r>
    </w:p>
    <w:p w:rsidR="00E513B7" w:rsidRDefault="00E513B7" w:rsidP="00E513B7">
      <w:pPr>
        <w:pStyle w:val="Leipteksti"/>
      </w:pPr>
    </w:p>
    <w:p w:rsidR="00E513B7" w:rsidRDefault="00E513B7" w:rsidP="00E513B7">
      <w:pPr>
        <w:pStyle w:val="Leipteksti"/>
      </w:pPr>
    </w:p>
    <w:p w:rsidR="006B1280" w:rsidRDefault="0056457C" w:rsidP="00E513B7">
      <w:pPr>
        <w:pStyle w:val="Leipteksti"/>
      </w:pPr>
      <w:r>
        <w:t>Kenneth Hänninen</w:t>
      </w:r>
    </w:p>
    <w:p w:rsidR="0056457C" w:rsidRDefault="0056457C" w:rsidP="00E513B7">
      <w:pPr>
        <w:pStyle w:val="Leipteksti"/>
      </w:pPr>
      <w:r>
        <w:t>Johtaja, verkot</w:t>
      </w:r>
    </w:p>
    <w:p w:rsidR="00B53C80" w:rsidRDefault="00B53C80" w:rsidP="002F2645">
      <w:pPr>
        <w:pStyle w:val="Leipteksti"/>
      </w:pPr>
    </w:p>
    <w:sectPr w:rsidR="00B53C80" w:rsidSect="00734A1A">
      <w:headerReference w:type="default" r:id="rId10"/>
      <w:headerReference w:type="first" r:id="rId11"/>
      <w:footerReference w:type="first" r:id="rId12"/>
      <w:pgSz w:w="11906" w:h="16838" w:code="9"/>
      <w:pgMar w:top="1134" w:right="1134" w:bottom="669" w:left="1134" w:header="709" w:footer="3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1D" w:rsidRDefault="0091501D">
      <w:r>
        <w:separator/>
      </w:r>
    </w:p>
  </w:endnote>
  <w:endnote w:type="continuationSeparator" w:id="0">
    <w:p w:rsidR="0091501D" w:rsidRDefault="0091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02" w:rsidRDefault="003F7F02" w:rsidP="00387957">
    <w:pPr>
      <w:pStyle w:val="Alatunniste"/>
      <w:ind w:left="5812"/>
      <w:rPr>
        <w:b/>
      </w:rPr>
    </w:pPr>
    <w:r>
      <w:rPr>
        <w:b/>
      </w:rPr>
      <w:t xml:space="preserve">Energiateollisuus ry </w:t>
    </w:r>
  </w:p>
  <w:p w:rsidR="003F7F02" w:rsidRDefault="003F7F02" w:rsidP="00387957">
    <w:pPr>
      <w:pStyle w:val="Alatunniste"/>
      <w:ind w:left="5812"/>
    </w:pPr>
    <w:r>
      <w:t xml:space="preserve">Fredrikinkatu 51–53 B, 00100 Helsinki </w:t>
    </w:r>
  </w:p>
  <w:p w:rsidR="003F7F02" w:rsidRDefault="003F7F02" w:rsidP="00387957">
    <w:pPr>
      <w:pStyle w:val="Alatunniste"/>
      <w:ind w:left="5812"/>
    </w:pPr>
    <w:r>
      <w:t>PL 100, 00101 Helsinki</w:t>
    </w:r>
  </w:p>
  <w:p w:rsidR="003F7F02" w:rsidRDefault="003F7F02" w:rsidP="00387957">
    <w:pPr>
      <w:pStyle w:val="Alatunniste"/>
      <w:ind w:left="5812"/>
    </w:pPr>
    <w:r>
      <w:t>Puhelin: (09) 530 520, faksi: (09) 5305 2900</w:t>
    </w:r>
  </w:p>
  <w:p w:rsidR="003F7F02" w:rsidRPr="0021472A" w:rsidRDefault="003F7F02" w:rsidP="00387957">
    <w:pPr>
      <w:pStyle w:val="Alatunniste"/>
      <w:ind w:left="5812"/>
    </w:pPr>
    <w:r>
      <w:t>www.energia.fi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1D" w:rsidRDefault="0091501D">
      <w:r>
        <w:separator/>
      </w:r>
    </w:p>
  </w:footnote>
  <w:footnote w:type="continuationSeparator" w:id="0">
    <w:p w:rsidR="0091501D" w:rsidRDefault="00915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F02" w:rsidRDefault="003F7F02" w:rsidP="004D6D01">
    <w:pPr>
      <w:pStyle w:val="Yltunniste"/>
      <w:tabs>
        <w:tab w:val="clear" w:pos="4819"/>
        <w:tab w:val="clear" w:pos="9638"/>
        <w:tab w:val="left" w:pos="3434"/>
      </w:tabs>
      <w:jc w:val="right"/>
      <w:rPr>
        <w:snapToGrid w:val="0"/>
      </w:rPr>
    </w:pPr>
  </w:p>
  <w:p w:rsidR="003F7F02" w:rsidRDefault="003F7F02" w:rsidP="004D6D01">
    <w:pPr>
      <w:pStyle w:val="Yltunniste"/>
      <w:tabs>
        <w:tab w:val="clear" w:pos="4819"/>
        <w:tab w:val="clear" w:pos="9638"/>
        <w:tab w:val="left" w:pos="3434"/>
      </w:tabs>
      <w:jc w:val="right"/>
    </w:pPr>
    <w:r>
      <w:rPr>
        <w:snapToGrid w:val="0"/>
      </w:rPr>
      <w:fldChar w:fldCharType="begin"/>
    </w:r>
    <w:r>
      <w:rPr>
        <w:snapToGrid w:val="0"/>
      </w:rPr>
      <w:instrText xml:space="preserve"> PAGE </w:instrText>
    </w:r>
    <w:r>
      <w:rPr>
        <w:snapToGrid w:val="0"/>
      </w:rPr>
      <w:fldChar w:fldCharType="separate"/>
    </w:r>
    <w:r w:rsidR="005B2421">
      <w:rPr>
        <w:noProof/>
        <w:snapToGrid w:val="0"/>
      </w:rPr>
      <w:t>2</w:t>
    </w:r>
    <w:r>
      <w:rPr>
        <w:snapToGrid w:val="0"/>
      </w:rPr>
      <w:fldChar w:fldCharType="end"/>
    </w:r>
    <w:r>
      <w:rPr>
        <w:snapToGrid w:val="0"/>
      </w:rPr>
      <w:t>(</w:t>
    </w:r>
    <w:r>
      <w:rPr>
        <w:snapToGrid w:val="0"/>
      </w:rPr>
      <w:fldChar w:fldCharType="begin"/>
    </w:r>
    <w:r>
      <w:rPr>
        <w:snapToGrid w:val="0"/>
      </w:rPr>
      <w:instrText xml:space="preserve"> NUMPAGES </w:instrText>
    </w:r>
    <w:r>
      <w:rPr>
        <w:snapToGrid w:val="0"/>
      </w:rPr>
      <w:fldChar w:fldCharType="separate"/>
    </w:r>
    <w:r w:rsidR="005B2421">
      <w:rPr>
        <w:noProof/>
        <w:snapToGrid w:val="0"/>
      </w:rPr>
      <w:t>2</w:t>
    </w:r>
    <w:r>
      <w:rPr>
        <w:snapToGrid w:val="0"/>
      </w:rPr>
      <w:fldChar w:fldCharType="end"/>
    </w:r>
    <w:r>
      <w:rPr>
        <w:snapToGrid w:val="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Ind w:w="-38" w:type="dxa"/>
      <w:tblLayout w:type="fixed"/>
      <w:tblCellMar>
        <w:left w:w="70" w:type="dxa"/>
        <w:right w:w="70" w:type="dxa"/>
      </w:tblCellMar>
      <w:tblLook w:val="01E0" w:firstRow="1" w:lastRow="1" w:firstColumn="1" w:lastColumn="1" w:noHBand="0" w:noVBand="0"/>
    </w:tblPr>
    <w:tblGrid>
      <w:gridCol w:w="5190"/>
      <w:gridCol w:w="2629"/>
      <w:gridCol w:w="1787"/>
      <w:gridCol w:w="567"/>
    </w:tblGrid>
    <w:tr w:rsidR="003F7F02">
      <w:trPr>
        <w:cantSplit/>
        <w:trHeight w:hRule="exact" w:val="300"/>
      </w:trPr>
      <w:tc>
        <w:tcPr>
          <w:tcW w:w="5190" w:type="dxa"/>
          <w:vMerge w:val="restart"/>
        </w:tcPr>
        <w:p w:rsidR="003F7F02" w:rsidRDefault="0091501D" w:rsidP="005B057F">
          <w:pPr>
            <w:pStyle w:val="Yltunnist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35.25pt" o:allowoverlap="f">
                <v:imagedata r:id="rId1" o:title="LA1_R3V9_Energiateolli__RGB"/>
              </v:shape>
            </w:pict>
          </w:r>
        </w:p>
      </w:tc>
      <w:tc>
        <w:tcPr>
          <w:tcW w:w="4983" w:type="dxa"/>
          <w:gridSpan w:val="3"/>
        </w:tcPr>
        <w:p w:rsidR="003F7F02" w:rsidRDefault="003F7F02" w:rsidP="005B057F">
          <w:pPr>
            <w:pStyle w:val="Yltunniste"/>
          </w:pPr>
        </w:p>
      </w:tc>
    </w:tr>
    <w:tr w:rsidR="003F7F02">
      <w:trPr>
        <w:cantSplit/>
        <w:trHeight w:hRule="exact" w:val="220"/>
      </w:trPr>
      <w:tc>
        <w:tcPr>
          <w:tcW w:w="5190" w:type="dxa"/>
          <w:vMerge/>
        </w:tcPr>
        <w:p w:rsidR="003F7F02" w:rsidRDefault="003F7F02" w:rsidP="005B057F">
          <w:pPr>
            <w:pStyle w:val="Yltunniste"/>
          </w:pPr>
        </w:p>
      </w:tc>
      <w:tc>
        <w:tcPr>
          <w:tcW w:w="2629" w:type="dxa"/>
          <w:vMerge w:val="restart"/>
        </w:tcPr>
        <w:p w:rsidR="003F7F02" w:rsidRDefault="003F7F02" w:rsidP="005B057F">
          <w:pPr>
            <w:pStyle w:val="Yltunniste"/>
            <w:rPr>
              <w:b/>
            </w:rPr>
          </w:pPr>
        </w:p>
        <w:p w:rsidR="003F7F02" w:rsidRDefault="003F7F02" w:rsidP="005B057F">
          <w:pPr>
            <w:pStyle w:val="Yltunniste"/>
            <w:rPr>
              <w:b/>
            </w:rPr>
          </w:pPr>
        </w:p>
        <w:p w:rsidR="003F7F02" w:rsidRDefault="003F7F02" w:rsidP="005B057F">
          <w:pPr>
            <w:pStyle w:val="Yltunniste"/>
            <w:rPr>
              <w:b/>
            </w:rPr>
          </w:pPr>
        </w:p>
      </w:tc>
      <w:tc>
        <w:tcPr>
          <w:tcW w:w="1787" w:type="dxa"/>
        </w:tcPr>
        <w:p w:rsidR="003F7F02" w:rsidRPr="00810C35" w:rsidRDefault="00810C35" w:rsidP="005B057F">
          <w:pPr>
            <w:pStyle w:val="Yltunniste"/>
            <w:rPr>
              <w:b/>
            </w:rPr>
          </w:pPr>
          <w:r w:rsidRPr="00810C35">
            <w:rPr>
              <w:b/>
            </w:rPr>
            <w:t>LAUSUNTO</w:t>
          </w:r>
        </w:p>
      </w:tc>
      <w:tc>
        <w:tcPr>
          <w:tcW w:w="567" w:type="dxa"/>
        </w:tcPr>
        <w:p w:rsidR="003F7F02" w:rsidRDefault="003F7F02" w:rsidP="005B057F">
          <w:pPr>
            <w:pStyle w:val="Yltunniste"/>
          </w:pPr>
          <w:r>
            <w:rPr>
              <w:snapToGrid w:val="0"/>
            </w:rPr>
            <w:fldChar w:fldCharType="begin"/>
          </w:r>
          <w:r>
            <w:rPr>
              <w:snapToGrid w:val="0"/>
            </w:rPr>
            <w:instrText xml:space="preserve"> PAGE </w:instrText>
          </w:r>
          <w:r>
            <w:rPr>
              <w:snapToGrid w:val="0"/>
            </w:rPr>
            <w:fldChar w:fldCharType="separate"/>
          </w:r>
          <w:r w:rsidR="005B2421">
            <w:rPr>
              <w:noProof/>
              <w:snapToGrid w:val="0"/>
            </w:rPr>
            <w:t>1</w:t>
          </w:r>
          <w:r>
            <w:rPr>
              <w:snapToGrid w:val="0"/>
            </w:rPr>
            <w:fldChar w:fldCharType="end"/>
          </w:r>
          <w:r>
            <w:rPr>
              <w:snapToGrid w:val="0"/>
            </w:rPr>
            <w:t>(</w:t>
          </w:r>
          <w:r>
            <w:rPr>
              <w:snapToGrid w:val="0"/>
            </w:rPr>
            <w:fldChar w:fldCharType="begin"/>
          </w:r>
          <w:r>
            <w:rPr>
              <w:snapToGrid w:val="0"/>
            </w:rPr>
            <w:instrText xml:space="preserve"> NUMPAGES </w:instrText>
          </w:r>
          <w:r>
            <w:rPr>
              <w:snapToGrid w:val="0"/>
            </w:rPr>
            <w:fldChar w:fldCharType="separate"/>
          </w:r>
          <w:r w:rsidR="005B2421">
            <w:rPr>
              <w:noProof/>
              <w:snapToGrid w:val="0"/>
            </w:rPr>
            <w:t>2</w:t>
          </w:r>
          <w:r>
            <w:rPr>
              <w:snapToGrid w:val="0"/>
            </w:rPr>
            <w:fldChar w:fldCharType="end"/>
          </w:r>
          <w:r>
            <w:rPr>
              <w:snapToGrid w:val="0"/>
            </w:rPr>
            <w:t>)</w:t>
          </w:r>
        </w:p>
      </w:tc>
    </w:tr>
    <w:tr w:rsidR="003F7F02">
      <w:trPr>
        <w:cantSplit/>
        <w:trHeight w:hRule="exact" w:val="220"/>
      </w:trPr>
      <w:tc>
        <w:tcPr>
          <w:tcW w:w="5190" w:type="dxa"/>
          <w:vMerge/>
        </w:tcPr>
        <w:p w:rsidR="003F7F02" w:rsidRDefault="003F7F02" w:rsidP="005B057F">
          <w:pPr>
            <w:pStyle w:val="Yltunniste"/>
          </w:pPr>
        </w:p>
      </w:tc>
      <w:tc>
        <w:tcPr>
          <w:tcW w:w="2629" w:type="dxa"/>
          <w:vMerge/>
        </w:tcPr>
        <w:p w:rsidR="003F7F02" w:rsidRDefault="003F7F02" w:rsidP="005B057F">
          <w:pPr>
            <w:pStyle w:val="Yltunniste"/>
          </w:pPr>
        </w:p>
      </w:tc>
      <w:tc>
        <w:tcPr>
          <w:tcW w:w="2354" w:type="dxa"/>
          <w:gridSpan w:val="2"/>
          <w:vMerge w:val="restart"/>
        </w:tcPr>
        <w:p w:rsidR="003F7F02" w:rsidRDefault="003F7F02" w:rsidP="005B057F">
          <w:pPr>
            <w:pStyle w:val="Yltunniste"/>
          </w:pPr>
        </w:p>
      </w:tc>
    </w:tr>
    <w:tr w:rsidR="003F7F02">
      <w:trPr>
        <w:cantSplit/>
        <w:trHeight w:hRule="exact" w:val="220"/>
      </w:trPr>
      <w:tc>
        <w:tcPr>
          <w:tcW w:w="5190" w:type="dxa"/>
          <w:vMerge/>
        </w:tcPr>
        <w:p w:rsidR="003F7F02" w:rsidRDefault="003F7F02" w:rsidP="005B057F">
          <w:pPr>
            <w:pStyle w:val="Yltunniste"/>
          </w:pPr>
        </w:p>
      </w:tc>
      <w:tc>
        <w:tcPr>
          <w:tcW w:w="2629" w:type="dxa"/>
        </w:tcPr>
        <w:p w:rsidR="003F7F02" w:rsidRDefault="003F7F02" w:rsidP="005B057F">
          <w:pPr>
            <w:pStyle w:val="Yltunniste"/>
          </w:pPr>
          <w:r>
            <w:t>Tuomas Rytkönen</w:t>
          </w:r>
        </w:p>
      </w:tc>
      <w:tc>
        <w:tcPr>
          <w:tcW w:w="2354" w:type="dxa"/>
          <w:gridSpan w:val="2"/>
          <w:vMerge/>
        </w:tcPr>
        <w:p w:rsidR="003F7F02" w:rsidRDefault="003F7F02" w:rsidP="005B057F">
          <w:pPr>
            <w:pStyle w:val="Yltunniste"/>
          </w:pPr>
        </w:p>
      </w:tc>
    </w:tr>
    <w:tr w:rsidR="003F7F02">
      <w:trPr>
        <w:cantSplit/>
        <w:trHeight w:hRule="exact" w:val="220"/>
      </w:trPr>
      <w:tc>
        <w:tcPr>
          <w:tcW w:w="5190" w:type="dxa"/>
          <w:vMerge/>
        </w:tcPr>
        <w:p w:rsidR="003F7F02" w:rsidRDefault="003F7F02" w:rsidP="005B057F">
          <w:pPr>
            <w:pStyle w:val="Yltunniste"/>
          </w:pPr>
        </w:p>
      </w:tc>
      <w:tc>
        <w:tcPr>
          <w:tcW w:w="2629" w:type="dxa"/>
        </w:tcPr>
        <w:p w:rsidR="003F7F02" w:rsidRDefault="00810C35" w:rsidP="0089188E">
          <w:pPr>
            <w:pStyle w:val="Yltunniste"/>
          </w:pPr>
          <w:r>
            <w:t>23</w:t>
          </w:r>
          <w:r w:rsidR="00FA3C66">
            <w:t>.9.2016</w:t>
          </w:r>
        </w:p>
      </w:tc>
      <w:tc>
        <w:tcPr>
          <w:tcW w:w="2354" w:type="dxa"/>
          <w:gridSpan w:val="2"/>
        </w:tcPr>
        <w:p w:rsidR="003F7F02" w:rsidRDefault="003F7F02" w:rsidP="005B057F">
          <w:pPr>
            <w:pStyle w:val="Yltunniste"/>
          </w:pPr>
        </w:p>
      </w:tc>
    </w:tr>
    <w:tr w:rsidR="003F7F02">
      <w:trPr>
        <w:trHeight w:hRule="exact" w:val="400"/>
      </w:trPr>
      <w:tc>
        <w:tcPr>
          <w:tcW w:w="10173" w:type="dxa"/>
          <w:gridSpan w:val="4"/>
        </w:tcPr>
        <w:p w:rsidR="003F7F02" w:rsidRDefault="003F7F02" w:rsidP="005B057F">
          <w:pPr>
            <w:pStyle w:val="Yltunniste"/>
          </w:pPr>
        </w:p>
      </w:tc>
    </w:tr>
  </w:tbl>
  <w:p w:rsidR="003F7F02" w:rsidRDefault="003F7F02">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296"/>
    <w:rsid w:val="00001FB9"/>
    <w:rsid w:val="0001498E"/>
    <w:rsid w:val="000302AC"/>
    <w:rsid w:val="00055B9A"/>
    <w:rsid w:val="00066CF3"/>
    <w:rsid w:val="000709FD"/>
    <w:rsid w:val="00073AB1"/>
    <w:rsid w:val="000808E3"/>
    <w:rsid w:val="0009231F"/>
    <w:rsid w:val="00114518"/>
    <w:rsid w:val="0011533B"/>
    <w:rsid w:val="00123565"/>
    <w:rsid w:val="0012452F"/>
    <w:rsid w:val="00125251"/>
    <w:rsid w:val="00126605"/>
    <w:rsid w:val="00182E21"/>
    <w:rsid w:val="00190D40"/>
    <w:rsid w:val="00195A65"/>
    <w:rsid w:val="00196F07"/>
    <w:rsid w:val="001A13AA"/>
    <w:rsid w:val="001A2534"/>
    <w:rsid w:val="001A6ADA"/>
    <w:rsid w:val="001A7132"/>
    <w:rsid w:val="001B48A6"/>
    <w:rsid w:val="001C4835"/>
    <w:rsid w:val="001C4B4D"/>
    <w:rsid w:val="001D5214"/>
    <w:rsid w:val="001E0695"/>
    <w:rsid w:val="001E06AA"/>
    <w:rsid w:val="001F7E9A"/>
    <w:rsid w:val="00204C8E"/>
    <w:rsid w:val="002055F9"/>
    <w:rsid w:val="00210DFB"/>
    <w:rsid w:val="0021472A"/>
    <w:rsid w:val="00232A0E"/>
    <w:rsid w:val="002346E2"/>
    <w:rsid w:val="0023490F"/>
    <w:rsid w:val="002719D0"/>
    <w:rsid w:val="002B37B5"/>
    <w:rsid w:val="002B5297"/>
    <w:rsid w:val="002C6FA9"/>
    <w:rsid w:val="002D067D"/>
    <w:rsid w:val="002E4F44"/>
    <w:rsid w:val="002E5859"/>
    <w:rsid w:val="002F165E"/>
    <w:rsid w:val="002F2645"/>
    <w:rsid w:val="00311D41"/>
    <w:rsid w:val="00331EFE"/>
    <w:rsid w:val="00344759"/>
    <w:rsid w:val="00346783"/>
    <w:rsid w:val="003517B3"/>
    <w:rsid w:val="003552B2"/>
    <w:rsid w:val="00356379"/>
    <w:rsid w:val="00366C3F"/>
    <w:rsid w:val="0037341E"/>
    <w:rsid w:val="00374296"/>
    <w:rsid w:val="003756FE"/>
    <w:rsid w:val="0038484A"/>
    <w:rsid w:val="00386C94"/>
    <w:rsid w:val="00386E47"/>
    <w:rsid w:val="00387957"/>
    <w:rsid w:val="00387A7A"/>
    <w:rsid w:val="00391DC0"/>
    <w:rsid w:val="00395D67"/>
    <w:rsid w:val="003A0954"/>
    <w:rsid w:val="003A369F"/>
    <w:rsid w:val="003B0A65"/>
    <w:rsid w:val="003B1C36"/>
    <w:rsid w:val="003B2B13"/>
    <w:rsid w:val="003B4B7E"/>
    <w:rsid w:val="003C73BA"/>
    <w:rsid w:val="003C7AD5"/>
    <w:rsid w:val="003D304A"/>
    <w:rsid w:val="003D5013"/>
    <w:rsid w:val="003E2B42"/>
    <w:rsid w:val="003E3F83"/>
    <w:rsid w:val="003E7585"/>
    <w:rsid w:val="003F54AA"/>
    <w:rsid w:val="003F7F02"/>
    <w:rsid w:val="0040035E"/>
    <w:rsid w:val="00410999"/>
    <w:rsid w:val="00417D10"/>
    <w:rsid w:val="0042507A"/>
    <w:rsid w:val="00425619"/>
    <w:rsid w:val="00427E78"/>
    <w:rsid w:val="0043734D"/>
    <w:rsid w:val="004373E5"/>
    <w:rsid w:val="00455BEF"/>
    <w:rsid w:val="00471018"/>
    <w:rsid w:val="00482FD1"/>
    <w:rsid w:val="0049479F"/>
    <w:rsid w:val="00497EF3"/>
    <w:rsid w:val="004A1114"/>
    <w:rsid w:val="004A4FD1"/>
    <w:rsid w:val="004A640D"/>
    <w:rsid w:val="004B1926"/>
    <w:rsid w:val="004B3614"/>
    <w:rsid w:val="004B3FB4"/>
    <w:rsid w:val="004C15DE"/>
    <w:rsid w:val="004D6D01"/>
    <w:rsid w:val="004F466B"/>
    <w:rsid w:val="004F6506"/>
    <w:rsid w:val="004F75EA"/>
    <w:rsid w:val="004F7C96"/>
    <w:rsid w:val="00500A60"/>
    <w:rsid w:val="00507E33"/>
    <w:rsid w:val="005159A6"/>
    <w:rsid w:val="00524B14"/>
    <w:rsid w:val="00530538"/>
    <w:rsid w:val="005354F0"/>
    <w:rsid w:val="00551581"/>
    <w:rsid w:val="00561993"/>
    <w:rsid w:val="0056457C"/>
    <w:rsid w:val="0057172B"/>
    <w:rsid w:val="00585269"/>
    <w:rsid w:val="00596518"/>
    <w:rsid w:val="005B057F"/>
    <w:rsid w:val="005B06ED"/>
    <w:rsid w:val="005B129A"/>
    <w:rsid w:val="005B2421"/>
    <w:rsid w:val="005F199B"/>
    <w:rsid w:val="005F5B1A"/>
    <w:rsid w:val="00604EAF"/>
    <w:rsid w:val="006326EF"/>
    <w:rsid w:val="00632EE7"/>
    <w:rsid w:val="0066521D"/>
    <w:rsid w:val="00681929"/>
    <w:rsid w:val="00687984"/>
    <w:rsid w:val="00690B2D"/>
    <w:rsid w:val="006A1925"/>
    <w:rsid w:val="006A6423"/>
    <w:rsid w:val="006B1280"/>
    <w:rsid w:val="006C3292"/>
    <w:rsid w:val="006D0F76"/>
    <w:rsid w:val="0072119C"/>
    <w:rsid w:val="00734A1A"/>
    <w:rsid w:val="007844F5"/>
    <w:rsid w:val="007A0410"/>
    <w:rsid w:val="007A2CB9"/>
    <w:rsid w:val="007A2E8D"/>
    <w:rsid w:val="007A3559"/>
    <w:rsid w:val="007B0FB0"/>
    <w:rsid w:val="007B3288"/>
    <w:rsid w:val="007F1CFD"/>
    <w:rsid w:val="00810C35"/>
    <w:rsid w:val="00821804"/>
    <w:rsid w:val="00832C73"/>
    <w:rsid w:val="00835220"/>
    <w:rsid w:val="0085201B"/>
    <w:rsid w:val="00855967"/>
    <w:rsid w:val="00870E83"/>
    <w:rsid w:val="00871B94"/>
    <w:rsid w:val="00874B38"/>
    <w:rsid w:val="008758D4"/>
    <w:rsid w:val="0089188E"/>
    <w:rsid w:val="0089714C"/>
    <w:rsid w:val="008A033F"/>
    <w:rsid w:val="008B3E69"/>
    <w:rsid w:val="008E08E4"/>
    <w:rsid w:val="008F38A7"/>
    <w:rsid w:val="008F750C"/>
    <w:rsid w:val="00905F10"/>
    <w:rsid w:val="00910DDB"/>
    <w:rsid w:val="009148EF"/>
    <w:rsid w:val="0091501D"/>
    <w:rsid w:val="0091576A"/>
    <w:rsid w:val="00921320"/>
    <w:rsid w:val="009661B3"/>
    <w:rsid w:val="00980C7E"/>
    <w:rsid w:val="009A16BF"/>
    <w:rsid w:val="009C0621"/>
    <w:rsid w:val="009D432C"/>
    <w:rsid w:val="009D65A1"/>
    <w:rsid w:val="009E506D"/>
    <w:rsid w:val="009F05E0"/>
    <w:rsid w:val="009F5244"/>
    <w:rsid w:val="00A3323D"/>
    <w:rsid w:val="00A3662C"/>
    <w:rsid w:val="00A43C60"/>
    <w:rsid w:val="00A4669A"/>
    <w:rsid w:val="00A5324C"/>
    <w:rsid w:val="00A60CBF"/>
    <w:rsid w:val="00A72BD1"/>
    <w:rsid w:val="00A77D45"/>
    <w:rsid w:val="00A8371D"/>
    <w:rsid w:val="00A96ABC"/>
    <w:rsid w:val="00AD129C"/>
    <w:rsid w:val="00AD53DE"/>
    <w:rsid w:val="00AD647E"/>
    <w:rsid w:val="00AD6CB4"/>
    <w:rsid w:val="00AE56EE"/>
    <w:rsid w:val="00AE7725"/>
    <w:rsid w:val="00B33299"/>
    <w:rsid w:val="00B34EE2"/>
    <w:rsid w:val="00B52E9D"/>
    <w:rsid w:val="00B53C80"/>
    <w:rsid w:val="00B81ECD"/>
    <w:rsid w:val="00B92314"/>
    <w:rsid w:val="00BA07AF"/>
    <w:rsid w:val="00BB419C"/>
    <w:rsid w:val="00BE759C"/>
    <w:rsid w:val="00C061AE"/>
    <w:rsid w:val="00C220CE"/>
    <w:rsid w:val="00C334EB"/>
    <w:rsid w:val="00C458CC"/>
    <w:rsid w:val="00C60475"/>
    <w:rsid w:val="00C66481"/>
    <w:rsid w:val="00C742B8"/>
    <w:rsid w:val="00C81161"/>
    <w:rsid w:val="00C814BA"/>
    <w:rsid w:val="00C9180D"/>
    <w:rsid w:val="00CE0ADA"/>
    <w:rsid w:val="00CF1DE9"/>
    <w:rsid w:val="00D001BF"/>
    <w:rsid w:val="00D31725"/>
    <w:rsid w:val="00D353CD"/>
    <w:rsid w:val="00D50660"/>
    <w:rsid w:val="00D5086B"/>
    <w:rsid w:val="00D57C48"/>
    <w:rsid w:val="00D62749"/>
    <w:rsid w:val="00D65B5A"/>
    <w:rsid w:val="00D8142F"/>
    <w:rsid w:val="00D907C8"/>
    <w:rsid w:val="00DB160A"/>
    <w:rsid w:val="00DB5491"/>
    <w:rsid w:val="00DC2FF3"/>
    <w:rsid w:val="00DC5BBB"/>
    <w:rsid w:val="00DC61B1"/>
    <w:rsid w:val="00DD6583"/>
    <w:rsid w:val="00DF25A5"/>
    <w:rsid w:val="00DF4D07"/>
    <w:rsid w:val="00E043A8"/>
    <w:rsid w:val="00E36E4A"/>
    <w:rsid w:val="00E430EC"/>
    <w:rsid w:val="00E45F2F"/>
    <w:rsid w:val="00E513B7"/>
    <w:rsid w:val="00E653A6"/>
    <w:rsid w:val="00E72F96"/>
    <w:rsid w:val="00E93022"/>
    <w:rsid w:val="00EA5AE2"/>
    <w:rsid w:val="00EB1591"/>
    <w:rsid w:val="00EB72F9"/>
    <w:rsid w:val="00EC177F"/>
    <w:rsid w:val="00EC50EA"/>
    <w:rsid w:val="00EF2F69"/>
    <w:rsid w:val="00EF3632"/>
    <w:rsid w:val="00F10CE8"/>
    <w:rsid w:val="00F1212A"/>
    <w:rsid w:val="00F14C34"/>
    <w:rsid w:val="00F26957"/>
    <w:rsid w:val="00F30606"/>
    <w:rsid w:val="00F430A6"/>
    <w:rsid w:val="00F527C5"/>
    <w:rsid w:val="00F71108"/>
    <w:rsid w:val="00F94728"/>
    <w:rsid w:val="00FA3C66"/>
    <w:rsid w:val="00FA40FB"/>
    <w:rsid w:val="00FA64EF"/>
    <w:rsid w:val="00FA7108"/>
    <w:rsid w:val="00FC08D4"/>
    <w:rsid w:val="00FD192F"/>
    <w:rsid w:val="00FD2B0D"/>
    <w:rsid w:val="00FD51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5159A6"/>
    <w:rPr>
      <w:rFonts w:ascii="Verdana" w:hAnsi="Verdana"/>
      <w:szCs w:val="19"/>
    </w:rPr>
  </w:style>
  <w:style w:type="paragraph" w:styleId="Otsikko1">
    <w:name w:val="heading 1"/>
    <w:next w:val="Leipteksti"/>
    <w:qFormat/>
    <w:pPr>
      <w:keepNext/>
      <w:outlineLvl w:val="0"/>
    </w:pPr>
    <w:rPr>
      <w:rFonts w:ascii="Verdana" w:hAnsi="Verdana" w:cs="Arial"/>
      <w:b/>
      <w:bCs/>
      <w:kern w:val="32"/>
      <w:sz w:val="28"/>
      <w:szCs w:val="32"/>
    </w:rPr>
  </w:style>
  <w:style w:type="paragraph" w:styleId="Otsikko2">
    <w:name w:val="heading 2"/>
    <w:basedOn w:val="Otsikko1"/>
    <w:next w:val="Leipteksti"/>
    <w:qFormat/>
    <w:pPr>
      <w:outlineLvl w:val="1"/>
    </w:pPr>
    <w:rPr>
      <w:bCs w:val="0"/>
      <w:iCs/>
      <w:sz w:val="20"/>
      <w:szCs w:val="28"/>
    </w:rPr>
  </w:style>
  <w:style w:type="paragraph" w:styleId="Otsikko3">
    <w:name w:val="heading 3"/>
    <w:basedOn w:val="Otsikko1"/>
    <w:next w:val="Leipteksti"/>
    <w:qFormat/>
    <w:pPr>
      <w:outlineLvl w:val="2"/>
    </w:pPr>
    <w:rPr>
      <w:bCs w:val="0"/>
      <w:sz w:val="20"/>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sz w:val="16"/>
    </w:rPr>
  </w:style>
  <w:style w:type="paragraph" w:styleId="Leipteksti">
    <w:name w:val="Body Text"/>
    <w:basedOn w:val="Normaali"/>
    <w:link w:val="LeiptekstiChar"/>
  </w:style>
  <w:style w:type="paragraph" w:styleId="Alatunniste">
    <w:name w:val="footer"/>
    <w:rsid w:val="00387957"/>
    <w:pPr>
      <w:tabs>
        <w:tab w:val="center" w:pos="4819"/>
        <w:tab w:val="right" w:pos="9638"/>
      </w:tabs>
      <w:spacing w:line="220" w:lineRule="atLeast"/>
      <w:ind w:left="5783"/>
    </w:pPr>
    <w:rPr>
      <w:rFonts w:ascii="Verdana" w:hAnsi="Verdana"/>
      <w:sz w:val="16"/>
      <w:szCs w:val="16"/>
    </w:rPr>
  </w:style>
  <w:style w:type="character" w:customStyle="1" w:styleId="LeiptekstiChar">
    <w:name w:val="Leipäteksti Char"/>
    <w:link w:val="Leipteksti"/>
    <w:rsid w:val="004B3614"/>
    <w:rPr>
      <w:rFonts w:ascii="Verdana" w:hAnsi="Verdana"/>
      <w:szCs w:val="19"/>
    </w:rPr>
  </w:style>
  <w:style w:type="paragraph" w:styleId="Seliteteksti">
    <w:name w:val="Balloon Text"/>
    <w:basedOn w:val="Normaali"/>
    <w:link w:val="SelitetekstiChar"/>
    <w:rsid w:val="00507E33"/>
    <w:rPr>
      <w:rFonts w:ascii="Tahoma" w:hAnsi="Tahoma" w:cs="Tahoma"/>
      <w:sz w:val="16"/>
      <w:szCs w:val="16"/>
    </w:rPr>
  </w:style>
  <w:style w:type="character" w:customStyle="1" w:styleId="SelitetekstiChar">
    <w:name w:val="Seliteteksti Char"/>
    <w:link w:val="Seliteteksti"/>
    <w:rsid w:val="00507E33"/>
    <w:rPr>
      <w:rFonts w:ascii="Tahoma" w:hAnsi="Tahoma" w:cs="Tahoma"/>
      <w:sz w:val="16"/>
      <w:szCs w:val="16"/>
    </w:rPr>
  </w:style>
  <w:style w:type="paragraph" w:styleId="Luettelokappale">
    <w:name w:val="List Paragraph"/>
    <w:basedOn w:val="Normaali"/>
    <w:uiPriority w:val="34"/>
    <w:qFormat/>
    <w:rsid w:val="00DF4D07"/>
    <w:pPr>
      <w:ind w:left="1304"/>
    </w:pPr>
  </w:style>
  <w:style w:type="character" w:styleId="Hyperlinkki">
    <w:name w:val="Hyperlink"/>
    <w:rsid w:val="00A332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743102">
      <w:bodyDiv w:val="1"/>
      <w:marLeft w:val="0"/>
      <w:marRight w:val="0"/>
      <w:marTop w:val="0"/>
      <w:marBottom w:val="0"/>
      <w:divBdr>
        <w:top w:val="none" w:sz="0" w:space="0" w:color="auto"/>
        <w:left w:val="none" w:sz="0" w:space="0" w:color="auto"/>
        <w:bottom w:val="none" w:sz="0" w:space="0" w:color="auto"/>
        <w:right w:val="none" w:sz="0" w:space="0" w:color="auto"/>
      </w:divBdr>
    </w:div>
    <w:div w:id="1396395024">
      <w:bodyDiv w:val="1"/>
      <w:marLeft w:val="0"/>
      <w:marRight w:val="0"/>
      <w:marTop w:val="0"/>
      <w:marBottom w:val="0"/>
      <w:divBdr>
        <w:top w:val="none" w:sz="0" w:space="0" w:color="auto"/>
        <w:left w:val="none" w:sz="0" w:space="0" w:color="auto"/>
        <w:bottom w:val="none" w:sz="0" w:space="0" w:color="auto"/>
        <w:right w:val="none" w:sz="0" w:space="0" w:color="auto"/>
      </w:divBdr>
    </w:div>
    <w:div w:id="20870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keusministerio@om.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omas.rytkonen@energia.f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16337-F4EE-4A76-95E4-DC0F1B6E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464</Words>
  <Characters>3761</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kirjemallipohja</vt:lpstr>
    </vt:vector>
  </TitlesOfParts>
  <Company>Energiateollisuus</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kirjemallipohja</dc:title>
  <dc:creator>Rytkönen Tuomas</dc:creator>
  <cp:lastModifiedBy>Rytkönen Tuomas</cp:lastModifiedBy>
  <cp:revision>15</cp:revision>
  <cp:lastPrinted>2016-04-28T14:24:00Z</cp:lastPrinted>
  <dcterms:created xsi:type="dcterms:W3CDTF">2016-09-23T10:15:00Z</dcterms:created>
  <dcterms:modified xsi:type="dcterms:W3CDTF">2016-09-23T13:18:00Z</dcterms:modified>
</cp:coreProperties>
</file>