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62" w:rsidRPr="004B2971" w:rsidRDefault="002A1462" w:rsidP="00777B02">
      <w:pPr>
        <w:pStyle w:val="Header"/>
        <w:rPr>
          <w:b/>
          <w:sz w:val="28"/>
          <w:szCs w:val="28"/>
        </w:rPr>
      </w:pPr>
    </w:p>
    <w:p w:rsidR="002A1462" w:rsidRPr="004B2971" w:rsidRDefault="002A1462" w:rsidP="00777B02">
      <w:pPr>
        <w:pStyle w:val="Header"/>
        <w:rPr>
          <w:b/>
          <w:sz w:val="28"/>
          <w:szCs w:val="28"/>
        </w:rPr>
      </w:pPr>
    </w:p>
    <w:p w:rsidR="002A1462" w:rsidRPr="004B2971" w:rsidRDefault="002A1462" w:rsidP="00777B02">
      <w:pPr>
        <w:pStyle w:val="Header"/>
        <w:rPr>
          <w:b/>
          <w:sz w:val="28"/>
          <w:szCs w:val="28"/>
        </w:rPr>
      </w:pPr>
    </w:p>
    <w:p w:rsidR="002A1462" w:rsidRPr="00777B02" w:rsidRDefault="002A1462" w:rsidP="00777B02">
      <w:pPr>
        <w:pStyle w:val="Header"/>
      </w:pPr>
      <w:r w:rsidRPr="00777B02">
        <w:t>Oikeusministeriö</w:t>
      </w:r>
    </w:p>
    <w:p w:rsidR="002A1462" w:rsidRDefault="002A1462" w:rsidP="00777B02">
      <w:pPr>
        <w:pStyle w:val="Header"/>
      </w:pPr>
      <w:r>
        <w:t>Lainvalmisteluosasto</w:t>
      </w:r>
    </w:p>
    <w:p w:rsidR="002A1462" w:rsidRDefault="002A1462" w:rsidP="00777B02">
      <w:pPr>
        <w:pStyle w:val="Header"/>
      </w:pPr>
      <w:r>
        <w:t>PL 25</w:t>
      </w:r>
    </w:p>
    <w:p w:rsidR="002A1462" w:rsidRPr="00777B02" w:rsidRDefault="002A1462" w:rsidP="00777B02">
      <w:pPr>
        <w:pStyle w:val="Header"/>
      </w:pPr>
      <w:r>
        <w:t>00023 Valtioneuvosto</w:t>
      </w:r>
    </w:p>
    <w:p w:rsidR="002A1462" w:rsidRDefault="002A1462" w:rsidP="00777B02">
      <w:pPr>
        <w:pStyle w:val="Header"/>
      </w:pPr>
    </w:p>
    <w:p w:rsidR="002A1462" w:rsidRDefault="002A1462" w:rsidP="00777B02">
      <w:pPr>
        <w:pStyle w:val="Header"/>
      </w:pPr>
    </w:p>
    <w:p w:rsidR="002A1462" w:rsidRPr="00777B02" w:rsidRDefault="002A1462" w:rsidP="00777B02">
      <w:pPr>
        <w:pStyle w:val="Header"/>
      </w:pPr>
    </w:p>
    <w:p w:rsidR="002A1462" w:rsidRDefault="002A1462" w:rsidP="00777B02">
      <w:r>
        <w:t>Oikeusministeriön lausuntopyyntö Turun kaupungille 23.5.2012 OM9/41/2012</w:t>
      </w:r>
    </w:p>
    <w:p w:rsidR="002A1462" w:rsidRDefault="002A1462" w:rsidP="00777B02"/>
    <w:p w:rsidR="002A1462" w:rsidRPr="004B2971" w:rsidRDefault="002A1462" w:rsidP="00777B02"/>
    <w:p w:rsidR="002A1462" w:rsidRDefault="002A1462" w:rsidP="00777B02"/>
    <w:p w:rsidR="002A1462" w:rsidRPr="004B2971" w:rsidRDefault="002A1462" w:rsidP="00777B02"/>
    <w:p w:rsidR="002A1462" w:rsidRPr="00FD1AC4" w:rsidRDefault="002A1462" w:rsidP="00777B02">
      <w:pPr>
        <w:rPr>
          <w:b/>
          <w:sz w:val="28"/>
          <w:szCs w:val="28"/>
        </w:rPr>
      </w:pPr>
      <w:r w:rsidRPr="00FD1AC4">
        <w:rPr>
          <w:b/>
          <w:sz w:val="24"/>
          <w:szCs w:val="24"/>
        </w:rPr>
        <w:t>Lausunto luonnoksesta hallituksen esitykseksi laiksi pysäköinninvalvonnasta annetun lain muuttamisesta ja laiksi pysäköinninvalvontaluvasta ja valvonta-avustajista</w:t>
      </w:r>
    </w:p>
    <w:p w:rsidR="002A1462" w:rsidRDefault="002A1462" w:rsidP="00777B02">
      <w:pPr>
        <w:rPr>
          <w:b/>
          <w:sz w:val="28"/>
          <w:szCs w:val="28"/>
        </w:rPr>
      </w:pPr>
    </w:p>
    <w:p w:rsidR="002A1462" w:rsidRPr="00BA1D3B" w:rsidRDefault="002A1462" w:rsidP="00777B02">
      <w:pPr>
        <w:rPr>
          <w:b/>
          <w:sz w:val="28"/>
          <w:szCs w:val="28"/>
        </w:rPr>
      </w:pPr>
    </w:p>
    <w:p w:rsidR="002A1462" w:rsidRPr="004476A6" w:rsidRDefault="002A1462" w:rsidP="00777B02">
      <w:pPr>
        <w:ind w:left="1304"/>
      </w:pPr>
      <w:r w:rsidRPr="004476A6">
        <w:t>Oikeusministeriön lausu</w:t>
      </w:r>
      <w:r>
        <w:t>ntopyyntöön</w:t>
      </w:r>
      <w:r w:rsidRPr="004476A6">
        <w:t xml:space="preserve"> </w:t>
      </w:r>
      <w:r>
        <w:t>Turun kaupunki vastaa</w:t>
      </w:r>
      <w:r w:rsidRPr="004476A6">
        <w:t xml:space="preserve"> kunnioittaen</w:t>
      </w:r>
      <w:r>
        <w:t xml:space="preserve"> </w:t>
      </w:r>
      <w:r w:rsidRPr="004476A6">
        <w:t>seuraavaa:</w:t>
      </w:r>
    </w:p>
    <w:p w:rsidR="002A1462" w:rsidRDefault="002A1462" w:rsidP="00777B02">
      <w:pPr>
        <w:ind w:left="1304"/>
      </w:pPr>
    </w:p>
    <w:p w:rsidR="002A1462" w:rsidRPr="004476A6" w:rsidRDefault="002A1462" w:rsidP="00777B02">
      <w:pPr>
        <w:ind w:left="1304"/>
      </w:pPr>
    </w:p>
    <w:p w:rsidR="002A1462" w:rsidRPr="0059752B" w:rsidRDefault="002A1462" w:rsidP="0059752B">
      <w:pPr>
        <w:pStyle w:val="ListParagraph"/>
        <w:numPr>
          <w:ilvl w:val="0"/>
          <w:numId w:val="37"/>
        </w:numPr>
        <w:rPr>
          <w:b/>
        </w:rPr>
      </w:pPr>
      <w:r w:rsidRPr="0059752B">
        <w:rPr>
          <w:b/>
        </w:rPr>
        <w:t>Yleistä</w:t>
      </w:r>
    </w:p>
    <w:p w:rsidR="002A1462" w:rsidRDefault="002A1462" w:rsidP="00777B02">
      <w:pPr>
        <w:ind w:left="1304"/>
        <w:rPr>
          <w:b/>
        </w:rPr>
      </w:pPr>
    </w:p>
    <w:p w:rsidR="002A1462" w:rsidRDefault="002A1462" w:rsidP="00777B02">
      <w:pPr>
        <w:ind w:left="1304"/>
      </w:pPr>
      <w:r w:rsidRPr="003E2966">
        <w:t>Yksityistä pysäköinninvalvontaa koskevan lainsäädännön säätäminen on nykytilanteessa erittäin tarpeellista. Tulkinnallisessa ja sekavassa tilanteessa alalla toimivien yritysten h</w:t>
      </w:r>
      <w:r w:rsidRPr="003E2966">
        <w:t>y</w:t>
      </w:r>
      <w:r w:rsidRPr="003E2966">
        <w:t>vinkin erilaiset toimintamallit ja tavoitteet ovat lisänneet erityisesti neuvontatyötä kunnall</w:t>
      </w:r>
      <w:r w:rsidRPr="003E2966">
        <w:t>i</w:t>
      </w:r>
      <w:r w:rsidRPr="003E2966">
        <w:t>sessa pysäköinninvalvonnassa.</w:t>
      </w:r>
      <w:r>
        <w:t xml:space="preserve"> Pysäköijien oikeusturva on kyseenalainen eivätkä peru</w:t>
      </w:r>
      <w:r>
        <w:t>s</w:t>
      </w:r>
      <w:r>
        <w:t>telut yksityisen valvonnan tarpeelle ole kaikilta osin kestäviä ja yhdensuuntaisia vira</w:t>
      </w:r>
      <w:r>
        <w:t>n</w:t>
      </w:r>
      <w:r>
        <w:t>omaisvalvonnan tavoitteiden ja perusteiden kanssa.</w:t>
      </w:r>
    </w:p>
    <w:p w:rsidR="002A1462" w:rsidRDefault="002A1462" w:rsidP="00777B02">
      <w:pPr>
        <w:ind w:left="1304"/>
      </w:pPr>
    </w:p>
    <w:p w:rsidR="002A1462" w:rsidRDefault="002A1462" w:rsidP="00777B02">
      <w:pPr>
        <w:ind w:left="1304"/>
      </w:pPr>
      <w:r>
        <w:t>Ehdotetut muutokset pysäköinninvalvonnasta annettuun lakiin sekä ehdotusta uudesta pysäköinninvalvontalupaa ja valvonta-avustajia koskevasta laista ovat tarpeellisia ja sääntelevät valvontatoimintaa toivottavaan suuntaan.</w:t>
      </w:r>
    </w:p>
    <w:p w:rsidR="002A1462" w:rsidRDefault="002A1462" w:rsidP="0059752B"/>
    <w:p w:rsidR="002A1462" w:rsidRPr="0059752B" w:rsidRDefault="002A1462" w:rsidP="0059752B">
      <w:pPr>
        <w:pStyle w:val="ListParagraph"/>
        <w:numPr>
          <w:ilvl w:val="0"/>
          <w:numId w:val="37"/>
        </w:numPr>
        <w:rPr>
          <w:b/>
        </w:rPr>
      </w:pPr>
      <w:r w:rsidRPr="0059752B">
        <w:rPr>
          <w:b/>
        </w:rPr>
        <w:t>Laki pysäköinninvalvonnasta</w:t>
      </w:r>
    </w:p>
    <w:p w:rsidR="002A1462" w:rsidRDefault="002A1462" w:rsidP="0059752B">
      <w:pPr>
        <w:pStyle w:val="ListParagraph"/>
        <w:ind w:left="1304"/>
      </w:pPr>
    </w:p>
    <w:p w:rsidR="002A1462" w:rsidRDefault="002A1462" w:rsidP="0059752B">
      <w:pPr>
        <w:pStyle w:val="ListParagraph"/>
        <w:ind w:left="1304"/>
      </w:pPr>
      <w:r>
        <w:t>10a §</w:t>
      </w:r>
    </w:p>
    <w:p w:rsidR="002A1462" w:rsidRDefault="002A1462" w:rsidP="0059752B">
      <w:pPr>
        <w:pStyle w:val="ListParagraph"/>
        <w:ind w:left="1304"/>
      </w:pPr>
    </w:p>
    <w:p w:rsidR="002A1462" w:rsidRDefault="002A1462" w:rsidP="00142D37">
      <w:pPr>
        <w:pStyle w:val="ListParagraph"/>
        <w:ind w:left="1304"/>
      </w:pPr>
      <w:r>
        <w:t xml:space="preserve">Pykälän 1 momentin mukaan kunnallinen pysäköinninvalvoja </w:t>
      </w:r>
      <w:r w:rsidRPr="0059752B">
        <w:rPr>
          <w:b/>
        </w:rPr>
        <w:t>voi</w:t>
      </w:r>
      <w:r>
        <w:t xml:space="preserve"> hakemuksesta valtuu</w:t>
      </w:r>
      <w:r>
        <w:t>t</w:t>
      </w:r>
      <w:r>
        <w:t>taa ehdotetussa pysäköinninvalvontaluvasta ja valvonta-avustajista annetussa laissa ta</w:t>
      </w:r>
      <w:r>
        <w:t>r</w:t>
      </w:r>
      <w:r>
        <w:t xml:space="preserve">koitetun pysäköinninvalvontaluvan haltijan </w:t>
      </w:r>
      <w:r w:rsidRPr="004825FD">
        <w:t>avustamaan</w:t>
      </w:r>
      <w:r>
        <w:t xml:space="preserve"> kunnallista pysäköinninvalvojaa pysäköinninvalvonnassa tietyllä </w:t>
      </w:r>
      <w:r w:rsidRPr="00142D37">
        <w:rPr>
          <w:b/>
        </w:rPr>
        <w:t>yksityisellä alueella</w:t>
      </w:r>
      <w:r>
        <w:t xml:space="preserve"> ja maastossa.</w:t>
      </w:r>
    </w:p>
    <w:p w:rsidR="002A1462" w:rsidRDefault="002A1462" w:rsidP="00142D37">
      <w:pPr>
        <w:pStyle w:val="ListParagraph"/>
        <w:ind w:left="1304"/>
      </w:pPr>
    </w:p>
    <w:p w:rsidR="002A1462" w:rsidRDefault="002A1462" w:rsidP="00142D37">
      <w:pPr>
        <w:pStyle w:val="ListParagraph"/>
        <w:ind w:left="1304"/>
      </w:pPr>
      <w:r>
        <w:t>Säännöksen lähtökohta on, että oikeudellista velvollisuutta valtuutuksen antamiseen ei v</w:t>
      </w:r>
      <w:r>
        <w:t>i</w:t>
      </w:r>
      <w:r>
        <w:t>ranomaisella ole. Tämä on johdonmukaista myös siitä lähtökohdasta, että kyse on vira</w:t>
      </w:r>
      <w:r>
        <w:t>n</w:t>
      </w:r>
      <w:r>
        <w:t>omaistoimintaa avustavasta ja täydentävästä toiminnasta. Tällöin harkintavalta avustam</w:t>
      </w:r>
      <w:r>
        <w:t>i</w:t>
      </w:r>
      <w:r>
        <w:t>sen tarpeesta pitäisi olla avustettavalla viranomaisella.</w:t>
      </w:r>
    </w:p>
    <w:p w:rsidR="002A1462" w:rsidRDefault="002A1462" w:rsidP="00142D37">
      <w:pPr>
        <w:pStyle w:val="ListParagraph"/>
        <w:ind w:left="1304"/>
      </w:pPr>
    </w:p>
    <w:p w:rsidR="002A1462" w:rsidRDefault="002A1462" w:rsidP="00142D37">
      <w:pPr>
        <w:pStyle w:val="ListParagraph"/>
        <w:ind w:left="1304"/>
      </w:pPr>
      <w:r>
        <w:t xml:space="preserve">Pykälän 3 momentissa todetaan, että harkittaessa valtuutuksen antamista </w:t>
      </w:r>
      <w:r w:rsidRPr="00142D37">
        <w:rPr>
          <w:b/>
        </w:rPr>
        <w:t xml:space="preserve">tulee ottaa </w:t>
      </w:r>
      <w:r w:rsidRPr="00142D37">
        <w:t>huomioon</w:t>
      </w:r>
      <w:r>
        <w:t xml:space="preserve"> valvonnan tarve yksityisellä alueella ja maastossa sekä viranomaisen edell</w:t>
      </w:r>
      <w:r>
        <w:t>y</w:t>
      </w:r>
      <w:r>
        <w:t>tykset huolehtia valvonnasta näillä alueilla. Sanamuoto viittaisi tässä siihen, että harkinta ei kuitenkaan olisi täysin vapaata. Jos on olemassa valvonnan tarve jota viranomainen ei pysty täyttämään, tosiasiallisesti ei ole mahdollisuutta kieltäytyä valtuutuksen antamise</w:t>
      </w:r>
      <w:r>
        <w:t>s</w:t>
      </w:r>
      <w:r>
        <w:t>ta. Erityisesti valvonnan tarpeen määrittely voi käytännössä olla vaikeaa ja yksityisen al</w:t>
      </w:r>
      <w:r>
        <w:t>u</w:t>
      </w:r>
      <w:r>
        <w:t>een omistajilla saattaa olla erilainen käsitys tarpeesta kuin kunnallisella pysäköinninvalv</w:t>
      </w:r>
      <w:r>
        <w:t>o</w:t>
      </w:r>
      <w:r>
        <w:t>jalla. Samoin riittävän valvonnan käsitykset saattavat synnyttää erimielisyyksiä. Jotta mahdollisimman monelta epäselvyyksistä johtuvalta valitusprosessilta valtuutuksen osalta vältytään, ehdotetaan, että valtuutuksen antamisen kriteerejä tarkennetaan ja lisätään p</w:t>
      </w:r>
      <w:r>
        <w:t>e</w:t>
      </w:r>
      <w:r>
        <w:t>rusteluihin. Esimerkiksi saattaisi olla tarve antaa valtakirja rajoitettuna tiettyyn vuoroka</w:t>
      </w:r>
      <w:r>
        <w:t>u</w:t>
      </w:r>
      <w:r>
        <w:t>denaikaan tai tiettyihin viikonpäiviin, kuten yöaikaan tai viikonloppuun. Mikäli on tarkoite</w:t>
      </w:r>
      <w:r>
        <w:t>t</w:t>
      </w:r>
      <w:r>
        <w:t>tu, että kunta ja kunnallinen pysäköinninvalvoja voi vapaasti päättää jopa siitä, halutaa</w:t>
      </w:r>
      <w:r>
        <w:t>n</w:t>
      </w:r>
      <w:r>
        <w:t>ko ylipäätään valvonnassa käyttää avustajia vai ei, olisi tämä asia hyvä todeta perust</w:t>
      </w:r>
      <w:r>
        <w:t>e</w:t>
      </w:r>
      <w:r>
        <w:t>luissa myös.</w:t>
      </w:r>
    </w:p>
    <w:p w:rsidR="002A1462" w:rsidRDefault="002A1462" w:rsidP="00142D37">
      <w:pPr>
        <w:pStyle w:val="ListParagraph"/>
        <w:ind w:left="1304"/>
      </w:pPr>
    </w:p>
    <w:p w:rsidR="002A1462" w:rsidRPr="00E5122F" w:rsidRDefault="002A1462" w:rsidP="00A31DD0">
      <w:pPr>
        <w:ind w:left="1304"/>
      </w:pPr>
      <w:r>
        <w:t xml:space="preserve">Pykälän 1 momentin perusteella valtuutus avustamiseen voidaan antaa vain </w:t>
      </w:r>
      <w:r w:rsidRPr="00BB06CE">
        <w:rPr>
          <w:b/>
        </w:rPr>
        <w:t>tietyllä yks</w:t>
      </w:r>
      <w:r w:rsidRPr="00BB06CE">
        <w:rPr>
          <w:b/>
        </w:rPr>
        <w:t>i</w:t>
      </w:r>
      <w:r w:rsidRPr="00BB06CE">
        <w:rPr>
          <w:b/>
        </w:rPr>
        <w:t>tyisellä alueella</w:t>
      </w:r>
      <w:r>
        <w:t>. Kyse on toimivaltarajasta, siitä, missä yksityistä valvontaa ylipäätään voidaan käyttää. Tämän suhteen esityksessä ei ole kannanottoja siitä, mitä yksityisellä alueella tarkoitetaan. Ongelmalliseksi tilanteen tekee se, että tieliikennelain 2 §:n 1 m</w:t>
      </w:r>
      <w:r>
        <w:t>o</w:t>
      </w:r>
      <w:r>
        <w:t>mentin 1 kohdan määritelmä tiestä on varsin laaja, eikä selvästikään ole sidoksissa kii</w:t>
      </w:r>
      <w:r>
        <w:t>n</w:t>
      </w:r>
      <w:r>
        <w:t>teistöjen rajoihin sellaisenaan, vaan määritelmä on enemmänkin alueen käyttöön sidottu. Tästä seuraa, että yksityinen kiinteistö tai osa siitä voi olla ja usein on tieliikennelain m</w:t>
      </w:r>
      <w:r>
        <w:t>u</w:t>
      </w:r>
      <w:r>
        <w:t>kainen tie. Lakiehdotuksen mukaan voidaan tulkita, että tällaisella yksityisellä kiinteistöllä voi pysäköinninvalvontaa suorittaa alueen omistajan tai haltijan suostumuksella myös y</w:t>
      </w:r>
      <w:r>
        <w:t>k</w:t>
      </w:r>
      <w:r>
        <w:t xml:space="preserve">sityinen </w:t>
      </w:r>
      <w:r w:rsidRPr="00E5122F">
        <w:t>valvontayhtiö. Toisaalta myös viranomainen tarvitsisi tällöin yksityisen alueen omistajan tai haltijan suostumuksen valvonnan suorittamiseen. Tieliikennelain määrittelyn mukaisella tiellä pitäisi kuitenkin lähtökohta olla se, että poliisilla tai kunnallisella pys</w:t>
      </w:r>
      <w:r w:rsidRPr="00E5122F">
        <w:t>ä</w:t>
      </w:r>
      <w:r w:rsidRPr="00E5122F">
        <w:t>köinninvalvonnalla on kiinteistönomistajasta riippumaton ja yksinomainen toimivalta su</w:t>
      </w:r>
      <w:r w:rsidRPr="00E5122F">
        <w:t>o</w:t>
      </w:r>
      <w:r w:rsidRPr="00E5122F">
        <w:t>rittaa valvontaa ja määrätä lain mukaisia seuraamuksia rikkomuksista.</w:t>
      </w:r>
    </w:p>
    <w:p w:rsidR="002A1462" w:rsidRPr="00E5122F" w:rsidRDefault="002A1462" w:rsidP="00A31DD0">
      <w:pPr>
        <w:ind w:left="1304"/>
      </w:pPr>
    </w:p>
    <w:p w:rsidR="002A1462" w:rsidRPr="00E5122F" w:rsidRDefault="002A1462" w:rsidP="00F148B9">
      <w:pPr>
        <w:ind w:left="1304"/>
      </w:pPr>
      <w:r w:rsidRPr="00E5122F">
        <w:t>Pysäköinninvalvonnasta annetun lain yksityiskohtaisissa perusteluissa 2 §:n kohdalla t</w:t>
      </w:r>
      <w:r w:rsidRPr="00E5122F">
        <w:t>o</w:t>
      </w:r>
      <w:r w:rsidRPr="00E5122F">
        <w:t>detaan, että tieliikennelain 2 §:n 1 kohdassa tarkoitetulla tiellä voitaisiin aina määrätä p</w:t>
      </w:r>
      <w:r w:rsidRPr="00E5122F">
        <w:t>y</w:t>
      </w:r>
      <w:r w:rsidRPr="00E5122F">
        <w:t>säköintivirhemaksu. Ajoneuvojen siirtämisestä annetun lain yksityiskohtaisissa perust</w:t>
      </w:r>
      <w:r w:rsidRPr="00E5122F">
        <w:t>e</w:t>
      </w:r>
      <w:r w:rsidRPr="00E5122F">
        <w:t>luissa 2 §:n kohdalla on tarkemmin selvitetty ja perusteltu tieliikennelain 2 §:n sovelt</w:t>
      </w:r>
      <w:r w:rsidRPr="00E5122F">
        <w:t>a</w:t>
      </w:r>
      <w:r w:rsidRPr="00E5122F">
        <w:t>misalaa. Näiden perustelujen pohjalta näyttää siltä, että ainakaan kauppaliikkeiden ja h</w:t>
      </w:r>
      <w:r w:rsidRPr="00E5122F">
        <w:t>o</w:t>
      </w:r>
      <w:r w:rsidRPr="00E5122F">
        <w:t>tellien pysäköintialueet ovat tietä eivätkä siis yksityisiä alueita.</w:t>
      </w:r>
    </w:p>
    <w:p w:rsidR="002A1462" w:rsidRPr="00E5122F" w:rsidRDefault="002A1462" w:rsidP="00142D37">
      <w:pPr>
        <w:pStyle w:val="ListParagraph"/>
        <w:ind w:left="1304"/>
      </w:pPr>
    </w:p>
    <w:p w:rsidR="002A1462" w:rsidRDefault="002A1462" w:rsidP="00E5122F">
      <w:pPr>
        <w:pStyle w:val="ListParagraph"/>
        <w:ind w:left="1304"/>
      </w:pPr>
      <w:r w:rsidRPr="00E5122F">
        <w:t>Tietty paikka voi olla sellainen, että siinä suoritetaan sekä pysäköinninvalvontaa että aj</w:t>
      </w:r>
      <w:r w:rsidRPr="00E5122F">
        <w:t>o</w:t>
      </w:r>
      <w:r w:rsidRPr="00E5122F">
        <w:t>neuvojen siirtämisiä. Jos tämä alue on yksityisen omistuksessa esimerkiksi kauppalii</w:t>
      </w:r>
      <w:r w:rsidRPr="00E5122F">
        <w:t>k</w:t>
      </w:r>
      <w:r w:rsidRPr="00E5122F">
        <w:t xml:space="preserve">keen pysäköintialue, tulee sovellettavaksi vielä ehdotetut yksityistä valvontaa koskevat </w:t>
      </w:r>
      <w:r>
        <w:t>säännökset. Turussa kuten useammassa muussakin kunnassa samat toimijat suorittavat näitä eri lakeihin perustuvia viranomaistoimintoja. Kunnallinen pysäköinninvalvoja on usein kaikkien toimintojen ylin ohjaaja ja tulkintojen tekijä. Olisi hyvin epäjohdonmukaista ja vaikeasti perusteltava, että samaa tieliikennelain pykälää tulkittaisiin eri tavalla eri tila</w:t>
      </w:r>
      <w:r>
        <w:t>n</w:t>
      </w:r>
      <w:r>
        <w:t xml:space="preserve">teissa. Tämän takia ehdotetaan perusteluihin lisättäväksi tarkastelua siitä, mikä on laissa tarkoitettu yksityinen alue. Kaikkein loogisin ratkaisu pysäköinninvalvonnan kokonaisuutta ajatellen olisi ottaa lakiin pysäköinninvalvonnasta määritelmä yksityisestä alueesta siten, että se </w:t>
      </w:r>
      <w:r w:rsidRPr="00E5122F">
        <w:t>määriteltäisiin alueeksi, joka ei ole tieliikennelain 2 § 1 momentin 1 kohdassa ta</w:t>
      </w:r>
      <w:r w:rsidRPr="00E5122F">
        <w:t>r</w:t>
      </w:r>
      <w:r w:rsidRPr="00E5122F">
        <w:t>koitettu tie.</w:t>
      </w:r>
      <w:r>
        <w:t xml:space="preserve"> Tämäkin jättää vielä tulkintaa tien määritelmästä johtuen.</w:t>
      </w:r>
    </w:p>
    <w:p w:rsidR="002A1462" w:rsidRDefault="002A1462" w:rsidP="00E5122F">
      <w:pPr>
        <w:pStyle w:val="ListParagraph"/>
        <w:ind w:left="1304"/>
      </w:pPr>
    </w:p>
    <w:p w:rsidR="002A1462" w:rsidRDefault="002A1462" w:rsidP="00E5122F">
      <w:pPr>
        <w:pStyle w:val="ListParagraph"/>
        <w:ind w:left="1304"/>
      </w:pPr>
      <w:r>
        <w:t>Pykälän 3 momentin säännöksen perusteella kunnallinen pysäköinninvalvoja voi antaa valtuutuksen vain sellaiselle pysäköintiluvan haltijalle, jolla on alueen omistajan tai halt</w:t>
      </w:r>
      <w:r>
        <w:t>i</w:t>
      </w:r>
      <w:r>
        <w:t>jan suostumus valvontatehtävissä avustamiseen. Perusteluissa todetaan, että valvonna</w:t>
      </w:r>
      <w:r>
        <w:t>s</w:t>
      </w:r>
      <w:r>
        <w:t>sa avustavalle mahdollisesti maksettavasta korvauksesta voitaisiin sopia avustajan ja kunnan kesken. Tällainen menettely johtaisi todennäköisesti ongelmiin hankilain sää</w:t>
      </w:r>
      <w:r>
        <w:t>n</w:t>
      </w:r>
      <w:r>
        <w:t>nösten kannalta. Kunta tosiasiassa ostaa palvelua kilpailuttamatta vain tietyltä palvelun tarjoajalta. Asiaa olisi aiheellista tarkastella täsmällisemmin nimenomaan hankintalain näkökulmasta ja perustella huolellisesti.</w:t>
      </w:r>
    </w:p>
    <w:p w:rsidR="002A1462" w:rsidRDefault="002A1462" w:rsidP="00E5122F">
      <w:pPr>
        <w:pStyle w:val="ListParagraph"/>
        <w:ind w:left="1304"/>
      </w:pPr>
    </w:p>
    <w:p w:rsidR="002A1462" w:rsidRDefault="002A1462" w:rsidP="00E5122F">
      <w:pPr>
        <w:pStyle w:val="ListParagraph"/>
        <w:ind w:left="1304"/>
      </w:pPr>
      <w:r>
        <w:t>Korvauksen määräytymiseen ei myöskään oteta kantaa perusteluissa. Väärinkäytösten ehkäisemiseksi olisi hyvä mainita perusteluissa, että korvausta ei voi sitoa esitettyjen vi</w:t>
      </w:r>
      <w:r>
        <w:t>r</w:t>
      </w:r>
      <w:r>
        <w:t>hemaksujen tai esitysten perusteella määrättyjen pysäköintivirhemaksujen määrään.</w:t>
      </w:r>
    </w:p>
    <w:p w:rsidR="002A1462" w:rsidRDefault="002A1462" w:rsidP="00E5122F">
      <w:pPr>
        <w:pStyle w:val="ListParagraph"/>
        <w:ind w:left="1304"/>
      </w:pPr>
      <w:r>
        <w:t xml:space="preserve"> </w:t>
      </w:r>
    </w:p>
    <w:p w:rsidR="002A1462" w:rsidRDefault="002A1462" w:rsidP="00E5122F">
      <w:pPr>
        <w:pStyle w:val="ListParagraph"/>
        <w:ind w:left="1304"/>
      </w:pPr>
      <w:r>
        <w:t>Jos valvonnan tarve ja virheellinen pysäköinti on todellinen ongelma, kiinteistön omistaja yleensä on halukas tekemään asialle jotakin. Yksi vaihtoehto on esimerkiksi puomit tai muu tekninen ja mekaaninen ratkaisu, jolla estetään alueelle pääsy tai poistuminen ilman asianmukaista lupaa tai maksua. Toinen vaihtoehto on lisätä valvontaa alueella yksityistä valvontaa hyödyntäen. On loogista, että molemmissa vaihtoehdoissa kustannukset ma</w:t>
      </w:r>
      <w:r>
        <w:t>k</w:t>
      </w:r>
      <w:r>
        <w:t>saa kiinteistön omistaja. Tältä pohjalta valvonnassa avustavan korvauksen tulisi olla a</w:t>
      </w:r>
      <w:r>
        <w:t>i</w:t>
      </w:r>
      <w:r>
        <w:t>noastaan kiinteistön omistajan vastuulla, jolla on myös intressi saada tehostettua valvo</w:t>
      </w:r>
      <w:r>
        <w:t>n</w:t>
      </w:r>
      <w:r>
        <w:t>taa.</w:t>
      </w:r>
    </w:p>
    <w:p w:rsidR="002A1462" w:rsidRDefault="002A1462" w:rsidP="00E5122F">
      <w:pPr>
        <w:pStyle w:val="ListParagraph"/>
        <w:ind w:left="1304"/>
      </w:pPr>
    </w:p>
    <w:p w:rsidR="002A1462" w:rsidRDefault="002A1462" w:rsidP="009A48F0">
      <w:pPr>
        <w:pStyle w:val="ListParagraph"/>
        <w:ind w:left="1304"/>
      </w:pPr>
      <w:r>
        <w:t>Luontevin toimintatapa olisi, että kiinteistön omistaja, joka katsoo alueellaan olevan va</w:t>
      </w:r>
      <w:r>
        <w:t>l</w:t>
      </w:r>
      <w:r>
        <w:t>vonnan tarvetta, kilpailuttaa pysäköinninvalvontayritykset ja valitsee yhtiön, jonka haluaa alueelle valvomaan. Kiinteistön omistaja tekisi sopimuksen yksityisestä pysäköinninva</w:t>
      </w:r>
      <w:r>
        <w:t>l</w:t>
      </w:r>
      <w:r>
        <w:t>vonnasta pysäköintiluvan haltijan kanssa. Sopimuksessa sovittaisiin muun ohella valvo</w:t>
      </w:r>
      <w:r>
        <w:t>n</w:t>
      </w:r>
      <w:r>
        <w:t>nasta aiheutuvien kustannusten korvaamisesta. Tällöin kunnan ei tarvitsisi tehdä pys</w:t>
      </w:r>
      <w:r>
        <w:t>ä</w:t>
      </w:r>
      <w:r>
        <w:t>köintiluvan haltijan kanssa sopimusta valvonnassa avustamisesta eikä sopia mistään korvauksen maksamisesta. Tällöin ei myöskään tulisi ongelmaa kilpailutuksesta, koska kunta ei maksaisi mitään korvausta valvonnassa avustavalle.</w:t>
      </w:r>
    </w:p>
    <w:p w:rsidR="002A1462" w:rsidRDefault="002A1462" w:rsidP="009A48F0">
      <w:pPr>
        <w:pStyle w:val="ListParagraph"/>
        <w:ind w:left="1304"/>
      </w:pPr>
    </w:p>
    <w:p w:rsidR="002A1462" w:rsidRDefault="002A1462" w:rsidP="009A48F0">
      <w:pPr>
        <w:pStyle w:val="ListParagraph"/>
        <w:ind w:left="1304"/>
      </w:pPr>
      <w:r>
        <w:t>Pykälän 5 momentissa on oleellinen säännös siitä, kuka ohjaa valvonta-avustajien toimi</w:t>
      </w:r>
      <w:r>
        <w:t>n</w:t>
      </w:r>
      <w:r>
        <w:t>taa. Säännöksen perusteluihin olisi hyvä lisätä tarkemmin minkä tyyppistä ohjaus voi olla. Esimerkiksi kuntien järjestelmät saattavat vaatia tietyntyyppisten lomakkeiden käyttö tai tietojen toimittaminen halutaan toteutettavaksi tietyntyyppisiä teknisiä menetelmiä käytt</w:t>
      </w:r>
      <w:r>
        <w:t>ä</w:t>
      </w:r>
      <w:r>
        <w:t>en. Ohjauksen tarve voi olla hyvinkin yksityiskohtaista, jotta toiminta saadaan mahdoll</w:t>
      </w:r>
      <w:r>
        <w:t>i</w:t>
      </w:r>
      <w:r>
        <w:t>simman lähelle viranomaistoimintaa ja viranomaisten käytössä oleviin menetelmiin ja jä</w:t>
      </w:r>
      <w:r>
        <w:t>r</w:t>
      </w:r>
      <w:r>
        <w:t>jestelmiin sopiviksi. Vaadittavista toimintatavoista ja työvälineistä saattaa myös aiheutua kustannuksia valvonnassa avustavalle.</w:t>
      </w:r>
    </w:p>
    <w:p w:rsidR="002A1462" w:rsidRDefault="002A1462" w:rsidP="009A48F0">
      <w:pPr>
        <w:pStyle w:val="ListParagraph"/>
        <w:ind w:left="1304"/>
      </w:pPr>
    </w:p>
    <w:p w:rsidR="002A1462" w:rsidRDefault="002A1462" w:rsidP="009A48F0">
      <w:pPr>
        <w:pStyle w:val="ListParagraph"/>
        <w:ind w:left="1304"/>
      </w:pPr>
      <w:r>
        <w:t>13a §</w:t>
      </w:r>
    </w:p>
    <w:p w:rsidR="002A1462" w:rsidRDefault="002A1462" w:rsidP="009A48F0">
      <w:pPr>
        <w:pStyle w:val="ListParagraph"/>
        <w:ind w:left="1304"/>
      </w:pPr>
    </w:p>
    <w:p w:rsidR="002A1462" w:rsidRDefault="002A1462" w:rsidP="009A48F0">
      <w:pPr>
        <w:pStyle w:val="ListParagraph"/>
        <w:ind w:left="1304"/>
      </w:pPr>
      <w:r>
        <w:t>Pykälän 3 momentin viittaus vahingonkorvauslakiin saattaa aiheuttaa tulkintaongelmia si</w:t>
      </w:r>
      <w:r>
        <w:t>i</w:t>
      </w:r>
      <w:r>
        <w:t>tä, vastaako kunta valvonta-avustajan aiheuttamista vahingoista kiinteistön omistajalle tai virhemaksuesityksen saaneelle. Koska avustajat toimivat kunnallisen pysäköinninvalv</w:t>
      </w:r>
      <w:r>
        <w:t>o</w:t>
      </w:r>
      <w:r>
        <w:t>jan johdon ja valvonnan alaisin, tämä saattaa tukea tulkintaa kunnan vastuusta. Näin ei ilmeisesti ole tarkoitettu, vaan vahingon korvausvastuun tulisi olla yksityisellä pysäköint</w:t>
      </w:r>
      <w:r>
        <w:t>i</w:t>
      </w:r>
      <w:r>
        <w:t>luvan haltijalla ja tämän palveluksessa olevalla valvonta-avustajalla.</w:t>
      </w:r>
    </w:p>
    <w:p w:rsidR="002A1462" w:rsidRDefault="002A1462" w:rsidP="009A48F0">
      <w:pPr>
        <w:pStyle w:val="ListParagraph"/>
        <w:ind w:left="1304"/>
      </w:pPr>
    </w:p>
    <w:p w:rsidR="002A1462" w:rsidRDefault="002A1462" w:rsidP="009A48F0">
      <w:pPr>
        <w:pStyle w:val="ListParagraph"/>
        <w:ind w:left="1304"/>
      </w:pPr>
      <w:r>
        <w:t>13 b §</w:t>
      </w:r>
    </w:p>
    <w:p w:rsidR="002A1462" w:rsidRDefault="002A1462" w:rsidP="009A48F0">
      <w:pPr>
        <w:pStyle w:val="ListParagraph"/>
        <w:ind w:left="1304"/>
      </w:pPr>
    </w:p>
    <w:p w:rsidR="002A1462" w:rsidRDefault="002A1462" w:rsidP="009A48F0">
      <w:pPr>
        <w:pStyle w:val="ListParagraph"/>
        <w:ind w:left="1304"/>
      </w:pPr>
      <w:r>
        <w:t>Säännöksen perusteluissa todetaan, että tiedolla asian jatkokäsittelystä tarkoitetaan muun muassa sitä, ettei toimenpiteistä luopumisesta lähetetä erillistä päätöstä.</w:t>
      </w:r>
    </w:p>
    <w:p w:rsidR="002A1462" w:rsidRDefault="002A1462" w:rsidP="009A48F0">
      <w:pPr>
        <w:pStyle w:val="ListParagraph"/>
        <w:ind w:left="1304"/>
      </w:pPr>
    </w:p>
    <w:p w:rsidR="002A1462" w:rsidRDefault="002A1462" w:rsidP="006E1618">
      <w:pPr>
        <w:pStyle w:val="ListParagraph"/>
        <w:ind w:left="1304"/>
      </w:pPr>
      <w:r>
        <w:t>Toimenpiteestä luopuminenkin tarkoittaa, että esityksen ja muun selvityksen perusteella on todettu tapahtuneen pysäköintivirhe. Toisaalta on mahdollista, että esityksen peru</w:t>
      </w:r>
      <w:r>
        <w:t>s</w:t>
      </w:r>
      <w:r>
        <w:t>teella todetaan, ettei kyseessä ole pysäköintivirhe. Tällöin kyse ei ole toimenpiteestä lu</w:t>
      </w:r>
      <w:r>
        <w:t>o</w:t>
      </w:r>
      <w:r>
        <w:t>pumisesta laissa tarkoitetussa merkityksessä. Pysäköijän kannalta, joka on saanut va</w:t>
      </w:r>
      <w:r>
        <w:t>l</w:t>
      </w:r>
      <w:r>
        <w:t>vonta-avustajan esityksen pysäköintivirheestä, tilanne on molemmissa tapauksissa sama. Hän ei saa esityksen johdosta mitään päätöstä. Tilanteissa on kuitenkin se oleellinen ero, että toisessa on tapahtunut pysäköintivirhe ja toisessa ei ole. Toisin sanoen toinen päätös edellyttäisi muutosta pysäköijän toimintaan ja toinen ei.</w:t>
      </w:r>
    </w:p>
    <w:p w:rsidR="002A1462" w:rsidRDefault="002A1462" w:rsidP="006E1618">
      <w:pPr>
        <w:pStyle w:val="ListParagraph"/>
        <w:ind w:left="1304"/>
      </w:pPr>
    </w:p>
    <w:p w:rsidR="002A1462" w:rsidRDefault="002A1462" w:rsidP="006E1618">
      <w:pPr>
        <w:pStyle w:val="ListParagraph"/>
        <w:ind w:left="1304"/>
      </w:pPr>
      <w:r>
        <w:t>Jotta tilanne olisi riittävän selkeä ja pysäköijä tietäisi, mitä esitetyn pysäköintivirheen ja</w:t>
      </w:r>
      <w:r>
        <w:t>t</w:t>
      </w:r>
      <w:r>
        <w:t>kokäsittelyssä on päätetty, ehdotetaan perusteluista poistettavaksi mainintaa, ettei to</w:t>
      </w:r>
      <w:r>
        <w:t>i</w:t>
      </w:r>
      <w:r>
        <w:t>menpiteistä luopumisesta lähetetä erillistä päätöstä. Jokaisesta viranomaisen tekemästä ratkaisusta tulisi antaa päätös. Myös siitä, että pysäköintivirhettä ei ole tapahtunut, pitäisi antaa päätös. Muutoin pysäköijä ei voi olla varma, miten ja ennen kaikkea milloin asia on ratkaistu.</w:t>
      </w:r>
    </w:p>
    <w:p w:rsidR="002A1462" w:rsidRDefault="002A1462" w:rsidP="006E1618">
      <w:pPr>
        <w:pStyle w:val="ListParagraph"/>
        <w:ind w:left="1304"/>
      </w:pPr>
    </w:p>
    <w:p w:rsidR="002A1462" w:rsidRDefault="002A1462" w:rsidP="009A48F0">
      <w:pPr>
        <w:pStyle w:val="ListParagraph"/>
        <w:ind w:left="1304"/>
      </w:pPr>
      <w:r>
        <w:t>13c §</w:t>
      </w:r>
    </w:p>
    <w:p w:rsidR="002A1462" w:rsidRDefault="002A1462" w:rsidP="009A48F0">
      <w:pPr>
        <w:pStyle w:val="ListParagraph"/>
        <w:ind w:left="1304"/>
      </w:pPr>
    </w:p>
    <w:p w:rsidR="002A1462" w:rsidRDefault="002A1462" w:rsidP="002A4736">
      <w:pPr>
        <w:pStyle w:val="ListParagraph"/>
        <w:ind w:left="1304"/>
      </w:pPr>
      <w:r>
        <w:t xml:space="preserve">Ehdotetun 1 momentin mukaan kunnallinen pysäköinninvalvoja tai hänen määräämänsä pysäköinnintarkastaja päättää pysäköintivirhemaksun </w:t>
      </w:r>
      <w:r w:rsidRPr="002A4736">
        <w:t>määräämisestä, kirjallisen huoma</w:t>
      </w:r>
      <w:r w:rsidRPr="002A4736">
        <w:t>u</w:t>
      </w:r>
      <w:r w:rsidRPr="002A4736">
        <w:t>tuksen antamisesta tai toimenpiteistä luopumisesta todettuaan 13 b §:ssä tarkoitetun es</w:t>
      </w:r>
      <w:r w:rsidRPr="002A4736">
        <w:t>i</w:t>
      </w:r>
      <w:r w:rsidRPr="002A4736">
        <w:t>tyksen ja muun selvityksen perusteella pysäköintivirheen.</w:t>
      </w:r>
    </w:p>
    <w:p w:rsidR="002A1462" w:rsidRDefault="002A1462" w:rsidP="002A4736">
      <w:pPr>
        <w:pStyle w:val="ListParagraph"/>
        <w:ind w:left="1304"/>
      </w:pPr>
    </w:p>
    <w:p w:rsidR="002A1462" w:rsidRDefault="002A1462" w:rsidP="002A4736">
      <w:pPr>
        <w:pStyle w:val="ListParagraph"/>
        <w:ind w:left="1304"/>
      </w:pPr>
      <w:r>
        <w:t>Kunnallinen pysäköinninvalvoja ei käytännössä pysty huolehtimaan ehdotuksen muka</w:t>
      </w:r>
      <w:r>
        <w:t>i</w:t>
      </w:r>
      <w:r>
        <w:t>sesta tehtävästä ilman avustavaa henkilöstöä. Ehdotus antaa pysäköinninvalvojalle va</w:t>
      </w:r>
      <w:r>
        <w:t>l</w:t>
      </w:r>
      <w:r>
        <w:t>tuuden määrätä alaisensa pysäköinnintarkastaja tehtävään. Koska etukäteinen resursoi</w:t>
      </w:r>
      <w:r>
        <w:t>n</w:t>
      </w:r>
      <w:r>
        <w:t>ti ehdotuksen mukaiseen työhön on erittäin vaikeaa, ainakin Turussa on tarvetta aluksi hoitaa uudet tehtävät useamman henkilön työnkuvaa tarkistamalla. Pysäköinnintarkast</w:t>
      </w:r>
      <w:r>
        <w:t>a</w:t>
      </w:r>
      <w:r>
        <w:t>jat ovat pääsääntöisesti ulkotyötä tekeviä eikä tähän varsinaiseen valvontatyöhön ole r</w:t>
      </w:r>
      <w:r>
        <w:t>e</w:t>
      </w:r>
      <w:r>
        <w:t>sursoitu ylimääräisiä tarkastajia. Yksityisten esitysten perusteella tapahtuva virhemaksun toteaminen ja seuraamuksen määrääminen on toimistotyötä. Jotta tämän työn hoitaminen ei olisi sidottu tiettyyn virkanimikkeeseen, vaan työ voitaisiin tehdä joustavammin valvo</w:t>
      </w:r>
      <w:r>
        <w:t>n</w:t>
      </w:r>
      <w:r>
        <w:t>tahenkilöstöön kuuluvien viranhaltijoiden toimesta, esitetään lainkohtaan muutosta siten, että pysäköinninvalvoja tai hänen määräämänsä kunnallinen viranhaltija päättää virh</w:t>
      </w:r>
      <w:r>
        <w:t>e</w:t>
      </w:r>
      <w:r>
        <w:t>maksun tai muiden seuraamusten määräämisestä.</w:t>
      </w:r>
    </w:p>
    <w:p w:rsidR="002A1462" w:rsidRDefault="002A1462" w:rsidP="001004D8"/>
    <w:p w:rsidR="002A1462" w:rsidRDefault="002A1462" w:rsidP="001004D8">
      <w:pPr>
        <w:pStyle w:val="ListParagraph"/>
        <w:numPr>
          <w:ilvl w:val="0"/>
          <w:numId w:val="37"/>
        </w:numPr>
      </w:pPr>
      <w:r>
        <w:t>Lopuksi</w:t>
      </w:r>
    </w:p>
    <w:p w:rsidR="002A1462" w:rsidRDefault="002A1462" w:rsidP="001004D8">
      <w:pPr>
        <w:pStyle w:val="ListParagraph"/>
        <w:ind w:left="1304"/>
      </w:pPr>
    </w:p>
    <w:p w:rsidR="002A1462" w:rsidRDefault="002A1462" w:rsidP="001004D8">
      <w:pPr>
        <w:pStyle w:val="ListParagraph"/>
        <w:ind w:left="1304"/>
      </w:pPr>
      <w:r>
        <w:t>Hallituksen esitys on peruslähtökohdiltaan hyvä. Esitetyn huomiot ja täsmennykset eivät koske esityksen peruslähtökohtia tai toiminnan ajateltua mallia.</w:t>
      </w:r>
    </w:p>
    <w:p w:rsidR="002A1462" w:rsidRDefault="002A1462" w:rsidP="001004D8">
      <w:pPr>
        <w:pStyle w:val="ListParagraph"/>
        <w:ind w:left="1304"/>
      </w:pPr>
    </w:p>
    <w:p w:rsidR="002A1462" w:rsidRDefault="002A1462" w:rsidP="001004D8">
      <w:pPr>
        <w:pStyle w:val="ListParagraph"/>
        <w:ind w:left="1304"/>
      </w:pPr>
      <w:r>
        <w:t>Toteutuessaan ehdotus saattaa tarkoittaa henkilöstön rekrytointitarvetta ja varmuudella tietojärjestelmämuutoksia. Kumpikaan toimenpide ei ole nopealla aikataululla suoritett</w:t>
      </w:r>
      <w:r>
        <w:t>a</w:t>
      </w:r>
      <w:r>
        <w:t>vissa, minkä vuoksi esitetään toiveena, että voimaantuloaika määrätään riittävän pitkäksi, vähintään kuusi kuukautta lain vahvistumisesta.</w:t>
      </w:r>
    </w:p>
    <w:p w:rsidR="002A1462" w:rsidRDefault="002A1462" w:rsidP="002A4736">
      <w:pPr>
        <w:pStyle w:val="ListParagraph"/>
        <w:ind w:left="1304"/>
      </w:pPr>
    </w:p>
    <w:p w:rsidR="002A1462" w:rsidRDefault="002A1462" w:rsidP="002A4736">
      <w:pPr>
        <w:pStyle w:val="ListParagraph"/>
        <w:ind w:left="1304"/>
      </w:pPr>
    </w:p>
    <w:p w:rsidR="002A1462" w:rsidRDefault="002A1462" w:rsidP="002A4736">
      <w:pPr>
        <w:pStyle w:val="ListParagraph"/>
        <w:ind w:left="1304"/>
      </w:pPr>
    </w:p>
    <w:p w:rsidR="002A1462" w:rsidRDefault="002A1462" w:rsidP="002A4736">
      <w:pPr>
        <w:pStyle w:val="ListParagraph"/>
        <w:ind w:left="1304"/>
      </w:pPr>
      <w:bookmarkStart w:id="0" w:name="_GoBack"/>
      <w:bookmarkEnd w:id="0"/>
    </w:p>
    <w:p w:rsidR="002A1462" w:rsidRDefault="002A1462" w:rsidP="002A4736">
      <w:pPr>
        <w:pStyle w:val="ListParagraph"/>
        <w:ind w:left="1304"/>
      </w:pPr>
      <w:r>
        <w:t>Turun kaupunki</w:t>
      </w:r>
    </w:p>
    <w:p w:rsidR="002A1462" w:rsidRDefault="002A1462" w:rsidP="002A4736">
      <w:pPr>
        <w:pStyle w:val="ListParagraph"/>
        <w:ind w:left="1304"/>
      </w:pPr>
      <w:r>
        <w:t>Kiinteistöliikelaitos</w:t>
      </w:r>
    </w:p>
    <w:p w:rsidR="002A1462" w:rsidRDefault="002A1462" w:rsidP="002A4736">
      <w:pPr>
        <w:pStyle w:val="ListParagraph"/>
        <w:ind w:left="1304"/>
      </w:pPr>
    </w:p>
    <w:p w:rsidR="002A1462" w:rsidRDefault="002A1462" w:rsidP="002A4736">
      <w:pPr>
        <w:pStyle w:val="ListParagraph"/>
        <w:ind w:left="1304"/>
      </w:pPr>
    </w:p>
    <w:p w:rsidR="002A1462" w:rsidRDefault="002A1462" w:rsidP="002A4736">
      <w:pPr>
        <w:pStyle w:val="ListParagraph"/>
        <w:ind w:left="1304"/>
      </w:pPr>
    </w:p>
    <w:p w:rsidR="002A1462" w:rsidRDefault="002A1462" w:rsidP="002A4736">
      <w:pPr>
        <w:pStyle w:val="ListParagraph"/>
        <w:ind w:left="1304"/>
      </w:pPr>
      <w:r>
        <w:t>Esa Mettälä</w:t>
      </w:r>
    </w:p>
    <w:p w:rsidR="002A1462" w:rsidRDefault="002A1462" w:rsidP="002A4736">
      <w:pPr>
        <w:pStyle w:val="ListParagraph"/>
        <w:ind w:left="1304"/>
      </w:pPr>
      <w:r>
        <w:t>Kiinteistölakimies</w:t>
      </w:r>
    </w:p>
    <w:p w:rsidR="002A1462" w:rsidRDefault="002A1462" w:rsidP="002A4736">
      <w:pPr>
        <w:pStyle w:val="ListParagraph"/>
        <w:ind w:left="1304"/>
      </w:pPr>
      <w:r>
        <w:t>Kunnallinen pysäköinninvalvoja</w:t>
      </w:r>
    </w:p>
    <w:p w:rsidR="002A1462" w:rsidRPr="002A4736" w:rsidRDefault="002A1462" w:rsidP="002A4736">
      <w:pPr>
        <w:pStyle w:val="ListParagraph"/>
        <w:ind w:left="1304"/>
      </w:pPr>
    </w:p>
    <w:p w:rsidR="002A1462" w:rsidRPr="002A4736" w:rsidRDefault="002A1462" w:rsidP="009A48F0">
      <w:pPr>
        <w:pStyle w:val="ListParagraph"/>
        <w:ind w:left="1304"/>
      </w:pPr>
    </w:p>
    <w:p w:rsidR="002A1462" w:rsidRDefault="002A1462" w:rsidP="00142D37">
      <w:pPr>
        <w:pStyle w:val="ListParagraph"/>
        <w:ind w:left="1304"/>
      </w:pPr>
    </w:p>
    <w:p w:rsidR="002A1462" w:rsidRPr="00255F85" w:rsidRDefault="002A1462" w:rsidP="00255F85">
      <w:pPr>
        <w:ind w:left="1304"/>
        <w:sectPr w:rsidR="002A1462" w:rsidRPr="00255F85" w:rsidSect="005864BA">
          <w:headerReference w:type="even" r:id="rId7"/>
          <w:headerReference w:type="default" r:id="rId8"/>
          <w:headerReference w:type="first" r:id="rId9"/>
          <w:footerReference w:type="first" r:id="rId10"/>
          <w:type w:val="continuous"/>
          <w:pgSz w:w="11906" w:h="16838" w:code="9"/>
          <w:pgMar w:top="2155" w:right="737" w:bottom="2665" w:left="1134" w:header="567" w:footer="510" w:gutter="0"/>
          <w:cols w:space="708"/>
          <w:titlePg/>
          <w:docGrid w:linePitch="360"/>
        </w:sectPr>
      </w:pPr>
    </w:p>
    <w:p w:rsidR="002A1462" w:rsidRDefault="002A1462" w:rsidP="00255F85"/>
    <w:sectPr w:rsidR="002A1462" w:rsidSect="005864BA">
      <w:type w:val="continuous"/>
      <w:pgSz w:w="11906" w:h="16838" w:code="9"/>
      <w:pgMar w:top="2155" w:right="737" w:bottom="2665" w:left="1134"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462" w:rsidRDefault="002A1462" w:rsidP="009F3CBA">
      <w:r>
        <w:separator/>
      </w:r>
    </w:p>
  </w:endnote>
  <w:endnote w:type="continuationSeparator" w:id="0">
    <w:p w:rsidR="002A1462" w:rsidRDefault="002A1462" w:rsidP="009F3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4" w:type="dxa"/>
      <w:tblCellMar>
        <w:left w:w="0" w:type="dxa"/>
        <w:right w:w="0" w:type="dxa"/>
      </w:tblCellMar>
      <w:tblLook w:val="00A0"/>
    </w:tblPr>
    <w:tblGrid>
      <w:gridCol w:w="1985"/>
      <w:gridCol w:w="1559"/>
      <w:gridCol w:w="1630"/>
      <w:gridCol w:w="1630"/>
      <w:gridCol w:w="909"/>
      <w:gridCol w:w="2351"/>
    </w:tblGrid>
    <w:tr w:rsidR="002A1462" w:rsidRPr="00B76108" w:rsidTr="00B76108">
      <w:tc>
        <w:tcPr>
          <w:tcW w:w="1985" w:type="dxa"/>
          <w:tcBorders>
            <w:top w:val="single" w:sz="8" w:space="0" w:color="auto"/>
          </w:tcBorders>
        </w:tcPr>
        <w:p w:rsidR="002A1462" w:rsidRPr="00B76108" w:rsidRDefault="002A1462" w:rsidP="00322F3F">
          <w:pPr>
            <w:pStyle w:val="Footer"/>
          </w:pPr>
        </w:p>
      </w:tc>
      <w:tc>
        <w:tcPr>
          <w:tcW w:w="1559" w:type="dxa"/>
          <w:tcBorders>
            <w:top w:val="single" w:sz="8" w:space="0" w:color="auto"/>
          </w:tcBorders>
        </w:tcPr>
        <w:p w:rsidR="002A1462" w:rsidRPr="00B76108" w:rsidRDefault="002A1462" w:rsidP="00322F3F">
          <w:pPr>
            <w:pStyle w:val="Footer"/>
          </w:pPr>
        </w:p>
      </w:tc>
      <w:tc>
        <w:tcPr>
          <w:tcW w:w="1630" w:type="dxa"/>
          <w:tcBorders>
            <w:top w:val="single" w:sz="8" w:space="0" w:color="auto"/>
          </w:tcBorders>
        </w:tcPr>
        <w:p w:rsidR="002A1462" w:rsidRPr="00B76108" w:rsidRDefault="002A1462" w:rsidP="00322F3F">
          <w:pPr>
            <w:pStyle w:val="Footer"/>
          </w:pPr>
        </w:p>
      </w:tc>
      <w:tc>
        <w:tcPr>
          <w:tcW w:w="1630" w:type="dxa"/>
          <w:tcBorders>
            <w:top w:val="single" w:sz="8" w:space="0" w:color="auto"/>
          </w:tcBorders>
        </w:tcPr>
        <w:p w:rsidR="002A1462" w:rsidRPr="00B76108" w:rsidRDefault="002A1462" w:rsidP="00322F3F">
          <w:pPr>
            <w:pStyle w:val="Footer"/>
          </w:pPr>
        </w:p>
      </w:tc>
      <w:tc>
        <w:tcPr>
          <w:tcW w:w="909" w:type="dxa"/>
          <w:tcBorders>
            <w:top w:val="single" w:sz="8" w:space="0" w:color="auto"/>
          </w:tcBorders>
        </w:tcPr>
        <w:p w:rsidR="002A1462" w:rsidRPr="00B76108" w:rsidRDefault="002A1462" w:rsidP="00322F3F">
          <w:pPr>
            <w:pStyle w:val="Footer"/>
          </w:pPr>
        </w:p>
      </w:tc>
      <w:tc>
        <w:tcPr>
          <w:tcW w:w="2351" w:type="dxa"/>
          <w:tcBorders>
            <w:top w:val="single" w:sz="8" w:space="0" w:color="auto"/>
          </w:tcBorders>
        </w:tcPr>
        <w:p w:rsidR="002A1462" w:rsidRPr="00B76108" w:rsidRDefault="002A1462" w:rsidP="00322F3F">
          <w:pPr>
            <w:pStyle w:val="Footer"/>
          </w:pPr>
        </w:p>
      </w:tc>
    </w:tr>
    <w:tr w:rsidR="002A1462" w:rsidRPr="00B76108" w:rsidTr="00B76108">
      <w:tc>
        <w:tcPr>
          <w:tcW w:w="1985" w:type="dxa"/>
        </w:tcPr>
        <w:p w:rsidR="002A1462" w:rsidRPr="00B76108" w:rsidRDefault="002A1462" w:rsidP="00322F3F">
          <w:pPr>
            <w:pStyle w:val="Footer"/>
            <w:rPr>
              <w:b/>
            </w:rPr>
          </w:pPr>
          <w:r w:rsidRPr="00B76108">
            <w:rPr>
              <w:b/>
            </w:rPr>
            <w:t>Kiinteistöliikelaitos</w:t>
          </w:r>
        </w:p>
      </w:tc>
      <w:tc>
        <w:tcPr>
          <w:tcW w:w="1559" w:type="dxa"/>
        </w:tcPr>
        <w:p w:rsidR="002A1462" w:rsidRPr="00B76108" w:rsidRDefault="002A1462" w:rsidP="00322F3F">
          <w:pPr>
            <w:pStyle w:val="Footer"/>
          </w:pPr>
          <w:r w:rsidRPr="00B76108">
            <w:t>Käyntiosoite</w:t>
          </w:r>
        </w:p>
      </w:tc>
      <w:tc>
        <w:tcPr>
          <w:tcW w:w="1630" w:type="dxa"/>
        </w:tcPr>
        <w:p w:rsidR="002A1462" w:rsidRPr="00B76108" w:rsidRDefault="002A1462" w:rsidP="00322F3F">
          <w:pPr>
            <w:pStyle w:val="Footer"/>
          </w:pPr>
          <w:r w:rsidRPr="00B76108">
            <w:t>Asiakaspalvelu</w:t>
          </w:r>
        </w:p>
      </w:tc>
      <w:tc>
        <w:tcPr>
          <w:tcW w:w="1630" w:type="dxa"/>
        </w:tcPr>
        <w:p w:rsidR="002A1462" w:rsidRPr="00B76108" w:rsidRDefault="002A1462" w:rsidP="00322F3F">
          <w:pPr>
            <w:pStyle w:val="Footer"/>
          </w:pPr>
          <w:r w:rsidRPr="00B76108">
            <w:t>Postiosoite</w:t>
          </w:r>
        </w:p>
      </w:tc>
      <w:tc>
        <w:tcPr>
          <w:tcW w:w="909" w:type="dxa"/>
        </w:tcPr>
        <w:p w:rsidR="002A1462" w:rsidRPr="00B76108" w:rsidRDefault="002A1462" w:rsidP="00322F3F">
          <w:pPr>
            <w:pStyle w:val="Footer"/>
          </w:pPr>
          <w:r w:rsidRPr="00B76108">
            <w:t>Puh.</w:t>
          </w:r>
        </w:p>
      </w:tc>
      <w:tc>
        <w:tcPr>
          <w:tcW w:w="2351" w:type="dxa"/>
        </w:tcPr>
        <w:p w:rsidR="002A1462" w:rsidRPr="00B76108" w:rsidRDefault="002A1462" w:rsidP="00322F3F">
          <w:pPr>
            <w:pStyle w:val="Footer"/>
          </w:pPr>
          <w:r w:rsidRPr="00B76108">
            <w:t>+358 2 330 000</w:t>
          </w:r>
        </w:p>
      </w:tc>
    </w:tr>
    <w:tr w:rsidR="002A1462" w:rsidRPr="00B76108" w:rsidTr="00B76108">
      <w:tc>
        <w:tcPr>
          <w:tcW w:w="1985" w:type="dxa"/>
        </w:tcPr>
        <w:p w:rsidR="002A1462" w:rsidRPr="00B76108" w:rsidRDefault="002A1462" w:rsidP="00322F3F">
          <w:pPr>
            <w:pStyle w:val="Footer"/>
          </w:pPr>
        </w:p>
      </w:tc>
      <w:tc>
        <w:tcPr>
          <w:tcW w:w="1559" w:type="dxa"/>
        </w:tcPr>
        <w:p w:rsidR="002A1462" w:rsidRPr="00B76108" w:rsidRDefault="002A1462" w:rsidP="00322F3F">
          <w:pPr>
            <w:pStyle w:val="Footer"/>
          </w:pPr>
          <w:r w:rsidRPr="00B76108">
            <w:t>Puutarhakatu 1</w:t>
          </w:r>
        </w:p>
      </w:tc>
      <w:tc>
        <w:tcPr>
          <w:tcW w:w="1630" w:type="dxa"/>
        </w:tcPr>
        <w:p w:rsidR="002A1462" w:rsidRPr="00B76108" w:rsidRDefault="002A1462" w:rsidP="00322F3F">
          <w:pPr>
            <w:pStyle w:val="Footer"/>
          </w:pPr>
          <w:r w:rsidRPr="00B76108">
            <w:t>Puolalankatu 5</w:t>
          </w:r>
        </w:p>
      </w:tc>
      <w:tc>
        <w:tcPr>
          <w:tcW w:w="1630" w:type="dxa"/>
        </w:tcPr>
        <w:p w:rsidR="002A1462" w:rsidRPr="00B76108" w:rsidRDefault="002A1462" w:rsidP="00322F3F">
          <w:pPr>
            <w:pStyle w:val="Footer"/>
          </w:pPr>
          <w:r w:rsidRPr="00B76108">
            <w:t>PL 355</w:t>
          </w:r>
        </w:p>
      </w:tc>
      <w:tc>
        <w:tcPr>
          <w:tcW w:w="909" w:type="dxa"/>
        </w:tcPr>
        <w:p w:rsidR="002A1462" w:rsidRPr="00B76108" w:rsidRDefault="002A1462" w:rsidP="00322F3F">
          <w:pPr>
            <w:pStyle w:val="Footer"/>
          </w:pPr>
          <w:r w:rsidRPr="00B76108">
            <w:t>Faksi</w:t>
          </w:r>
        </w:p>
      </w:tc>
      <w:tc>
        <w:tcPr>
          <w:tcW w:w="2351" w:type="dxa"/>
        </w:tcPr>
        <w:p w:rsidR="002A1462" w:rsidRPr="00B76108" w:rsidRDefault="002A1462" w:rsidP="00322F3F">
          <w:pPr>
            <w:pStyle w:val="Footer"/>
          </w:pPr>
          <w:r w:rsidRPr="00B76108">
            <w:t>+358 2 2627 229</w:t>
          </w:r>
        </w:p>
      </w:tc>
    </w:tr>
    <w:tr w:rsidR="002A1462" w:rsidRPr="00B76108" w:rsidTr="00B76108">
      <w:tc>
        <w:tcPr>
          <w:tcW w:w="1985" w:type="dxa"/>
        </w:tcPr>
        <w:p w:rsidR="002A1462" w:rsidRPr="00B76108" w:rsidRDefault="002A1462" w:rsidP="00322F3F">
          <w:pPr>
            <w:pStyle w:val="Footer"/>
          </w:pPr>
        </w:p>
      </w:tc>
      <w:tc>
        <w:tcPr>
          <w:tcW w:w="1559" w:type="dxa"/>
        </w:tcPr>
        <w:p w:rsidR="002A1462" w:rsidRPr="00B76108" w:rsidRDefault="002A1462" w:rsidP="00322F3F">
          <w:pPr>
            <w:pStyle w:val="Footer"/>
          </w:pPr>
          <w:r w:rsidRPr="00B76108">
            <w:t>20100 Turku</w:t>
          </w:r>
        </w:p>
      </w:tc>
      <w:tc>
        <w:tcPr>
          <w:tcW w:w="1630" w:type="dxa"/>
        </w:tcPr>
        <w:p w:rsidR="002A1462" w:rsidRPr="00B76108" w:rsidRDefault="002A1462" w:rsidP="00322F3F">
          <w:pPr>
            <w:pStyle w:val="Footer"/>
          </w:pPr>
          <w:r w:rsidRPr="00B76108">
            <w:t>20100 Turku</w:t>
          </w:r>
        </w:p>
      </w:tc>
      <w:tc>
        <w:tcPr>
          <w:tcW w:w="1630" w:type="dxa"/>
        </w:tcPr>
        <w:p w:rsidR="002A1462" w:rsidRPr="00B76108" w:rsidRDefault="002A1462" w:rsidP="00322F3F">
          <w:pPr>
            <w:pStyle w:val="Footer"/>
          </w:pPr>
          <w:r w:rsidRPr="00B76108">
            <w:t>20101 Turku</w:t>
          </w:r>
        </w:p>
      </w:tc>
      <w:tc>
        <w:tcPr>
          <w:tcW w:w="3260" w:type="dxa"/>
          <w:gridSpan w:val="2"/>
        </w:tcPr>
        <w:p w:rsidR="002A1462" w:rsidRPr="00B76108" w:rsidRDefault="002A1462" w:rsidP="00322F3F">
          <w:pPr>
            <w:pStyle w:val="Footer"/>
            <w:rPr>
              <w:b/>
            </w:rPr>
          </w:pPr>
          <w:r w:rsidRPr="00B76108">
            <w:rPr>
              <w:b/>
            </w:rPr>
            <w:t>www.turku.fi</w:t>
          </w:r>
        </w:p>
      </w:tc>
    </w:tr>
    <w:tr w:rsidR="002A1462" w:rsidRPr="00B76108" w:rsidTr="00B76108">
      <w:tc>
        <w:tcPr>
          <w:tcW w:w="1985" w:type="dxa"/>
        </w:tcPr>
        <w:p w:rsidR="002A1462" w:rsidRPr="00B76108" w:rsidRDefault="002A1462" w:rsidP="00322F3F">
          <w:pPr>
            <w:pStyle w:val="Footer"/>
          </w:pPr>
        </w:p>
      </w:tc>
      <w:tc>
        <w:tcPr>
          <w:tcW w:w="1559" w:type="dxa"/>
        </w:tcPr>
        <w:p w:rsidR="002A1462" w:rsidRPr="00B76108" w:rsidRDefault="002A1462" w:rsidP="00322F3F">
          <w:pPr>
            <w:pStyle w:val="Footer"/>
          </w:pPr>
        </w:p>
      </w:tc>
      <w:tc>
        <w:tcPr>
          <w:tcW w:w="1630" w:type="dxa"/>
        </w:tcPr>
        <w:p w:rsidR="002A1462" w:rsidRPr="00B76108" w:rsidRDefault="002A1462" w:rsidP="00322F3F">
          <w:pPr>
            <w:pStyle w:val="Footer"/>
          </w:pPr>
        </w:p>
      </w:tc>
      <w:tc>
        <w:tcPr>
          <w:tcW w:w="1630" w:type="dxa"/>
        </w:tcPr>
        <w:p w:rsidR="002A1462" w:rsidRPr="00B76108" w:rsidRDefault="002A1462" w:rsidP="00322F3F">
          <w:pPr>
            <w:pStyle w:val="Footer"/>
          </w:pPr>
        </w:p>
      </w:tc>
      <w:tc>
        <w:tcPr>
          <w:tcW w:w="3260" w:type="dxa"/>
          <w:gridSpan w:val="2"/>
        </w:tcPr>
        <w:p w:rsidR="002A1462" w:rsidRPr="00B76108" w:rsidRDefault="002A1462" w:rsidP="00322F3F">
          <w:pPr>
            <w:pStyle w:val="Footer"/>
            <w:rPr>
              <w:b/>
            </w:rPr>
          </w:pPr>
          <w:r w:rsidRPr="00B76108">
            <w:rPr>
              <w:b/>
            </w:rPr>
            <w:t>kiinteistoliikelaitos@turku.fi</w:t>
          </w:r>
        </w:p>
      </w:tc>
    </w:tr>
  </w:tbl>
  <w:p w:rsidR="002A1462" w:rsidRDefault="002A1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462" w:rsidRDefault="002A1462" w:rsidP="009F3CBA">
      <w:r>
        <w:separator/>
      </w:r>
    </w:p>
  </w:footnote>
  <w:footnote w:type="continuationSeparator" w:id="0">
    <w:p w:rsidR="002A1462" w:rsidRDefault="002A1462" w:rsidP="009F3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62" w:rsidRDefault="002A1462">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49" type="#_x0000_t75" alt="KIRJELOMAKE_piirros_30012012" style="position:absolute;margin-left:0;margin-top:0;width:439.4pt;height:622.15pt;z-index:-251658240;visibility:visible;mso-position-horizontal:center;mso-position-horizontal-relative:margin;mso-position-vertical:center;mso-position-vertical-relative:margin">
          <v:imagedata r:id="rId1" o:title=""/>
          <w10:wrap anchorx="margin" anchory="margin"/>
        </v:shape>
      </w:pict>
    </w:r>
    <w:r>
      <w:rPr>
        <w:noProof/>
        <w:lang w:eastAsia="fi-FI"/>
      </w:rPr>
      <w:pict>
        <v:shape id="WordPictureWatermark2" o:spid="_x0000_s2050" type="#_x0000_t75" style="position:absolute;margin-left:0;margin-top:0;width:439.4pt;height:622.15pt;z-index:-251657216;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A0"/>
    </w:tblPr>
    <w:tblGrid>
      <w:gridCol w:w="5144"/>
      <w:gridCol w:w="2573"/>
      <w:gridCol w:w="1286"/>
      <w:gridCol w:w="1032"/>
    </w:tblGrid>
    <w:tr w:rsidR="002A1462" w:rsidRPr="00B76108" w:rsidTr="00B76108">
      <w:tc>
        <w:tcPr>
          <w:tcW w:w="5144" w:type="dxa"/>
          <w:vMerge w:val="restart"/>
        </w:tcPr>
        <w:p w:rsidR="002A1462" w:rsidRPr="00B76108" w:rsidRDefault="002A1462" w:rsidP="00A7246A">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7" o:spid="_x0000_s2051" type="#_x0000_t75" style="position:absolute;margin-left:0;margin-top:0;width:104.3pt;height:29.85pt;z-index:251656192;visibility:visible;mso-position-horizontal-relative:page;mso-position-vertical-relative:page">
                <v:imagedata r:id="rId1" o:title=""/>
                <w10:wrap anchorx="page" anchory="page"/>
              </v:shape>
            </w:pict>
          </w:r>
        </w:p>
      </w:tc>
      <w:tc>
        <w:tcPr>
          <w:tcW w:w="2573" w:type="dxa"/>
        </w:tcPr>
        <w:p w:rsidR="002A1462" w:rsidRPr="00B76108" w:rsidRDefault="002A1462" w:rsidP="00EA4B9B">
          <w:pPr>
            <w:pStyle w:val="Header"/>
            <w:rPr>
              <w:b/>
            </w:rPr>
          </w:pPr>
          <w:r w:rsidRPr="00B76108">
            <w:rPr>
              <w:b/>
            </w:rPr>
            <w:t>Lausunto</w:t>
          </w:r>
        </w:p>
      </w:tc>
      <w:tc>
        <w:tcPr>
          <w:tcW w:w="1286" w:type="dxa"/>
        </w:tcPr>
        <w:p w:rsidR="002A1462" w:rsidRPr="00B76108" w:rsidRDefault="002A1462" w:rsidP="00A7246A">
          <w:pPr>
            <w:pStyle w:val="Header"/>
          </w:pPr>
        </w:p>
      </w:tc>
      <w:tc>
        <w:tcPr>
          <w:tcW w:w="1032" w:type="dxa"/>
        </w:tcPr>
        <w:p w:rsidR="002A1462" w:rsidRPr="00B76108" w:rsidRDefault="002A1462" w:rsidP="00B76108">
          <w:pPr>
            <w:pStyle w:val="Header"/>
            <w:jc w:val="right"/>
          </w:pPr>
          <w:fldSimple w:instr=" PAGE   \* MERGEFORMAT ">
            <w:r>
              <w:rPr>
                <w:noProof/>
              </w:rPr>
              <w:t>5</w:t>
            </w:r>
          </w:fldSimple>
          <w:r w:rsidRPr="00B76108">
            <w:t xml:space="preserve"> (</w:t>
          </w:r>
          <w:fldSimple w:instr=" NUMPAGES  \# &quot;0&quot; \* Arabic  \* MERGEFORMAT ">
            <w:r>
              <w:rPr>
                <w:noProof/>
              </w:rPr>
              <w:t>5</w:t>
            </w:r>
          </w:fldSimple>
          <w:r w:rsidRPr="00B76108">
            <w:t xml:space="preserve">) </w:t>
          </w:r>
        </w:p>
      </w:tc>
    </w:tr>
    <w:tr w:rsidR="002A1462" w:rsidRPr="00B76108" w:rsidTr="00B76108">
      <w:tc>
        <w:tcPr>
          <w:tcW w:w="5144" w:type="dxa"/>
          <w:vMerge/>
        </w:tcPr>
        <w:p w:rsidR="002A1462" w:rsidRPr="00B76108" w:rsidRDefault="002A1462" w:rsidP="00A7246A">
          <w:pPr>
            <w:pStyle w:val="Header"/>
          </w:pPr>
        </w:p>
      </w:tc>
      <w:tc>
        <w:tcPr>
          <w:tcW w:w="2573" w:type="dxa"/>
        </w:tcPr>
        <w:p w:rsidR="002A1462" w:rsidRPr="00B76108" w:rsidRDefault="002A1462" w:rsidP="00A7246A">
          <w:pPr>
            <w:pStyle w:val="Header"/>
          </w:pPr>
        </w:p>
      </w:tc>
      <w:tc>
        <w:tcPr>
          <w:tcW w:w="2318" w:type="dxa"/>
          <w:gridSpan w:val="2"/>
        </w:tcPr>
        <w:p w:rsidR="002A1462" w:rsidRPr="00B76108" w:rsidRDefault="002A1462" w:rsidP="00A7246A">
          <w:pPr>
            <w:pStyle w:val="Header"/>
          </w:pPr>
        </w:p>
      </w:tc>
    </w:tr>
    <w:tr w:rsidR="002A1462" w:rsidRPr="00B76108" w:rsidTr="00B76108">
      <w:tc>
        <w:tcPr>
          <w:tcW w:w="5144" w:type="dxa"/>
          <w:vMerge/>
        </w:tcPr>
        <w:p w:rsidR="002A1462" w:rsidRPr="00B76108" w:rsidRDefault="002A1462" w:rsidP="00A7246A">
          <w:pPr>
            <w:pStyle w:val="Header"/>
          </w:pPr>
        </w:p>
      </w:tc>
      <w:tc>
        <w:tcPr>
          <w:tcW w:w="2573" w:type="dxa"/>
        </w:tcPr>
        <w:p w:rsidR="002A1462" w:rsidRPr="00B76108" w:rsidRDefault="002A1462" w:rsidP="00A7246A">
          <w:pPr>
            <w:pStyle w:val="Header"/>
          </w:pPr>
        </w:p>
      </w:tc>
      <w:tc>
        <w:tcPr>
          <w:tcW w:w="2318" w:type="dxa"/>
          <w:gridSpan w:val="2"/>
        </w:tcPr>
        <w:p w:rsidR="002A1462" w:rsidRPr="00B76108" w:rsidRDefault="002A1462" w:rsidP="001418DE">
          <w:pPr>
            <w:pStyle w:val="Header"/>
          </w:pPr>
          <w:r w:rsidRPr="00B76108">
            <w:t>6236-2012</w:t>
          </w:r>
        </w:p>
      </w:tc>
    </w:tr>
    <w:tr w:rsidR="002A1462" w:rsidRPr="00B76108" w:rsidTr="00B76108">
      <w:tc>
        <w:tcPr>
          <w:tcW w:w="5144" w:type="dxa"/>
        </w:tcPr>
        <w:p w:rsidR="002A1462" w:rsidRPr="00B76108" w:rsidRDefault="002A1462" w:rsidP="00FD1AC4">
          <w:pPr>
            <w:pStyle w:val="Header"/>
          </w:pPr>
          <w:r w:rsidRPr="00B76108">
            <w:t>Kiinteistöliikelaitos</w:t>
          </w:r>
        </w:p>
        <w:p w:rsidR="002A1462" w:rsidRPr="00B76108" w:rsidRDefault="002A1462" w:rsidP="00FD1AC4">
          <w:pPr>
            <w:pStyle w:val="Header"/>
          </w:pPr>
        </w:p>
      </w:tc>
      <w:tc>
        <w:tcPr>
          <w:tcW w:w="2573" w:type="dxa"/>
        </w:tcPr>
        <w:p w:rsidR="002A1462" w:rsidRPr="00B76108" w:rsidRDefault="002A1462" w:rsidP="001418DE">
          <w:pPr>
            <w:pStyle w:val="Header"/>
          </w:pPr>
          <w:r w:rsidRPr="00B76108">
            <w:t>21.6.2012</w:t>
          </w:r>
        </w:p>
      </w:tc>
      <w:tc>
        <w:tcPr>
          <w:tcW w:w="2318" w:type="dxa"/>
          <w:gridSpan w:val="2"/>
        </w:tcPr>
        <w:p w:rsidR="002A1462" w:rsidRPr="00B76108" w:rsidRDefault="002A1462" w:rsidP="00A7246A">
          <w:pPr>
            <w:pStyle w:val="Header"/>
          </w:pPr>
        </w:p>
      </w:tc>
    </w:tr>
  </w:tbl>
  <w:p w:rsidR="002A1462" w:rsidRPr="004D660F" w:rsidRDefault="002A14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A0"/>
    </w:tblPr>
    <w:tblGrid>
      <w:gridCol w:w="5144"/>
      <w:gridCol w:w="2573"/>
      <w:gridCol w:w="1286"/>
      <w:gridCol w:w="1032"/>
    </w:tblGrid>
    <w:tr w:rsidR="002A1462" w:rsidRPr="00B76108" w:rsidTr="00B76108">
      <w:tc>
        <w:tcPr>
          <w:tcW w:w="5144" w:type="dxa"/>
          <w:vMerge w:val="restart"/>
        </w:tcPr>
        <w:p w:rsidR="002A1462" w:rsidRPr="00B76108" w:rsidRDefault="002A1462" w:rsidP="00D7731D">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8" o:spid="_x0000_s2052" type="#_x0000_t75" style="position:absolute;margin-left:0;margin-top:0;width:104.3pt;height:29.85pt;z-index:251657216;visibility:visible;mso-position-horizontal-relative:page;mso-position-vertical-relative:page">
                <v:imagedata r:id="rId1" o:title=""/>
                <w10:wrap anchorx="page" anchory="page"/>
              </v:shape>
            </w:pict>
          </w:r>
        </w:p>
      </w:tc>
      <w:tc>
        <w:tcPr>
          <w:tcW w:w="2573" w:type="dxa"/>
        </w:tcPr>
        <w:p w:rsidR="002A1462" w:rsidRPr="00B76108" w:rsidRDefault="002A1462" w:rsidP="00D7731D">
          <w:pPr>
            <w:pStyle w:val="Header"/>
            <w:rPr>
              <w:b/>
            </w:rPr>
          </w:pPr>
          <w:r w:rsidRPr="00B76108">
            <w:rPr>
              <w:b/>
            </w:rPr>
            <w:t>Lausunto</w:t>
          </w:r>
        </w:p>
      </w:tc>
      <w:tc>
        <w:tcPr>
          <w:tcW w:w="1286" w:type="dxa"/>
        </w:tcPr>
        <w:p w:rsidR="002A1462" w:rsidRPr="00B76108" w:rsidRDefault="002A1462" w:rsidP="00D7731D">
          <w:pPr>
            <w:pStyle w:val="Header"/>
          </w:pPr>
        </w:p>
      </w:tc>
      <w:tc>
        <w:tcPr>
          <w:tcW w:w="1032" w:type="dxa"/>
        </w:tcPr>
        <w:p w:rsidR="002A1462" w:rsidRPr="00B76108" w:rsidRDefault="002A1462" w:rsidP="00B76108">
          <w:pPr>
            <w:pStyle w:val="Header"/>
            <w:jc w:val="right"/>
          </w:pPr>
          <w:fldSimple w:instr=" PAGE   \* MERGEFORMAT ">
            <w:r>
              <w:rPr>
                <w:noProof/>
              </w:rPr>
              <w:t>1</w:t>
            </w:r>
          </w:fldSimple>
          <w:r w:rsidRPr="00B76108">
            <w:t xml:space="preserve"> (</w:t>
          </w:r>
          <w:fldSimple w:instr=" NUMPAGES  \# &quot;0&quot; \* Arabic  \* MERGEFORMAT ">
            <w:r>
              <w:rPr>
                <w:noProof/>
              </w:rPr>
              <w:t>5</w:t>
            </w:r>
          </w:fldSimple>
          <w:r w:rsidRPr="00B76108">
            <w:t xml:space="preserve">) </w:t>
          </w:r>
        </w:p>
      </w:tc>
    </w:tr>
    <w:tr w:rsidR="002A1462" w:rsidRPr="00B76108" w:rsidTr="00B76108">
      <w:tc>
        <w:tcPr>
          <w:tcW w:w="5144" w:type="dxa"/>
          <w:vMerge/>
        </w:tcPr>
        <w:p w:rsidR="002A1462" w:rsidRPr="00B76108" w:rsidRDefault="002A1462" w:rsidP="00D7731D">
          <w:pPr>
            <w:pStyle w:val="Header"/>
          </w:pPr>
        </w:p>
      </w:tc>
      <w:tc>
        <w:tcPr>
          <w:tcW w:w="2573" w:type="dxa"/>
        </w:tcPr>
        <w:p w:rsidR="002A1462" w:rsidRPr="00B76108" w:rsidRDefault="002A1462" w:rsidP="00D7731D">
          <w:pPr>
            <w:pStyle w:val="Header"/>
          </w:pPr>
        </w:p>
      </w:tc>
      <w:tc>
        <w:tcPr>
          <w:tcW w:w="2318" w:type="dxa"/>
          <w:gridSpan w:val="2"/>
        </w:tcPr>
        <w:p w:rsidR="002A1462" w:rsidRPr="00B76108" w:rsidRDefault="002A1462" w:rsidP="00D7731D">
          <w:pPr>
            <w:pStyle w:val="Header"/>
          </w:pPr>
        </w:p>
      </w:tc>
    </w:tr>
    <w:tr w:rsidR="002A1462" w:rsidRPr="00B76108" w:rsidTr="00B76108">
      <w:tc>
        <w:tcPr>
          <w:tcW w:w="5144" w:type="dxa"/>
          <w:vMerge/>
        </w:tcPr>
        <w:p w:rsidR="002A1462" w:rsidRPr="00B76108" w:rsidRDefault="002A1462" w:rsidP="00D7731D">
          <w:pPr>
            <w:pStyle w:val="Header"/>
          </w:pPr>
        </w:p>
      </w:tc>
      <w:tc>
        <w:tcPr>
          <w:tcW w:w="2573" w:type="dxa"/>
        </w:tcPr>
        <w:p w:rsidR="002A1462" w:rsidRPr="00B76108" w:rsidRDefault="002A1462" w:rsidP="00D7731D">
          <w:pPr>
            <w:pStyle w:val="Header"/>
          </w:pPr>
        </w:p>
      </w:tc>
      <w:tc>
        <w:tcPr>
          <w:tcW w:w="2318" w:type="dxa"/>
          <w:gridSpan w:val="2"/>
        </w:tcPr>
        <w:p w:rsidR="002A1462" w:rsidRPr="00B76108" w:rsidRDefault="002A1462" w:rsidP="00777B02">
          <w:pPr>
            <w:pStyle w:val="Header"/>
          </w:pPr>
          <w:r w:rsidRPr="00B76108">
            <w:t>6236-2012</w:t>
          </w:r>
        </w:p>
      </w:tc>
    </w:tr>
    <w:tr w:rsidR="002A1462" w:rsidRPr="00B76108" w:rsidTr="00B76108">
      <w:tc>
        <w:tcPr>
          <w:tcW w:w="5144" w:type="dxa"/>
        </w:tcPr>
        <w:p w:rsidR="002A1462" w:rsidRPr="00B76108" w:rsidRDefault="002A1462" w:rsidP="00777B02">
          <w:pPr>
            <w:pStyle w:val="Header"/>
          </w:pPr>
          <w:r w:rsidRPr="00B76108">
            <w:t>Kiinteistöliikelaitos</w:t>
          </w:r>
        </w:p>
      </w:tc>
      <w:tc>
        <w:tcPr>
          <w:tcW w:w="2573" w:type="dxa"/>
        </w:tcPr>
        <w:p w:rsidR="002A1462" w:rsidRPr="00B76108" w:rsidRDefault="002A1462" w:rsidP="00D7731D">
          <w:pPr>
            <w:pStyle w:val="Header"/>
          </w:pPr>
          <w:r w:rsidRPr="00B76108">
            <w:t>21.6.2012</w:t>
          </w:r>
        </w:p>
      </w:tc>
      <w:tc>
        <w:tcPr>
          <w:tcW w:w="2318" w:type="dxa"/>
          <w:gridSpan w:val="2"/>
        </w:tcPr>
        <w:p w:rsidR="002A1462" w:rsidRPr="00B76108" w:rsidRDefault="002A1462" w:rsidP="00D7731D">
          <w:pPr>
            <w:pStyle w:val="Header"/>
          </w:pPr>
        </w:p>
      </w:tc>
    </w:tr>
  </w:tbl>
  <w:p w:rsidR="002A1462" w:rsidRPr="004D660F" w:rsidRDefault="002A1462" w:rsidP="00D7731D">
    <w:pPr>
      <w:pStyle w:val="Header"/>
    </w:pPr>
  </w:p>
  <w:p w:rsidR="002A1462" w:rsidRDefault="002A14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F60A76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4D76157A"/>
    <w:lvl w:ilvl="0">
      <w:start w:val="1"/>
      <w:numFmt w:val="bullet"/>
      <w:lvlText w:val=""/>
      <w:lvlJc w:val="left"/>
      <w:pPr>
        <w:tabs>
          <w:tab w:val="num" w:pos="360"/>
        </w:tabs>
        <w:ind w:left="360" w:hanging="360"/>
      </w:pPr>
      <w:rPr>
        <w:rFonts w:ascii="Symbol" w:hAnsi="Symbol" w:hint="default"/>
      </w:rPr>
    </w:lvl>
  </w:abstractNum>
  <w:abstractNum w:abstractNumId="2">
    <w:nsid w:val="209A737D"/>
    <w:multiLevelType w:val="multilevel"/>
    <w:tmpl w:val="16DA1FC4"/>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nsid w:val="21D75B0D"/>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4AB6471"/>
    <w:multiLevelType w:val="multilevel"/>
    <w:tmpl w:val="16DA1FC4"/>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nsid w:val="259A4F28"/>
    <w:multiLevelType w:val="multilevel"/>
    <w:tmpl w:val="16DA1FC4"/>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nsid w:val="2FEA6E57"/>
    <w:multiLevelType w:val="multilevel"/>
    <w:tmpl w:val="E0EEBA2E"/>
    <w:styleLink w:val="Otsikkonumerointi"/>
    <w:lvl w:ilvl="0">
      <w:start w:val="1"/>
      <w:numFmt w:val="decimal"/>
      <w:lvlText w:val="%1"/>
      <w:lvlJc w:val="left"/>
      <w:pPr>
        <w:ind w:left="567" w:hanging="567"/>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1134" w:hanging="1134"/>
      </w:pPr>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7">
    <w:nsid w:val="34DF0878"/>
    <w:multiLevelType w:val="multilevel"/>
    <w:tmpl w:val="E0EEBA2E"/>
    <w:numStyleLink w:val="Otsikkonumerointi"/>
  </w:abstractNum>
  <w:abstractNum w:abstractNumId="8">
    <w:nsid w:val="39D561F5"/>
    <w:multiLevelType w:val="multilevel"/>
    <w:tmpl w:val="35707B26"/>
    <w:lvl w:ilvl="0">
      <w:start w:val="1"/>
      <w:numFmt w:val="decimal"/>
      <w:lvlText w:val="%1."/>
      <w:lvlJc w:val="left"/>
      <w:pPr>
        <w:ind w:left="3005" w:hanging="397"/>
      </w:pPr>
      <w:rPr>
        <w:rFonts w:cs="Times New Roman"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9">
    <w:nsid w:val="41E36618"/>
    <w:multiLevelType w:val="multilevel"/>
    <w:tmpl w:val="35707B26"/>
    <w:lvl w:ilvl="0">
      <w:start w:val="1"/>
      <w:numFmt w:val="decimal"/>
      <w:lvlText w:val="%1."/>
      <w:lvlJc w:val="left"/>
      <w:pPr>
        <w:ind w:left="3005" w:hanging="397"/>
      </w:pPr>
      <w:rPr>
        <w:rFonts w:cs="Times New Roman"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0">
    <w:nsid w:val="48AD6B2B"/>
    <w:multiLevelType w:val="multilevel"/>
    <w:tmpl w:val="16DA1FC4"/>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1">
    <w:nsid w:val="56FF4A48"/>
    <w:multiLevelType w:val="hybridMultilevel"/>
    <w:tmpl w:val="E6A29166"/>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5"/>
  </w:num>
  <w:num w:numId="8">
    <w:abstractNumId w:val="10"/>
  </w:num>
  <w:num w:numId="9">
    <w:abstractNumId w:val="4"/>
  </w:num>
  <w:num w:numId="10">
    <w:abstractNumId w:val="2"/>
  </w:num>
  <w:num w:numId="11">
    <w:abstractNumId w:val="9"/>
  </w:num>
  <w:num w:numId="12">
    <w:abstractNumId w:val="8"/>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2"/>
  </w:num>
  <w:num w:numId="26">
    <w:abstractNumId w:val="8"/>
  </w:num>
  <w:num w:numId="27">
    <w:abstractNumId w:val="2"/>
  </w:num>
  <w:num w:numId="28">
    <w:abstractNumId w:val="8"/>
  </w:num>
  <w:num w:numId="29">
    <w:abstractNumId w:val="6"/>
  </w:num>
  <w:num w:numId="30">
    <w:abstractNumId w:val="6"/>
  </w:num>
  <w:num w:numId="31">
    <w:abstractNumId w:val="2"/>
  </w:num>
  <w:num w:numId="32">
    <w:abstractNumId w:val="8"/>
  </w:num>
  <w:num w:numId="33">
    <w:abstractNumId w:val="7"/>
  </w:num>
  <w:num w:numId="34">
    <w:abstractNumId w:val="2"/>
  </w:num>
  <w:num w:numId="35">
    <w:abstractNumId w:val="8"/>
  </w:num>
  <w:num w:numId="36">
    <w:abstractNumId w:val="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B02"/>
    <w:rsid w:val="00010C85"/>
    <w:rsid w:val="00016B72"/>
    <w:rsid w:val="00053FE7"/>
    <w:rsid w:val="000677D0"/>
    <w:rsid w:val="00086499"/>
    <w:rsid w:val="00097C3B"/>
    <w:rsid w:val="000B69DF"/>
    <w:rsid w:val="000B7A5A"/>
    <w:rsid w:val="000C37EE"/>
    <w:rsid w:val="000E23B6"/>
    <w:rsid w:val="000F1C10"/>
    <w:rsid w:val="001004D8"/>
    <w:rsid w:val="00132D1A"/>
    <w:rsid w:val="001418DE"/>
    <w:rsid w:val="00142D37"/>
    <w:rsid w:val="0018528F"/>
    <w:rsid w:val="00196D6F"/>
    <w:rsid w:val="001E2141"/>
    <w:rsid w:val="00215DEC"/>
    <w:rsid w:val="00221B44"/>
    <w:rsid w:val="00244872"/>
    <w:rsid w:val="002533F3"/>
    <w:rsid w:val="00253CE2"/>
    <w:rsid w:val="00255F85"/>
    <w:rsid w:val="00261B8D"/>
    <w:rsid w:val="00270855"/>
    <w:rsid w:val="00277AE6"/>
    <w:rsid w:val="002A1462"/>
    <w:rsid w:val="002A4736"/>
    <w:rsid w:val="00322F3F"/>
    <w:rsid w:val="00337F44"/>
    <w:rsid w:val="00367CDC"/>
    <w:rsid w:val="003729B9"/>
    <w:rsid w:val="003740A8"/>
    <w:rsid w:val="003A3C48"/>
    <w:rsid w:val="003B2852"/>
    <w:rsid w:val="003C7A45"/>
    <w:rsid w:val="003E0DD4"/>
    <w:rsid w:val="003E2966"/>
    <w:rsid w:val="003F7B6A"/>
    <w:rsid w:val="00440BBB"/>
    <w:rsid w:val="004476A6"/>
    <w:rsid w:val="004552DC"/>
    <w:rsid w:val="004825FD"/>
    <w:rsid w:val="004827A4"/>
    <w:rsid w:val="004B2971"/>
    <w:rsid w:val="004C71E7"/>
    <w:rsid w:val="004D660F"/>
    <w:rsid w:val="004E2AF5"/>
    <w:rsid w:val="004F405D"/>
    <w:rsid w:val="005864BA"/>
    <w:rsid w:val="0059752B"/>
    <w:rsid w:val="005A49F6"/>
    <w:rsid w:val="005D1095"/>
    <w:rsid w:val="00641FA5"/>
    <w:rsid w:val="00644BEA"/>
    <w:rsid w:val="00652EC6"/>
    <w:rsid w:val="00655314"/>
    <w:rsid w:val="006A0576"/>
    <w:rsid w:val="006B3C55"/>
    <w:rsid w:val="006D25EC"/>
    <w:rsid w:val="006D6F7D"/>
    <w:rsid w:val="006E1618"/>
    <w:rsid w:val="006E5D5C"/>
    <w:rsid w:val="006F087B"/>
    <w:rsid w:val="006F7BCB"/>
    <w:rsid w:val="007236CB"/>
    <w:rsid w:val="007644A9"/>
    <w:rsid w:val="007742EF"/>
    <w:rsid w:val="00777B02"/>
    <w:rsid w:val="0079143A"/>
    <w:rsid w:val="007D4072"/>
    <w:rsid w:val="007D4EA0"/>
    <w:rsid w:val="00836A5F"/>
    <w:rsid w:val="00862608"/>
    <w:rsid w:val="00882C36"/>
    <w:rsid w:val="00896426"/>
    <w:rsid w:val="008A3C7F"/>
    <w:rsid w:val="008B6EAB"/>
    <w:rsid w:val="008E4FDB"/>
    <w:rsid w:val="008F2AAD"/>
    <w:rsid w:val="0091040D"/>
    <w:rsid w:val="0092315F"/>
    <w:rsid w:val="009433B0"/>
    <w:rsid w:val="00944380"/>
    <w:rsid w:val="00946BB1"/>
    <w:rsid w:val="00950E1D"/>
    <w:rsid w:val="009A48F0"/>
    <w:rsid w:val="009C14C8"/>
    <w:rsid w:val="009D6C46"/>
    <w:rsid w:val="009F2DC8"/>
    <w:rsid w:val="009F3CBA"/>
    <w:rsid w:val="00A070E5"/>
    <w:rsid w:val="00A31DD0"/>
    <w:rsid w:val="00A43168"/>
    <w:rsid w:val="00A7246A"/>
    <w:rsid w:val="00A937EB"/>
    <w:rsid w:val="00AA6D3C"/>
    <w:rsid w:val="00AC4286"/>
    <w:rsid w:val="00B76108"/>
    <w:rsid w:val="00B800AC"/>
    <w:rsid w:val="00B8141A"/>
    <w:rsid w:val="00BA1D3B"/>
    <w:rsid w:val="00BB06CE"/>
    <w:rsid w:val="00BD58A6"/>
    <w:rsid w:val="00C128A4"/>
    <w:rsid w:val="00C20469"/>
    <w:rsid w:val="00C20C97"/>
    <w:rsid w:val="00C4788C"/>
    <w:rsid w:val="00C84C57"/>
    <w:rsid w:val="00CE4240"/>
    <w:rsid w:val="00D25D0E"/>
    <w:rsid w:val="00D27469"/>
    <w:rsid w:val="00D72C9F"/>
    <w:rsid w:val="00D73A0B"/>
    <w:rsid w:val="00D7731D"/>
    <w:rsid w:val="00D917D2"/>
    <w:rsid w:val="00DA5F33"/>
    <w:rsid w:val="00DB10D8"/>
    <w:rsid w:val="00E10615"/>
    <w:rsid w:val="00E247CD"/>
    <w:rsid w:val="00E5122F"/>
    <w:rsid w:val="00E53691"/>
    <w:rsid w:val="00EA2920"/>
    <w:rsid w:val="00EA4B9B"/>
    <w:rsid w:val="00F02D0B"/>
    <w:rsid w:val="00F148B9"/>
    <w:rsid w:val="00F37CF9"/>
    <w:rsid w:val="00F40CB2"/>
    <w:rsid w:val="00F462B9"/>
    <w:rsid w:val="00F62974"/>
    <w:rsid w:val="00F732E7"/>
    <w:rsid w:val="00FD1AC4"/>
    <w:rsid w:val="00FF5898"/>
    <w:rsid w:val="00FF6AE9"/>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27A4"/>
    <w:rPr>
      <w:lang w:eastAsia="en-US"/>
    </w:rPr>
  </w:style>
  <w:style w:type="paragraph" w:styleId="Heading1">
    <w:name w:val="heading 1"/>
    <w:basedOn w:val="Normal"/>
    <w:next w:val="Normal"/>
    <w:link w:val="Heading1Char"/>
    <w:uiPriority w:val="99"/>
    <w:qFormat/>
    <w:rsid w:val="004827A4"/>
    <w:pPr>
      <w:keepNext/>
      <w:keepLines/>
      <w:outlineLvl w:val="0"/>
    </w:pPr>
    <w:rPr>
      <w:rFonts w:eastAsia="MS Gothic" w:cs="Times New Roman"/>
      <w:bCs/>
      <w:sz w:val="24"/>
      <w:szCs w:val="28"/>
    </w:rPr>
  </w:style>
  <w:style w:type="paragraph" w:styleId="Heading2">
    <w:name w:val="heading 2"/>
    <w:basedOn w:val="Normal"/>
    <w:next w:val="Normal"/>
    <w:link w:val="Heading2Char"/>
    <w:uiPriority w:val="99"/>
    <w:qFormat/>
    <w:rsid w:val="004827A4"/>
    <w:pPr>
      <w:keepNext/>
      <w:keepLines/>
      <w:ind w:left="1304"/>
      <w:outlineLvl w:val="1"/>
    </w:pPr>
    <w:rPr>
      <w:rFonts w:eastAsia="MS Gothic" w:cs="Times New Roman"/>
      <w:bCs/>
      <w:sz w:val="24"/>
      <w:szCs w:val="26"/>
    </w:rPr>
  </w:style>
  <w:style w:type="paragraph" w:styleId="Heading3">
    <w:name w:val="heading 3"/>
    <w:basedOn w:val="Normal"/>
    <w:next w:val="Normal"/>
    <w:link w:val="Heading3Char"/>
    <w:uiPriority w:val="99"/>
    <w:qFormat/>
    <w:rsid w:val="004827A4"/>
    <w:pPr>
      <w:keepNext/>
      <w:keepLines/>
      <w:ind w:left="2608"/>
      <w:outlineLvl w:val="2"/>
    </w:pPr>
    <w:rPr>
      <w:rFonts w:eastAsia="MS Gothic" w:cs="Times New Roman"/>
      <w:bCs/>
      <w:sz w:val="24"/>
    </w:rPr>
  </w:style>
  <w:style w:type="paragraph" w:styleId="Heading4">
    <w:name w:val="heading 4"/>
    <w:basedOn w:val="Normal"/>
    <w:next w:val="Normal"/>
    <w:link w:val="Heading4Char"/>
    <w:uiPriority w:val="99"/>
    <w:qFormat/>
    <w:rsid w:val="004827A4"/>
    <w:pPr>
      <w:keepNext/>
      <w:keepLines/>
      <w:outlineLvl w:val="3"/>
    </w:pPr>
    <w:rPr>
      <w:rFonts w:eastAsia="MS Gothic" w:cs="Times New Roman"/>
      <w:bCs/>
      <w:iCs/>
    </w:rPr>
  </w:style>
  <w:style w:type="paragraph" w:styleId="Heading5">
    <w:name w:val="heading 5"/>
    <w:basedOn w:val="Normal"/>
    <w:next w:val="Normal"/>
    <w:link w:val="Heading5Char"/>
    <w:uiPriority w:val="99"/>
    <w:qFormat/>
    <w:rsid w:val="004827A4"/>
    <w:pPr>
      <w:keepNext/>
      <w:keepLines/>
      <w:outlineLvl w:val="4"/>
    </w:pPr>
    <w:rPr>
      <w:rFonts w:eastAsia="MS Gothic" w:cs="Times New Roman"/>
    </w:rPr>
  </w:style>
  <w:style w:type="paragraph" w:styleId="Heading6">
    <w:name w:val="heading 6"/>
    <w:basedOn w:val="Normal"/>
    <w:next w:val="Normal"/>
    <w:link w:val="Heading6Char"/>
    <w:uiPriority w:val="99"/>
    <w:qFormat/>
    <w:rsid w:val="004827A4"/>
    <w:pPr>
      <w:keepNext/>
      <w:keepLines/>
      <w:outlineLvl w:val="5"/>
    </w:pPr>
    <w:rPr>
      <w:rFonts w:eastAsia="MS Gothic" w:cs="Times New Roman"/>
      <w:iCs/>
    </w:rPr>
  </w:style>
  <w:style w:type="paragraph" w:styleId="Heading7">
    <w:name w:val="heading 7"/>
    <w:basedOn w:val="Normal"/>
    <w:next w:val="Normal"/>
    <w:link w:val="Heading7Char"/>
    <w:uiPriority w:val="99"/>
    <w:qFormat/>
    <w:rsid w:val="004827A4"/>
    <w:pPr>
      <w:keepNext/>
      <w:keepLines/>
      <w:outlineLvl w:val="6"/>
    </w:pPr>
    <w:rPr>
      <w:rFonts w:eastAsia="MS Gothic" w:cs="Times New Roman"/>
      <w:iCs/>
    </w:rPr>
  </w:style>
  <w:style w:type="paragraph" w:styleId="Heading8">
    <w:name w:val="heading 8"/>
    <w:basedOn w:val="Normal"/>
    <w:next w:val="Normal"/>
    <w:link w:val="Heading8Char"/>
    <w:uiPriority w:val="99"/>
    <w:qFormat/>
    <w:rsid w:val="004827A4"/>
    <w:pPr>
      <w:keepNext/>
      <w:keepLines/>
      <w:outlineLvl w:val="7"/>
    </w:pPr>
    <w:rPr>
      <w:rFonts w:eastAsia="MS Gothic" w:cs="Times New Roman"/>
      <w:szCs w:val="20"/>
    </w:rPr>
  </w:style>
  <w:style w:type="paragraph" w:styleId="Heading9">
    <w:name w:val="heading 9"/>
    <w:basedOn w:val="Normal"/>
    <w:next w:val="Normal"/>
    <w:link w:val="Heading9Char"/>
    <w:uiPriority w:val="99"/>
    <w:qFormat/>
    <w:rsid w:val="004827A4"/>
    <w:pPr>
      <w:keepNext/>
      <w:keepLines/>
      <w:outlineLvl w:val="8"/>
    </w:pPr>
    <w:rPr>
      <w:rFonts w:eastAsia="MS Gothic" w:cs="Times New Roman"/>
      <w:i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27A4"/>
    <w:rPr>
      <w:rFonts w:ascii="Arial" w:eastAsia="MS Gothic" w:hAnsi="Arial" w:cs="Times New Roman"/>
      <w:bCs/>
      <w:sz w:val="28"/>
      <w:szCs w:val="28"/>
    </w:rPr>
  </w:style>
  <w:style w:type="character" w:customStyle="1" w:styleId="Heading2Char">
    <w:name w:val="Heading 2 Char"/>
    <w:basedOn w:val="DefaultParagraphFont"/>
    <w:link w:val="Heading2"/>
    <w:uiPriority w:val="99"/>
    <w:locked/>
    <w:rsid w:val="004827A4"/>
    <w:rPr>
      <w:rFonts w:ascii="Arial" w:eastAsia="MS Gothic" w:hAnsi="Arial" w:cs="Times New Roman"/>
      <w:bCs/>
      <w:sz w:val="26"/>
      <w:szCs w:val="26"/>
    </w:rPr>
  </w:style>
  <w:style w:type="character" w:customStyle="1" w:styleId="Heading3Char">
    <w:name w:val="Heading 3 Char"/>
    <w:basedOn w:val="DefaultParagraphFont"/>
    <w:link w:val="Heading3"/>
    <w:uiPriority w:val="99"/>
    <w:locked/>
    <w:rsid w:val="004827A4"/>
    <w:rPr>
      <w:rFonts w:ascii="Arial" w:eastAsia="MS Gothic" w:hAnsi="Arial" w:cs="Times New Roman"/>
      <w:bCs/>
      <w:sz w:val="24"/>
    </w:rPr>
  </w:style>
  <w:style w:type="character" w:customStyle="1" w:styleId="Heading4Char">
    <w:name w:val="Heading 4 Char"/>
    <w:basedOn w:val="DefaultParagraphFont"/>
    <w:link w:val="Heading4"/>
    <w:uiPriority w:val="99"/>
    <w:locked/>
    <w:rsid w:val="004827A4"/>
    <w:rPr>
      <w:rFonts w:ascii="Arial" w:eastAsia="MS Gothic" w:hAnsi="Arial" w:cs="Times New Roman"/>
      <w:bCs/>
      <w:iCs/>
    </w:rPr>
  </w:style>
  <w:style w:type="character" w:customStyle="1" w:styleId="Heading5Char">
    <w:name w:val="Heading 5 Char"/>
    <w:basedOn w:val="DefaultParagraphFont"/>
    <w:link w:val="Heading5"/>
    <w:uiPriority w:val="99"/>
    <w:locked/>
    <w:rsid w:val="004827A4"/>
    <w:rPr>
      <w:rFonts w:ascii="Arial" w:eastAsia="MS Gothic" w:hAnsi="Arial" w:cs="Times New Roman"/>
    </w:rPr>
  </w:style>
  <w:style w:type="character" w:customStyle="1" w:styleId="Heading6Char">
    <w:name w:val="Heading 6 Char"/>
    <w:basedOn w:val="DefaultParagraphFont"/>
    <w:link w:val="Heading6"/>
    <w:uiPriority w:val="99"/>
    <w:locked/>
    <w:rsid w:val="004827A4"/>
    <w:rPr>
      <w:rFonts w:ascii="Arial" w:eastAsia="MS Gothic" w:hAnsi="Arial" w:cs="Times New Roman"/>
      <w:iCs/>
    </w:rPr>
  </w:style>
  <w:style w:type="character" w:customStyle="1" w:styleId="Heading7Char">
    <w:name w:val="Heading 7 Char"/>
    <w:basedOn w:val="DefaultParagraphFont"/>
    <w:link w:val="Heading7"/>
    <w:uiPriority w:val="99"/>
    <w:locked/>
    <w:rsid w:val="004827A4"/>
    <w:rPr>
      <w:rFonts w:ascii="Arial" w:eastAsia="MS Gothic" w:hAnsi="Arial" w:cs="Times New Roman"/>
      <w:iCs/>
    </w:rPr>
  </w:style>
  <w:style w:type="character" w:customStyle="1" w:styleId="Heading8Char">
    <w:name w:val="Heading 8 Char"/>
    <w:basedOn w:val="DefaultParagraphFont"/>
    <w:link w:val="Heading8"/>
    <w:uiPriority w:val="99"/>
    <w:locked/>
    <w:rsid w:val="004827A4"/>
    <w:rPr>
      <w:rFonts w:ascii="Arial" w:eastAsia="MS Gothic" w:hAnsi="Arial" w:cs="Times New Roman"/>
      <w:sz w:val="20"/>
      <w:szCs w:val="20"/>
    </w:rPr>
  </w:style>
  <w:style w:type="character" w:customStyle="1" w:styleId="Heading9Char">
    <w:name w:val="Heading 9 Char"/>
    <w:basedOn w:val="DefaultParagraphFont"/>
    <w:link w:val="Heading9"/>
    <w:uiPriority w:val="99"/>
    <w:locked/>
    <w:rsid w:val="004827A4"/>
    <w:rPr>
      <w:rFonts w:ascii="Arial" w:eastAsia="MS Gothic" w:hAnsi="Arial" w:cs="Times New Roman"/>
      <w:iCs/>
      <w:sz w:val="20"/>
      <w:szCs w:val="20"/>
    </w:rPr>
  </w:style>
  <w:style w:type="paragraph" w:styleId="BodyText">
    <w:name w:val="Body Text"/>
    <w:basedOn w:val="Normal"/>
    <w:link w:val="BodyTextChar"/>
    <w:uiPriority w:val="99"/>
    <w:rsid w:val="008E4FDB"/>
    <w:pPr>
      <w:spacing w:after="220"/>
      <w:ind w:left="2608"/>
    </w:pPr>
  </w:style>
  <w:style w:type="character" w:customStyle="1" w:styleId="BodyTextChar">
    <w:name w:val="Body Text Char"/>
    <w:basedOn w:val="DefaultParagraphFont"/>
    <w:link w:val="BodyText"/>
    <w:uiPriority w:val="99"/>
    <w:locked/>
    <w:rsid w:val="00A7246A"/>
    <w:rPr>
      <w:rFonts w:cs="Times New Roman"/>
    </w:rPr>
  </w:style>
  <w:style w:type="paragraph" w:styleId="Title">
    <w:name w:val="Title"/>
    <w:basedOn w:val="Normal"/>
    <w:next w:val="Normal"/>
    <w:link w:val="TitleChar"/>
    <w:uiPriority w:val="99"/>
    <w:qFormat/>
    <w:rsid w:val="004827A4"/>
    <w:rPr>
      <w:rFonts w:eastAsia="MS Gothic"/>
      <w:b/>
      <w:sz w:val="24"/>
      <w:szCs w:val="52"/>
    </w:rPr>
  </w:style>
  <w:style w:type="character" w:customStyle="1" w:styleId="TitleChar">
    <w:name w:val="Title Char"/>
    <w:basedOn w:val="DefaultParagraphFont"/>
    <w:link w:val="Title"/>
    <w:uiPriority w:val="99"/>
    <w:locked/>
    <w:rsid w:val="004827A4"/>
    <w:rPr>
      <w:rFonts w:ascii="Arial" w:eastAsia="MS Gothic" w:hAnsi="Arial" w:cs="Arial"/>
      <w:b/>
      <w:sz w:val="52"/>
      <w:szCs w:val="52"/>
    </w:rPr>
  </w:style>
  <w:style w:type="paragraph" w:styleId="Header">
    <w:name w:val="header"/>
    <w:basedOn w:val="Normal"/>
    <w:link w:val="HeaderChar"/>
    <w:uiPriority w:val="99"/>
    <w:rsid w:val="004827A4"/>
  </w:style>
  <w:style w:type="character" w:customStyle="1" w:styleId="HeaderChar">
    <w:name w:val="Header Char"/>
    <w:basedOn w:val="DefaultParagraphFont"/>
    <w:link w:val="Header"/>
    <w:uiPriority w:val="99"/>
    <w:locked/>
    <w:rsid w:val="004827A4"/>
    <w:rPr>
      <w:rFonts w:cs="Times New Roman"/>
    </w:rPr>
  </w:style>
  <w:style w:type="paragraph" w:styleId="Footer">
    <w:name w:val="footer"/>
    <w:basedOn w:val="Normal"/>
    <w:link w:val="FooterChar"/>
    <w:uiPriority w:val="99"/>
    <w:rsid w:val="004827A4"/>
    <w:rPr>
      <w:noProof/>
      <w:sz w:val="18"/>
    </w:rPr>
  </w:style>
  <w:style w:type="character" w:customStyle="1" w:styleId="FooterChar">
    <w:name w:val="Footer Char"/>
    <w:basedOn w:val="DefaultParagraphFont"/>
    <w:link w:val="Footer"/>
    <w:uiPriority w:val="99"/>
    <w:locked/>
    <w:rsid w:val="004827A4"/>
    <w:rPr>
      <w:rFonts w:cs="Times New Roman"/>
      <w:noProof/>
      <w:sz w:val="18"/>
    </w:rPr>
  </w:style>
  <w:style w:type="paragraph" w:customStyle="1" w:styleId="Ehdotuspts">
    <w:name w:val="Ehdotus/päätös"/>
    <w:basedOn w:val="Normal"/>
    <w:uiPriority w:val="99"/>
    <w:rsid w:val="004827A4"/>
    <w:pPr>
      <w:widowControl w:val="0"/>
      <w:ind w:left="2608" w:hanging="1304"/>
    </w:pPr>
  </w:style>
  <w:style w:type="paragraph" w:customStyle="1" w:styleId="Liiteoheismateriaali">
    <w:name w:val="Liite/oheismateriaali"/>
    <w:basedOn w:val="Normal"/>
    <w:uiPriority w:val="99"/>
    <w:rsid w:val="004827A4"/>
    <w:pPr>
      <w:ind w:left="5216" w:hanging="2608"/>
    </w:pPr>
  </w:style>
  <w:style w:type="paragraph" w:styleId="ListBullet">
    <w:name w:val="List Bullet"/>
    <w:basedOn w:val="Normal"/>
    <w:uiPriority w:val="99"/>
    <w:semiHidden/>
    <w:rsid w:val="008E4FDB"/>
    <w:pPr>
      <w:numPr>
        <w:numId w:val="30"/>
      </w:numPr>
      <w:spacing w:after="220"/>
      <w:ind w:left="3005" w:hanging="397"/>
      <w:contextualSpacing/>
    </w:pPr>
  </w:style>
  <w:style w:type="character" w:styleId="PlaceholderText">
    <w:name w:val="Placeholder Text"/>
    <w:basedOn w:val="DefaultParagraphFont"/>
    <w:uiPriority w:val="99"/>
    <w:rsid w:val="003C7A45"/>
    <w:rPr>
      <w:rFonts w:cs="Times New Roman"/>
      <w:color w:val="auto"/>
    </w:rPr>
  </w:style>
  <w:style w:type="paragraph" w:styleId="ListNumber">
    <w:name w:val="List Number"/>
    <w:basedOn w:val="Normal"/>
    <w:uiPriority w:val="99"/>
    <w:semiHidden/>
    <w:rsid w:val="008E4FDB"/>
    <w:pPr>
      <w:numPr>
        <w:numId w:val="31"/>
      </w:numPr>
      <w:spacing w:after="220"/>
      <w:contextualSpacing/>
    </w:pPr>
  </w:style>
  <w:style w:type="paragraph" w:styleId="NoSpacing">
    <w:name w:val="No Spacing"/>
    <w:uiPriority w:val="99"/>
    <w:qFormat/>
    <w:rsid w:val="008E4FDB"/>
    <w:pPr>
      <w:ind w:left="2608"/>
    </w:pPr>
    <w:rPr>
      <w:lang w:eastAsia="en-US"/>
    </w:rPr>
  </w:style>
  <w:style w:type="table" w:styleId="TableGrid">
    <w:name w:val="Table Grid"/>
    <w:basedOn w:val="TableNormal"/>
    <w:uiPriority w:val="99"/>
    <w:rsid w:val="009F3C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eunaviivaa">
    <w:name w:val="Ei reunaviivaa"/>
    <w:uiPriority w:val="99"/>
    <w:rsid w:val="009F3CBA"/>
    <w:rPr>
      <w:sz w:val="20"/>
      <w:szCs w:val="20"/>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rsid w:val="009F3C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3CBA"/>
    <w:rPr>
      <w:rFonts w:ascii="Tahoma" w:hAnsi="Tahoma" w:cs="Tahoma"/>
      <w:sz w:val="16"/>
      <w:szCs w:val="16"/>
    </w:rPr>
  </w:style>
  <w:style w:type="paragraph" w:styleId="TOCHeading">
    <w:name w:val="TOC Heading"/>
    <w:basedOn w:val="Heading1"/>
    <w:next w:val="Normal"/>
    <w:uiPriority w:val="99"/>
    <w:qFormat/>
    <w:rsid w:val="004827A4"/>
    <w:pPr>
      <w:outlineLvl w:val="9"/>
    </w:pPr>
    <w:rPr>
      <w:sz w:val="30"/>
      <w:lang w:eastAsia="fi-FI"/>
    </w:rPr>
  </w:style>
  <w:style w:type="paragraph" w:styleId="TOC1">
    <w:name w:val="toc 1"/>
    <w:basedOn w:val="Normal"/>
    <w:next w:val="Normal"/>
    <w:autoRedefine/>
    <w:uiPriority w:val="99"/>
    <w:rsid w:val="004827A4"/>
    <w:rPr>
      <w:b/>
      <w:sz w:val="28"/>
    </w:rPr>
  </w:style>
  <w:style w:type="paragraph" w:styleId="TOC2">
    <w:name w:val="toc 2"/>
    <w:basedOn w:val="Normal"/>
    <w:next w:val="Normal"/>
    <w:autoRedefine/>
    <w:uiPriority w:val="99"/>
    <w:rsid w:val="004827A4"/>
    <w:pPr>
      <w:ind w:left="221"/>
    </w:pPr>
    <w:rPr>
      <w:b/>
      <w:sz w:val="24"/>
    </w:rPr>
  </w:style>
  <w:style w:type="paragraph" w:styleId="TOC3">
    <w:name w:val="toc 3"/>
    <w:basedOn w:val="Normal"/>
    <w:next w:val="Normal"/>
    <w:autoRedefine/>
    <w:uiPriority w:val="99"/>
    <w:rsid w:val="004827A4"/>
    <w:pPr>
      <w:ind w:left="442"/>
    </w:pPr>
    <w:rPr>
      <w:sz w:val="24"/>
    </w:rPr>
  </w:style>
  <w:style w:type="character" w:styleId="Hyperlink">
    <w:name w:val="Hyperlink"/>
    <w:basedOn w:val="DefaultParagraphFont"/>
    <w:uiPriority w:val="99"/>
    <w:rsid w:val="00862608"/>
    <w:rPr>
      <w:rFonts w:cs="Times New Roman"/>
      <w:color w:val="0000FF"/>
      <w:u w:val="single"/>
    </w:rPr>
  </w:style>
  <w:style w:type="paragraph" w:styleId="TOC4">
    <w:name w:val="toc 4"/>
    <w:basedOn w:val="Normal"/>
    <w:next w:val="Normal"/>
    <w:autoRedefine/>
    <w:uiPriority w:val="99"/>
    <w:rsid w:val="004827A4"/>
    <w:pPr>
      <w:ind w:left="658"/>
    </w:pPr>
  </w:style>
  <w:style w:type="paragraph" w:styleId="TOC5">
    <w:name w:val="toc 5"/>
    <w:basedOn w:val="Normal"/>
    <w:next w:val="Normal"/>
    <w:autoRedefine/>
    <w:uiPriority w:val="99"/>
    <w:rsid w:val="004827A4"/>
    <w:pPr>
      <w:ind w:left="879"/>
    </w:pPr>
  </w:style>
  <w:style w:type="paragraph" w:styleId="TOC6">
    <w:name w:val="toc 6"/>
    <w:basedOn w:val="Normal"/>
    <w:next w:val="Normal"/>
    <w:autoRedefine/>
    <w:uiPriority w:val="99"/>
    <w:rsid w:val="004827A4"/>
    <w:pPr>
      <w:ind w:left="1100"/>
    </w:pPr>
  </w:style>
  <w:style w:type="paragraph" w:styleId="TOC7">
    <w:name w:val="toc 7"/>
    <w:basedOn w:val="Normal"/>
    <w:next w:val="Normal"/>
    <w:autoRedefine/>
    <w:uiPriority w:val="99"/>
    <w:rsid w:val="004827A4"/>
    <w:pPr>
      <w:ind w:left="1321"/>
    </w:pPr>
  </w:style>
  <w:style w:type="paragraph" w:styleId="TOC8">
    <w:name w:val="toc 8"/>
    <w:basedOn w:val="Normal"/>
    <w:next w:val="Normal"/>
    <w:autoRedefine/>
    <w:uiPriority w:val="99"/>
    <w:rsid w:val="004827A4"/>
    <w:pPr>
      <w:ind w:left="1542"/>
    </w:pPr>
  </w:style>
  <w:style w:type="paragraph" w:styleId="TOC9">
    <w:name w:val="toc 9"/>
    <w:basedOn w:val="Normal"/>
    <w:next w:val="Normal"/>
    <w:autoRedefine/>
    <w:uiPriority w:val="99"/>
    <w:rsid w:val="004827A4"/>
    <w:pPr>
      <w:ind w:left="1758"/>
    </w:pPr>
  </w:style>
  <w:style w:type="paragraph" w:styleId="ListParagraph">
    <w:name w:val="List Paragraph"/>
    <w:basedOn w:val="Normal"/>
    <w:uiPriority w:val="99"/>
    <w:qFormat/>
    <w:rsid w:val="0059752B"/>
    <w:pPr>
      <w:ind w:left="720"/>
      <w:contextualSpacing/>
    </w:pPr>
  </w:style>
  <w:style w:type="numbering" w:customStyle="1" w:styleId="Otsikkonumerointi">
    <w:name w:val="Otsikkonumerointi"/>
    <w:rsid w:val="00BF5BC3"/>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ettala\Application%20Data\Microsoft\Mallit\Turku%20yhteiset\Kirje%20Suom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Kirje Suomi .dotx</Template>
  <TotalTime>1</TotalTime>
  <Pages>5</Pages>
  <Words>1374</Words>
  <Characters>11131</Characters>
  <Application>Microsoft Office Outlook</Application>
  <DocSecurity>0</DocSecurity>
  <Lines>0</Lines>
  <Paragraphs>0</Paragraphs>
  <ScaleCrop>false</ScaleCrop>
  <Company>Turun kaupunki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Mettälä Esa</dc:creator>
  <cp:keywords/>
  <dc:description/>
  <cp:lastModifiedBy>Irene Luomala</cp:lastModifiedBy>
  <cp:revision>2</cp:revision>
  <cp:lastPrinted>2012-06-25T05:27:00Z</cp:lastPrinted>
  <dcterms:created xsi:type="dcterms:W3CDTF">2012-06-25T05:28:00Z</dcterms:created>
  <dcterms:modified xsi:type="dcterms:W3CDTF">2012-06-25T05:28:00Z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0x0101002AFACC298AF947A5ADCFAA7F6CE41CB80300F03507E7F47CD3489772E1E77EBD5970</vt:lpwstr>
  </property>
  <property fmtid="{D5CDD505-2E9C-101B-9397-08002B2CF9AE}" pid="3" name="TudoDocAgingDate">
    <vt:lpwstr>2012-08-29T15:32:53Z</vt:lpwstr>
  </property>
  <property fmtid="{D5CDD505-2E9C-101B-9397-08002B2CF9AE}" pid="4" name="TudoDecisionMeetingDate">
    <vt:lpwstr>2012-06-21T03:00:00Z</vt:lpwstr>
  </property>
  <property fmtid="{D5CDD505-2E9C-101B-9397-08002B2CF9AE}" pid="5" name="TudoKey">
    <vt:lpwstr>6236-2012</vt:lpwstr>
  </property>
  <property fmtid="{D5CDD505-2E9C-101B-9397-08002B2CF9AE}" pid="6" name="TudoStatus">
    <vt:lpwstr/>
  </property>
  <property fmtid="{D5CDD505-2E9C-101B-9397-08002B2CF9AE}" pid="7" name="TudoLetterType">
    <vt:lpwstr>Lausunto</vt:lpwstr>
  </property>
  <property fmtid="{D5CDD505-2E9C-101B-9397-08002B2CF9AE}" pid="8" name="Comments">
    <vt:lpwstr/>
  </property>
  <property fmtid="{D5CDD505-2E9C-101B-9397-08002B2CF9AE}" pid="9" name="TudoStorageTime10Year">
    <vt:lpwstr>Vuosi</vt:lpwstr>
  </property>
  <property fmtid="{D5CDD505-2E9C-101B-9397-08002B2CF9AE}" pid="10" name="_dlc_ExpireDate">
    <vt:lpwstr>2012-08-29T15:30:44Z</vt:lpwstr>
  </property>
  <property fmtid="{D5CDD505-2E9C-101B-9397-08002B2CF9AE}" pid="11" name="_dlc_ExpireDateSaved">
    <vt:lpwstr/>
  </property>
</Properties>
</file>