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:rsidR="004012C2" w:rsidRPr="00194147" w:rsidRDefault="00EF644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hAnsi="Arial" w:cs="Arial"/>
              </w:rPr>
              <w:t xml:space="preserve">Valtioneuvoston asetus </w:t>
            </w:r>
            <w:r w:rsidRPr="00A755FF">
              <w:rPr>
                <w:rFonts w:ascii="Arial" w:hAnsi="Arial" w:cs="Arial"/>
              </w:rPr>
              <w:t>yleisen edun kanavien uutis- ja ajankohtaistoiminnan tu</w:t>
            </w:r>
            <w:r>
              <w:rPr>
                <w:rFonts w:ascii="Arial" w:hAnsi="Arial" w:cs="Arial"/>
              </w:rPr>
              <w:t>esta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94147" w:rsidRDefault="001B3EF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</w:t>
            </w:r>
            <w:r w:rsidRPr="001B3EF2">
              <w:rPr>
                <w:rFonts w:ascii="Arial" w:eastAsia="Times New Roman" w:hAnsi="Arial" w:cs="Arial"/>
                <w:lang w:eastAsia="fi-FI"/>
              </w:rPr>
              <w:t>1306/03/2017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B3EF2" w:rsidRDefault="001B3EF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B3EF2">
              <w:rPr>
                <w:rFonts w:ascii="Arial" w:eastAsia="Times New Roman" w:hAnsi="Arial" w:cs="Arial"/>
                <w:lang w:eastAsia="fi-FI"/>
              </w:rPr>
              <w:t>LVM040:00/2017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1B3EF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26.6.2017</w:t>
            </w: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1B3EF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26.6.2017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:rsidR="00C87577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:rsidR="00C87577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C87577" w:rsidRPr="00194147" w:rsidRDefault="001B3EF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7.7.2017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1B3EF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7.7.2017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HE-luonnos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lausuntokierroksella</w:t>
            </w:r>
          </w:p>
        </w:tc>
        <w:tc>
          <w:tcPr>
            <w:tcW w:w="2410" w:type="dxa"/>
          </w:tcPr>
          <w:p w:rsidR="00C87577" w:rsidRPr="00194147" w:rsidRDefault="001B3EF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7.7.2017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1B3EF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26.7.2017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7/2017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7/2017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7/2017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2B5BDB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  <w:proofErr w:type="gramEnd"/>
          </w:p>
        </w:tc>
        <w:tc>
          <w:tcPr>
            <w:tcW w:w="2410" w:type="dxa"/>
          </w:tcPr>
          <w:p w:rsidR="002B5BDB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:rsidR="002B5BDB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1B3EF2" w:rsidP="00A8261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lang w:eastAsia="fi-FI"/>
              </w:rPr>
              <w:t>Riippuen</w:t>
            </w:r>
            <w:r w:rsidR="00447740">
              <w:rPr>
                <w:rFonts w:ascii="Arial" w:eastAsia="Times New Roman" w:hAnsi="Arial" w:cs="Arial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 w:rsidR="00A82615">
              <w:rPr>
                <w:rFonts w:ascii="Arial" w:eastAsia="Times New Roman" w:hAnsi="Arial" w:cs="Arial"/>
                <w:lang w:eastAsia="fi-FI"/>
              </w:rPr>
              <w:t>EU</w:t>
            </w:r>
            <w:proofErr w:type="gramEnd"/>
            <w:r w:rsidR="00A82615">
              <w:rPr>
                <w:rFonts w:ascii="Arial" w:eastAsia="Times New Roman" w:hAnsi="Arial" w:cs="Arial"/>
                <w:lang w:eastAsia="fi-FI"/>
              </w:rPr>
              <w:t>-</w:t>
            </w:r>
            <w:r>
              <w:rPr>
                <w:rFonts w:ascii="Arial" w:eastAsia="Times New Roman" w:hAnsi="Arial" w:cs="Arial"/>
                <w:lang w:eastAsia="fi-FI"/>
              </w:rPr>
              <w:t>notifioinnin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tarpeesta, syksy 2017</w:t>
            </w:r>
            <w:r w:rsidR="00A82615">
              <w:rPr>
                <w:rFonts w:ascii="Arial" w:eastAsia="Times New Roman" w:hAnsi="Arial" w:cs="Arial"/>
                <w:lang w:eastAsia="fi-FI"/>
              </w:rPr>
              <w:t xml:space="preserve"> (keskustelut komission kanssa käynnissä)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 voimaantulo</w:t>
            </w:r>
          </w:p>
        </w:tc>
        <w:tc>
          <w:tcPr>
            <w:tcW w:w="2410" w:type="dxa"/>
          </w:tcPr>
          <w:p w:rsidR="00C87577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2018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447740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yleisen edun kanava, televisio, media, valtiontuki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447740" w:rsidRDefault="00447740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Valmistellaan säädöspohja ja kriteerit yleisen edun kanaville annettavalle uutistoiminnan tuelle.</w:t>
            </w:r>
          </w:p>
          <w:p w:rsidR="00934A68" w:rsidRDefault="00934A68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447740" w:rsidRPr="00447740" w:rsidRDefault="00447740" w:rsidP="00447740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447740">
              <w:rPr>
                <w:rFonts w:ascii="Arial" w:eastAsia="Times New Roman" w:hAnsi="Arial" w:cs="Arial"/>
                <w:lang w:eastAsia="fi-FI"/>
              </w:rPr>
              <w:t>Asetuksella määritettäisiin tukimallin kriteerit, hakukelpoisuus ja hakuprosessi sekä valv</w:t>
            </w:r>
            <w:r>
              <w:rPr>
                <w:rFonts w:ascii="Arial" w:eastAsia="Times New Roman" w:hAnsi="Arial" w:cs="Arial"/>
                <w:lang w:eastAsia="fi-FI"/>
              </w:rPr>
              <w:t xml:space="preserve">onta. </w:t>
            </w:r>
          </w:p>
          <w:p w:rsidR="00447740" w:rsidRDefault="00447740" w:rsidP="00447740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447740">
              <w:rPr>
                <w:rFonts w:ascii="Arial" w:eastAsia="Times New Roman" w:hAnsi="Arial" w:cs="Arial"/>
                <w:lang w:eastAsia="fi-FI"/>
              </w:rPr>
              <w:t>Hankkeen tavoitteena on varmistaa uutistoiminnan monimuotoisuus ja vaihtoehtoiset uutislähteet kaikki kansalaiset tavoittavassa lineaarisessa televisiossa. Hankkeella pyrittäisiin lisäämään yleisen edun kanavien uutis- ja ajankohtaistoiminnan kilpailukykyä ja kattavuutta sekä kehitetään sisällöntuotannon toimintamalleja.</w:t>
            </w:r>
          </w:p>
          <w:p w:rsidR="00447740" w:rsidRPr="00194147" w:rsidRDefault="00447740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447740" w:rsidRPr="00447740" w:rsidRDefault="00447740" w:rsidP="0044774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447740">
              <w:rPr>
                <w:rFonts w:ascii="Arial" w:eastAsia="Times New Roman" w:hAnsi="Arial" w:cs="Arial"/>
                <w:lang w:eastAsia="fi-FI"/>
              </w:rPr>
              <w:t xml:space="preserve">Hankkeen taustalla on kansanedustaja Harry Harkimon </w:t>
            </w:r>
            <w:proofErr w:type="spellStart"/>
            <w:r w:rsidRPr="00447740">
              <w:rPr>
                <w:rFonts w:ascii="Arial" w:eastAsia="Times New Roman" w:hAnsi="Arial" w:cs="Arial"/>
                <w:lang w:eastAsia="fi-FI"/>
              </w:rPr>
              <w:t>puheenjohtaman</w:t>
            </w:r>
            <w:proofErr w:type="spellEnd"/>
            <w:r w:rsidRPr="00447740">
              <w:rPr>
                <w:rFonts w:ascii="Arial" w:eastAsia="Times New Roman" w:hAnsi="Arial" w:cs="Arial"/>
                <w:lang w:eastAsia="fi-FI"/>
              </w:rPr>
              <w:t xml:space="preserve"> kaupallisen television uutistoiminnan tulevaisuutta ja rahoitusta tarkastelleen työryhmän raportti, jossa suositeltiin yleisen edun kanavien uutistoimintaan annettavaa tukea.</w:t>
            </w:r>
            <w:r>
              <w:rPr>
                <w:rFonts w:ascii="Arial" w:eastAsia="Times New Roman" w:hAnsi="Arial" w:cs="Arial"/>
                <w:lang w:eastAsia="fi-FI"/>
              </w:rPr>
              <w:t xml:space="preserve"> Työryhmä pohjasi Yleisradion tehtäviä ja rahoitusta tarkastelleen parlamentaarisen työryhmän suositukseen.</w:t>
            </w:r>
          </w:p>
          <w:p w:rsidR="00447740" w:rsidRPr="00447740" w:rsidRDefault="00447740" w:rsidP="0044774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5E0355" w:rsidRPr="00194147" w:rsidRDefault="00447740" w:rsidP="0044774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447740">
              <w:rPr>
                <w:rFonts w:ascii="Arial" w:eastAsia="Times New Roman" w:hAnsi="Arial" w:cs="Arial"/>
                <w:lang w:eastAsia="fi-FI"/>
              </w:rPr>
              <w:t>Eduskunta myönsi 2017 lisätalousarviossa hankkeelle määrärahat momenteille 31.40.44 ja 31.40.45</w:t>
            </w:r>
            <w:r w:rsidR="001763C2">
              <w:rPr>
                <w:rFonts w:ascii="Arial" w:eastAsia="Times New Roman" w:hAnsi="Arial" w:cs="Arial"/>
                <w:lang w:eastAsia="fi-FI"/>
              </w:rPr>
              <w:t xml:space="preserve"> (1 me)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416686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Hakija tai hakijoita yleisen edun kanaviksi, tällä hetkellä yhtään yleisen edun kanavaa ei ole.</w:t>
            </w: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DA4BF4" w:rsidRPr="00194147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194147" w:rsidRDefault="001763C2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1763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1763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1763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1763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1763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1763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Lisätalousarvio, HE60/2017vp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8"/>
        <w:gridCol w:w="2694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447740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Emil Asp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831E70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Emil Asp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447740">
              <w:rPr>
                <w:rFonts w:ascii="Arial" w:eastAsia="Times New Roman" w:hAnsi="Arial" w:cs="Arial"/>
                <w:lang w:eastAsia="fi-FI"/>
              </w:rPr>
              <w:t>31.40.44 ja 31.40.45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Markkinayksikkö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Laura Eiro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:rsidR="005B70D9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Emil Asp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Tatu Giordani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Hanna-Leena Takala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EF644F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 erityisiä viestintätarpeita</w:t>
            </w: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Lausuntokierros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EF644F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44774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A826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Mahdissa 27.6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A826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Mahdissa 27.6</w:t>
            </w:r>
            <w:bookmarkStart w:id="0" w:name="_GoBack"/>
            <w:bookmarkEnd w:id="0"/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40" w:rsidRDefault="00447740" w:rsidP="001C7555">
      <w:pPr>
        <w:spacing w:after="0" w:line="240" w:lineRule="auto"/>
      </w:pPr>
      <w:r>
        <w:separator/>
      </w:r>
    </w:p>
  </w:endnote>
  <w:endnote w:type="continuationSeparator" w:id="0">
    <w:p w:rsidR="00447740" w:rsidRDefault="00447740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40" w:rsidRPr="00D929C7" w:rsidRDefault="00447740" w:rsidP="00D929C7">
    <w:pPr>
      <w:tabs>
        <w:tab w:val="left" w:pos="2310"/>
      </w:tabs>
      <w:spacing w:after="0"/>
      <w:rPr>
        <w:rFonts w:ascii="Arial" w:hAnsi="Arial" w:cs="Arial"/>
      </w:rPr>
    </w:pPr>
  </w:p>
  <w:p w:rsidR="00447740" w:rsidRPr="00D929C7" w:rsidRDefault="00447740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447740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447740" w:rsidRPr="00D929C7" w:rsidTr="009F0E74">
      <w:trPr>
        <w:cantSplit/>
        <w:trHeight w:val="80"/>
      </w:trPr>
      <w:tc>
        <w:tcPr>
          <w:tcW w:w="1309" w:type="pct"/>
          <w:noWrap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447740" w:rsidRPr="00D929C7" w:rsidTr="009F0E74">
      <w:trPr>
        <w:cantSplit/>
        <w:trHeight w:val="170"/>
      </w:trPr>
      <w:tc>
        <w:tcPr>
          <w:tcW w:w="1309" w:type="pct"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447740" w:rsidRPr="00D929C7" w:rsidTr="009F0E74">
      <w:trPr>
        <w:cantSplit/>
        <w:trHeight w:val="170"/>
      </w:trPr>
      <w:tc>
        <w:tcPr>
          <w:tcW w:w="1309" w:type="pct"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447740" w:rsidRPr="00D929C7" w:rsidRDefault="0044774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447740" w:rsidRPr="00D929C7" w:rsidRDefault="00447740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40" w:rsidRPr="00D929C7" w:rsidRDefault="00447740" w:rsidP="00972A9A">
    <w:pPr>
      <w:spacing w:after="0"/>
      <w:rPr>
        <w:rFonts w:ascii="Arial" w:hAnsi="Arial" w:cs="Arial"/>
      </w:rPr>
    </w:pPr>
  </w:p>
  <w:p w:rsidR="00447740" w:rsidRPr="00D929C7" w:rsidRDefault="00447740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447740" w:rsidRPr="00D929C7" w:rsidTr="00EF644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447740" w:rsidRPr="00D929C7" w:rsidTr="00EF644F">
      <w:trPr>
        <w:cantSplit/>
        <w:trHeight w:val="80"/>
      </w:trPr>
      <w:tc>
        <w:tcPr>
          <w:tcW w:w="1309" w:type="pct"/>
          <w:noWrap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447740" w:rsidRPr="00D929C7" w:rsidTr="00EF644F">
      <w:trPr>
        <w:cantSplit/>
        <w:trHeight w:val="170"/>
      </w:trPr>
      <w:tc>
        <w:tcPr>
          <w:tcW w:w="1309" w:type="pct"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447740" w:rsidRPr="00D929C7" w:rsidTr="00EF644F">
      <w:trPr>
        <w:cantSplit/>
        <w:trHeight w:val="170"/>
      </w:trPr>
      <w:tc>
        <w:tcPr>
          <w:tcW w:w="1309" w:type="pct"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447740" w:rsidRPr="00D929C7" w:rsidRDefault="00447740" w:rsidP="00EF644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447740" w:rsidRPr="00D929C7" w:rsidRDefault="00447740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40" w:rsidRDefault="00447740" w:rsidP="001C7555">
      <w:pPr>
        <w:spacing w:after="0" w:line="240" w:lineRule="auto"/>
      </w:pPr>
      <w:r>
        <w:separator/>
      </w:r>
    </w:p>
  </w:footnote>
  <w:footnote w:type="continuationSeparator" w:id="0">
    <w:p w:rsidR="00447740" w:rsidRDefault="00447740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40" w:rsidRPr="00D929C7" w:rsidRDefault="00447740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A82615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A82615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447740" w:rsidRPr="00D929C7" w:rsidRDefault="00447740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447740" w:rsidRPr="00D929C7" w:rsidRDefault="00447740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447740" w:rsidRPr="00D929C7" w:rsidRDefault="00447740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40" w:rsidRPr="00D929C7" w:rsidRDefault="00447740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1740A32B" wp14:editId="25C0707B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A82615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A82615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447740" w:rsidRPr="00D929C7" w:rsidRDefault="00447740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447740" w:rsidRPr="00D929C7" w:rsidRDefault="00447740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447740" w:rsidRPr="00D929C7" w:rsidRDefault="00447740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>26.6.2017</w:t>
    </w:r>
  </w:p>
  <w:p w:rsidR="00447740" w:rsidRPr="00D929C7" w:rsidRDefault="00447740">
    <w:pPr>
      <w:pStyle w:val="Yltunniste"/>
      <w:rPr>
        <w:rFonts w:ascii="Arial" w:hAnsi="Arial" w:cs="Arial"/>
      </w:rPr>
    </w:pPr>
  </w:p>
  <w:p w:rsidR="00447740" w:rsidRPr="00D929C7" w:rsidRDefault="00447740">
    <w:pPr>
      <w:pStyle w:val="Yltunniste"/>
      <w:rPr>
        <w:rFonts w:ascii="Arial" w:hAnsi="Arial" w:cs="Arial"/>
      </w:rPr>
    </w:pPr>
  </w:p>
  <w:p w:rsidR="00447740" w:rsidRPr="00D929C7" w:rsidRDefault="00447740">
    <w:pPr>
      <w:pStyle w:val="Yltunniste"/>
      <w:rPr>
        <w:rFonts w:ascii="Arial" w:hAnsi="Arial" w:cs="Arial"/>
      </w:rPr>
    </w:pPr>
  </w:p>
  <w:p w:rsidR="00447740" w:rsidRPr="00D929C7" w:rsidRDefault="00447740">
    <w:pPr>
      <w:pStyle w:val="Yltunniste"/>
      <w:rPr>
        <w:rFonts w:ascii="Arial" w:hAnsi="Arial" w:cs="Arial"/>
      </w:rPr>
    </w:pPr>
  </w:p>
  <w:p w:rsidR="00447740" w:rsidRPr="00D929C7" w:rsidRDefault="00447740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6"/>
    <w:rsid w:val="00016CF2"/>
    <w:rsid w:val="000212CB"/>
    <w:rsid w:val="000215B5"/>
    <w:rsid w:val="00042B43"/>
    <w:rsid w:val="00092352"/>
    <w:rsid w:val="000A2D36"/>
    <w:rsid w:val="000B4D9F"/>
    <w:rsid w:val="000B6E68"/>
    <w:rsid w:val="000E6866"/>
    <w:rsid w:val="00124B55"/>
    <w:rsid w:val="00147089"/>
    <w:rsid w:val="001475E9"/>
    <w:rsid w:val="0016073A"/>
    <w:rsid w:val="001670F3"/>
    <w:rsid w:val="001763C2"/>
    <w:rsid w:val="001776B6"/>
    <w:rsid w:val="0019216E"/>
    <w:rsid w:val="00194147"/>
    <w:rsid w:val="001A0AD9"/>
    <w:rsid w:val="001A530E"/>
    <w:rsid w:val="001B3EF2"/>
    <w:rsid w:val="001C7555"/>
    <w:rsid w:val="001D3DFE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A270F"/>
    <w:rsid w:val="002A58E4"/>
    <w:rsid w:val="002A5D1B"/>
    <w:rsid w:val="002B2A32"/>
    <w:rsid w:val="002B5BDB"/>
    <w:rsid w:val="002C6FAD"/>
    <w:rsid w:val="002D4B2E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67619"/>
    <w:rsid w:val="00375E9B"/>
    <w:rsid w:val="003E2807"/>
    <w:rsid w:val="003E6E8E"/>
    <w:rsid w:val="004012C2"/>
    <w:rsid w:val="00406A2A"/>
    <w:rsid w:val="00416686"/>
    <w:rsid w:val="00421EB3"/>
    <w:rsid w:val="00426D13"/>
    <w:rsid w:val="004415D2"/>
    <w:rsid w:val="00447740"/>
    <w:rsid w:val="004501EA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57F17"/>
    <w:rsid w:val="00562A1E"/>
    <w:rsid w:val="00571271"/>
    <w:rsid w:val="00591959"/>
    <w:rsid w:val="00593BC1"/>
    <w:rsid w:val="00596B7F"/>
    <w:rsid w:val="00596E7C"/>
    <w:rsid w:val="005B3532"/>
    <w:rsid w:val="005B70D9"/>
    <w:rsid w:val="005E0355"/>
    <w:rsid w:val="00602CFF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B6BE9"/>
    <w:rsid w:val="006C1688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D9"/>
    <w:rsid w:val="00725A56"/>
    <w:rsid w:val="00735C68"/>
    <w:rsid w:val="0074656E"/>
    <w:rsid w:val="0076474A"/>
    <w:rsid w:val="007722B3"/>
    <w:rsid w:val="00786E13"/>
    <w:rsid w:val="007A461C"/>
    <w:rsid w:val="007B0536"/>
    <w:rsid w:val="007B134B"/>
    <w:rsid w:val="007B5418"/>
    <w:rsid w:val="007C153E"/>
    <w:rsid w:val="007C2EFD"/>
    <w:rsid w:val="007D49B8"/>
    <w:rsid w:val="007E4DFA"/>
    <w:rsid w:val="007E738C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3104"/>
    <w:rsid w:val="0089466D"/>
    <w:rsid w:val="00894ED5"/>
    <w:rsid w:val="008A6008"/>
    <w:rsid w:val="008B2914"/>
    <w:rsid w:val="008B5BCC"/>
    <w:rsid w:val="008C43C3"/>
    <w:rsid w:val="008D06D5"/>
    <w:rsid w:val="008D502E"/>
    <w:rsid w:val="008D57E9"/>
    <w:rsid w:val="008D59F3"/>
    <w:rsid w:val="008F343F"/>
    <w:rsid w:val="008F4892"/>
    <w:rsid w:val="00901AEF"/>
    <w:rsid w:val="00901BDB"/>
    <w:rsid w:val="00906705"/>
    <w:rsid w:val="00910174"/>
    <w:rsid w:val="009164BC"/>
    <w:rsid w:val="00934A68"/>
    <w:rsid w:val="00945FBF"/>
    <w:rsid w:val="00951ED4"/>
    <w:rsid w:val="0096298D"/>
    <w:rsid w:val="009655B9"/>
    <w:rsid w:val="0096745E"/>
    <w:rsid w:val="00972A9A"/>
    <w:rsid w:val="00996BEA"/>
    <w:rsid w:val="009A09C9"/>
    <w:rsid w:val="009A62AC"/>
    <w:rsid w:val="009C4A27"/>
    <w:rsid w:val="009D23C3"/>
    <w:rsid w:val="009E1673"/>
    <w:rsid w:val="009F0E74"/>
    <w:rsid w:val="009F7F5A"/>
    <w:rsid w:val="00A00558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15"/>
    <w:rsid w:val="00A8265A"/>
    <w:rsid w:val="00A82E3F"/>
    <w:rsid w:val="00A8382E"/>
    <w:rsid w:val="00A93714"/>
    <w:rsid w:val="00A93952"/>
    <w:rsid w:val="00AC5DEB"/>
    <w:rsid w:val="00AD29A8"/>
    <w:rsid w:val="00AE0117"/>
    <w:rsid w:val="00AE27B1"/>
    <w:rsid w:val="00B172C3"/>
    <w:rsid w:val="00B31244"/>
    <w:rsid w:val="00B32652"/>
    <w:rsid w:val="00BA60BD"/>
    <w:rsid w:val="00BC6716"/>
    <w:rsid w:val="00BD2244"/>
    <w:rsid w:val="00BE6109"/>
    <w:rsid w:val="00BF3AF6"/>
    <w:rsid w:val="00BF6191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D4C30"/>
    <w:rsid w:val="00CD7DB4"/>
    <w:rsid w:val="00CE2EFA"/>
    <w:rsid w:val="00CF6A04"/>
    <w:rsid w:val="00CF6CF9"/>
    <w:rsid w:val="00D07F0F"/>
    <w:rsid w:val="00D25E13"/>
    <w:rsid w:val="00D4440D"/>
    <w:rsid w:val="00D4505D"/>
    <w:rsid w:val="00D46E68"/>
    <w:rsid w:val="00D50FF6"/>
    <w:rsid w:val="00D578AD"/>
    <w:rsid w:val="00D61B58"/>
    <w:rsid w:val="00D8608A"/>
    <w:rsid w:val="00D929C7"/>
    <w:rsid w:val="00DA4BF4"/>
    <w:rsid w:val="00DA6187"/>
    <w:rsid w:val="00DB0851"/>
    <w:rsid w:val="00DB3B0A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36276"/>
    <w:rsid w:val="00E5406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EF644F"/>
    <w:rsid w:val="00F05C64"/>
    <w:rsid w:val="00F252BD"/>
    <w:rsid w:val="00F64E00"/>
    <w:rsid w:val="00F71F43"/>
    <w:rsid w:val="00F82203"/>
    <w:rsid w:val="00F915DB"/>
    <w:rsid w:val="00F96392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5C4B-E1F5-4740-8F89-35D4A033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413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Asp Emil</cp:lastModifiedBy>
  <cp:revision>4</cp:revision>
  <cp:lastPrinted>2017-05-04T08:03:00Z</cp:lastPrinted>
  <dcterms:created xsi:type="dcterms:W3CDTF">2017-06-26T09:24:00Z</dcterms:created>
  <dcterms:modified xsi:type="dcterms:W3CDTF">2017-06-27T10:25:00Z</dcterms:modified>
</cp:coreProperties>
</file>