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BE" w:rsidRDefault="000C61BE" w:rsidP="000C61BE"/>
    <w:p w:rsidR="000C61BE" w:rsidRDefault="000C61BE" w:rsidP="000C61BE">
      <w:pPr>
        <w:pStyle w:val="Leipteksti"/>
        <w:rPr>
          <w:b/>
        </w:rPr>
      </w:pPr>
      <w:r w:rsidRPr="006A61BA">
        <w:rPr>
          <w:rFonts w:ascii="Arial" w:hAnsi="Arial" w:cs="Arial"/>
          <w:b/>
        </w:rPr>
        <w:t>Eläinlä</w:t>
      </w:r>
      <w:r w:rsidR="00D33E2E" w:rsidRPr="006A61BA">
        <w:rPr>
          <w:rFonts w:ascii="Arial" w:hAnsi="Arial" w:cs="Arial"/>
          <w:b/>
        </w:rPr>
        <w:t>äkärihygieenikkojen yhdistys ry</w:t>
      </w:r>
      <w:r>
        <w:rPr>
          <w:b/>
        </w:rPr>
        <w:tab/>
      </w:r>
      <w:r>
        <w:rPr>
          <w:b/>
        </w:rPr>
        <w:tab/>
      </w:r>
      <w:r>
        <w:rPr>
          <w:b/>
        </w:rPr>
        <w:tab/>
      </w:r>
      <w:r>
        <w:rPr>
          <w:b/>
          <w:sz w:val="72"/>
        </w:rPr>
        <w:t xml:space="preserve">EHY </w:t>
      </w:r>
    </w:p>
    <w:p w:rsidR="000C61BE" w:rsidRDefault="000C61BE" w:rsidP="000C61BE">
      <w:r>
        <w:tab/>
      </w:r>
      <w:r>
        <w:tab/>
      </w:r>
      <w:r>
        <w:tab/>
      </w:r>
      <w:r>
        <w:tab/>
      </w:r>
      <w:r>
        <w:tab/>
      </w:r>
      <w:r>
        <w:tab/>
      </w:r>
    </w:p>
    <w:p w:rsidR="000C61BE" w:rsidRPr="00B91B61" w:rsidRDefault="00D42E07" w:rsidP="0032048A">
      <w:pPr>
        <w:ind w:left="6520" w:firstLine="1304"/>
      </w:pPr>
      <w:r w:rsidRPr="00D42E07">
        <w:t>21</w:t>
      </w:r>
      <w:r w:rsidR="00C370B1" w:rsidRPr="00D42E07">
        <w:t>.</w:t>
      </w:r>
      <w:r w:rsidR="00C370B1">
        <w:t>8</w:t>
      </w:r>
      <w:r w:rsidR="00F12372">
        <w:t>.2018</w:t>
      </w:r>
    </w:p>
    <w:p w:rsidR="000C61BE" w:rsidRPr="00B91B61" w:rsidRDefault="002A630B" w:rsidP="000C61BE">
      <w:r>
        <w:t>Maa- ja metsätalousministeriö</w:t>
      </w:r>
    </w:p>
    <w:p w:rsidR="00FD0AB0" w:rsidRPr="00E833E9" w:rsidRDefault="00A563F4" w:rsidP="000C61BE">
      <w:r>
        <w:t>kirjaamo@mmm.fi</w:t>
      </w:r>
    </w:p>
    <w:p w:rsidR="000C61BE" w:rsidRPr="00B91B61" w:rsidRDefault="000C61BE" w:rsidP="000C61BE"/>
    <w:p w:rsidR="000C61BE" w:rsidRDefault="000C61BE" w:rsidP="000C61BE"/>
    <w:p w:rsidR="002A630B" w:rsidRPr="00B91B61" w:rsidRDefault="002A630B" w:rsidP="000C61BE"/>
    <w:p w:rsidR="000C61BE" w:rsidRPr="00C370B1" w:rsidRDefault="00624D7B" w:rsidP="0032048A">
      <w:pPr>
        <w:rPr>
          <w:b/>
          <w:color w:val="FF0000"/>
        </w:rPr>
      </w:pPr>
      <w:r w:rsidRPr="00B91B61">
        <w:t xml:space="preserve">Viite: </w:t>
      </w:r>
      <w:r w:rsidR="00C2791E" w:rsidRPr="00443046">
        <w:t>Lausuntopyyntö</w:t>
      </w:r>
      <w:r w:rsidR="00F12372" w:rsidRPr="00443046">
        <w:t xml:space="preserve"> </w:t>
      </w:r>
      <w:r w:rsidR="00443046" w:rsidRPr="00443046">
        <w:t>MMM025:00/2016</w:t>
      </w:r>
    </w:p>
    <w:p w:rsidR="004F10FA" w:rsidRPr="005F464D" w:rsidRDefault="004F10FA" w:rsidP="000C61BE"/>
    <w:p w:rsidR="002752EB" w:rsidRPr="005F464D" w:rsidRDefault="002752EB" w:rsidP="000C61BE"/>
    <w:p w:rsidR="00C370B1" w:rsidRPr="00C370B1" w:rsidRDefault="000C61BE" w:rsidP="00C370B1">
      <w:pPr>
        <w:rPr>
          <w:b/>
        </w:rPr>
      </w:pPr>
      <w:r w:rsidRPr="005F464D">
        <w:rPr>
          <w:b/>
        </w:rPr>
        <w:t>Lausunto</w:t>
      </w:r>
      <w:r w:rsidR="00B91B61">
        <w:rPr>
          <w:b/>
        </w:rPr>
        <w:t xml:space="preserve"> </w:t>
      </w:r>
      <w:r w:rsidR="00C370B1" w:rsidRPr="00C370B1">
        <w:rPr>
          <w:b/>
        </w:rPr>
        <w:t>hallituksen esityksestä Eduskunnalle elintarvikelaiksi ja eräiden lakien muuttamiseksi</w:t>
      </w:r>
    </w:p>
    <w:p w:rsidR="00183A9F" w:rsidRPr="005F464D" w:rsidRDefault="00183A9F" w:rsidP="005F464D">
      <w:pPr>
        <w:rPr>
          <w:b/>
        </w:rPr>
      </w:pPr>
    </w:p>
    <w:p w:rsidR="00920E2B" w:rsidRPr="00CF408D" w:rsidRDefault="00920E2B" w:rsidP="0032048A">
      <w:pPr>
        <w:jc w:val="both"/>
      </w:pPr>
    </w:p>
    <w:p w:rsidR="00E960AE" w:rsidRDefault="00C370B1" w:rsidP="00FD0AB0">
      <w:pPr>
        <w:jc w:val="both"/>
      </w:pPr>
      <w:r>
        <w:t>Eläinlääkärihygieenikkojen yhdistys ry</w:t>
      </w:r>
      <w:r w:rsidRPr="00DF31DE">
        <w:t xml:space="preserve"> kiittää maa- ja metsätalousministeriötä mahdollisuudesta antaa lausunto hallituksen esityksestä elintarvikelaiksi sekä eräiden lakien muuttamiseksi. </w:t>
      </w:r>
      <w:r>
        <w:t>Yhdistys</w:t>
      </w:r>
      <w:r w:rsidRPr="00DF31DE">
        <w:t xml:space="preserve"> pitää laki</w:t>
      </w:r>
      <w:r w:rsidR="000B3509">
        <w:t xml:space="preserve">luonnoksen </w:t>
      </w:r>
      <w:r w:rsidRPr="00DF31DE">
        <w:t>esityksiä pääosin kanna</w:t>
      </w:r>
      <w:r>
        <w:t>tettavina.</w:t>
      </w:r>
    </w:p>
    <w:p w:rsidR="00C370B1" w:rsidRPr="00552979" w:rsidRDefault="00C370B1" w:rsidP="00FD0AB0">
      <w:pPr>
        <w:jc w:val="both"/>
        <w:rPr>
          <w:color w:val="FF0000"/>
        </w:rPr>
      </w:pPr>
    </w:p>
    <w:p w:rsidR="00C370B1" w:rsidRPr="00DF31DE" w:rsidRDefault="00C370B1" w:rsidP="00C370B1">
      <w:pPr>
        <w:jc w:val="both"/>
      </w:pPr>
    </w:p>
    <w:p w:rsidR="00C370B1" w:rsidRPr="0060405E" w:rsidRDefault="00C370B1" w:rsidP="00C370B1">
      <w:pPr>
        <w:jc w:val="both"/>
        <w:rPr>
          <w:b/>
          <w:i/>
          <w:color w:val="548DD4" w:themeColor="text2" w:themeTint="99"/>
        </w:rPr>
      </w:pPr>
      <w:r w:rsidRPr="0060405E">
        <w:rPr>
          <w:b/>
          <w:i/>
          <w:color w:val="548DD4" w:themeColor="text2" w:themeTint="99"/>
        </w:rPr>
        <w:t>Mitä mieltä olet valvontamaksujen kehittämisestä ehdotetulla tavalla?</w:t>
      </w:r>
    </w:p>
    <w:p w:rsidR="0006435F" w:rsidRPr="0006435F" w:rsidRDefault="0006435F" w:rsidP="00C370B1">
      <w:pPr>
        <w:jc w:val="both"/>
      </w:pPr>
    </w:p>
    <w:p w:rsidR="0006435F" w:rsidRPr="0006435F" w:rsidRDefault="0006435F" w:rsidP="000111C0">
      <w:pPr>
        <w:jc w:val="both"/>
      </w:pPr>
      <w:r w:rsidRPr="0006435F">
        <w:t xml:space="preserve">Vuosimaksutyyppinen valvontamaksu on kannatettava uudistus. Uudistus yhtenäistää valvonnasta seuraavia kustannuksia toimijoiden kesken ja parantaa maksujen kustannusvastaavuutta. Maksut ovat myös toimijoiden helpommin ennakoitavissa. Vastaavasti maakunta pystyy paremmin ennakoimaan tuottoja talouden suunnittelussa. Vuosimaksu saattaa motivoida toimijoita ilmoittaa toimintansa muutoksista paremmin, minkä vuoksi valvontatietojärjestelmien tiedot pysyvät paremmin ajan tasalla. Tällöin valvonnan suunnittelu kohdistuu oikein.  Toisaalta toimija, joka laiminlyö ilmoituksen toiminnan aloituksesta, saa lain noudattamatta jättämisestä taloudellista etua muihin toimijoihin nähden, ellei tätä voida sanktioida jollain tavalla. Lakiehdotuksessa on pääosin hyvin huomioitu myös muut valvonnasta perittävät maksut. </w:t>
      </w:r>
    </w:p>
    <w:p w:rsidR="0006435F" w:rsidRPr="000111C0" w:rsidRDefault="0006435F" w:rsidP="00C370B1">
      <w:pPr>
        <w:jc w:val="both"/>
      </w:pPr>
    </w:p>
    <w:p w:rsidR="00B60DC8" w:rsidRDefault="00B60DC8" w:rsidP="000111C0">
      <w:pPr>
        <w:jc w:val="both"/>
      </w:pPr>
      <w:r w:rsidRPr="00DF31DE">
        <w:t xml:space="preserve">Käytännössä on havaittu, että osa toimijoista tekee ilmoituksen toiminnan aloittamisesta vasta viranomaisen kehotuksesta, vaikka toiminta on alkanut jo kauan sitten. Ehdotuksessa tulisi ottaa kantaa, miten vuosimaksu määräytyy tällaisissa tapauksissa. Vuoden lopussa veloitettava maksu ei ole toimiva ratkaisu, jos yritys lopettaa toimintansa kesken vuotta tai toimii vain osan vuotta. Valvonnasta tulisi olla mahdollisuus laskuttaa heti toiminnan loputtua eikä vasta vuoden lopussa, jos toimija lopettaa toiminnan ennen vuoden loppua. </w:t>
      </w:r>
    </w:p>
    <w:p w:rsidR="00B84125" w:rsidRDefault="00B84125" w:rsidP="000111C0">
      <w:pPr>
        <w:jc w:val="both"/>
      </w:pPr>
    </w:p>
    <w:p w:rsidR="0006435F" w:rsidRDefault="0006435F" w:rsidP="000111C0">
      <w:pPr>
        <w:jc w:val="both"/>
      </w:pPr>
      <w:r w:rsidRPr="0006435F">
        <w:t xml:space="preserve">Alkutuotantopaikkojen suunnitelmallinen valvonta on lakiehdotuksen mukaan jäämässä maksullisuuden ulkopuolelle lähes kokonaan. Alkutuotannon valvonnan osalta olisi harkittava lisättäväksi lain 69 </w:t>
      </w:r>
      <w:proofErr w:type="gramStart"/>
      <w:r w:rsidRPr="0006435F">
        <w:t>§:ään</w:t>
      </w:r>
      <w:proofErr w:type="gramEnd"/>
      <w:r w:rsidRPr="0006435F">
        <w:t xml:space="preserve"> maakunnalle mahdollisuus laskuttaa toteutuneesta suunnitelmallisesta valvonnast</w:t>
      </w:r>
      <w:r>
        <w:t>a myös alkutuotannon kohteissa.</w:t>
      </w:r>
    </w:p>
    <w:p w:rsidR="00233582" w:rsidRDefault="00233582" w:rsidP="000111C0">
      <w:pPr>
        <w:jc w:val="both"/>
      </w:pPr>
    </w:p>
    <w:p w:rsidR="00233582" w:rsidRDefault="00233582" w:rsidP="00233582">
      <w:pPr>
        <w:jc w:val="both"/>
      </w:pPr>
      <w:r w:rsidRPr="00233582">
        <w:t xml:space="preserve">Vuosimaksuilla esityksen mukaan ohjataan valvonnan suuntausta suuririskisimpiin kohteisiin. Valvonta-asetus 882/2004 3 artikla ja 2017/625 </w:t>
      </w:r>
      <w:proofErr w:type="spellStart"/>
      <w:r w:rsidRPr="00233582">
        <w:t>art</w:t>
      </w:r>
      <w:proofErr w:type="spellEnd"/>
      <w:r w:rsidRPr="00233582">
        <w:t xml:space="preserve"> 9 edellyttävät valvonnan toteuttamisessa riskinarvioinnin mukaisesti huomioitavaksi myös sen, miten toimija on aiemmin noudattanut säädöksiä. Tältä osin Ruotsin malli tarkastustiheyden määrittämisessä vaikuttaa toimivammalta.</w:t>
      </w:r>
    </w:p>
    <w:p w:rsidR="009C072F" w:rsidRPr="00233582" w:rsidRDefault="009C072F" w:rsidP="00233582">
      <w:pPr>
        <w:jc w:val="both"/>
      </w:pPr>
    </w:p>
    <w:p w:rsidR="00233582" w:rsidRDefault="00233582" w:rsidP="00233582">
      <w:pPr>
        <w:jc w:val="both"/>
      </w:pPr>
      <w:r w:rsidRPr="00233582">
        <w:t xml:space="preserve">Vuosimaksujen määrä/toimintaluokka ja toimintatyyppi vaativat vielä uudelleenarviointia. Taulukoiden valvontamaksut/riskiluokitus vaikuttavat perustuvan nykyiseen Eviran </w:t>
      </w:r>
      <w:r w:rsidRPr="00233582">
        <w:lastRenderedPageBreak/>
        <w:t xml:space="preserve">riskiluokitusohjeeseen. Saman riskiluokan kohteet ovat taulukoiden sisällä ja taulukoiden välillä hyvin erilaisia todelliselta riskiltään. Esimerkiksi riskiluokkaan 6 (vuosimaksu 2800 €) kuuluu seuraavia toimijoita a) yli miljoona kiloa pakattua elintarviketta varastoiva laitos ja b) yli miljoona kiloa sellaisenaan syötäviä kuumentamattomia helposti pilaantuvia elintarvikkeita myös riskiryhmille valmistava huoneisto. Elintarvikehygieeninen riski näissä on kuitenkin aivan erilainen. Vuosimaksut ja riskinarviointi eivät ole verrannollisia myöskään terveydensuojelulain mukaisiin vuosimaksuihin: esimerkiksi isoimpien vesilaitosten vuosimaksu on pienempi kuin edellä mainitulla pakattua elintarviketta varastoivalla laitokselle, 2000 €. Vesilaitoksilla on kuitenkin suuri päivittäinen käyttäjämäärä ja niiden valvonta vaatii mm. vesitulosten jatkuvaa seurantaa muun tarkastustoiminnan lisäksi.  </w:t>
      </w:r>
    </w:p>
    <w:p w:rsidR="00022569" w:rsidRPr="00233582" w:rsidRDefault="00022569" w:rsidP="00233582">
      <w:pPr>
        <w:jc w:val="both"/>
      </w:pPr>
    </w:p>
    <w:p w:rsidR="00022569" w:rsidRPr="00022569" w:rsidRDefault="00022569" w:rsidP="00022569">
      <w:pPr>
        <w:jc w:val="both"/>
      </w:pPr>
      <w:r>
        <w:t>M</w:t>
      </w:r>
      <w:r w:rsidRPr="00022569">
        <w:t>aakunnan valvontasuunnitelmaan sisältyvästä näytteenotosta ja näytteiden tutkimisesta tulee voida periä maksu. Nyt 69 §:n ensimmäisen momentin kohta 2) on asian suhteen tulkinnanvarainen. Maksun periminen näytteiden tutkimisesta erikseen suoriteperusteisesti niiltä toimijoilta, joiden osalta näytteiden tutkiminen on valvontasuunnitelmassa katsottu tarpeelliseksi, olisi tarkoituksenmukaista. Toisena vaihtoehtona on näytteiden tutkimuskustannusten huomioiminen vuosittaisissa valvontamaksuissa.</w:t>
      </w:r>
    </w:p>
    <w:p w:rsidR="00233582" w:rsidRPr="0006435F" w:rsidRDefault="00233582" w:rsidP="000111C0">
      <w:pPr>
        <w:jc w:val="both"/>
      </w:pPr>
    </w:p>
    <w:p w:rsidR="0006435F" w:rsidRDefault="0006435F" w:rsidP="000111C0">
      <w:pPr>
        <w:jc w:val="both"/>
      </w:pPr>
    </w:p>
    <w:p w:rsidR="00B60DC8" w:rsidRPr="00DF31DE" w:rsidRDefault="00B60DC8" w:rsidP="000111C0">
      <w:pPr>
        <w:jc w:val="both"/>
      </w:pPr>
      <w:r w:rsidRPr="00DF31DE">
        <w:t>Maailman terveysjärjestön kansainvälisen terveyssäännöstön (</w:t>
      </w:r>
      <w:proofErr w:type="spellStart"/>
      <w:r w:rsidRPr="00DF31DE">
        <w:t>SopS</w:t>
      </w:r>
      <w:proofErr w:type="spellEnd"/>
      <w:r w:rsidRPr="00DF31DE">
        <w:t xml:space="preserve"> 51/2007) 20 ja 39 artiklassa tarkoitettujen todistusten myöntämisestä perittävä maksu tulisi mainita elintarvikelain 69 §:ssä ja terveydensuojelulain 50 a §:n luettelossa muista maksuista.</w:t>
      </w:r>
    </w:p>
    <w:p w:rsidR="00B60DC8" w:rsidRDefault="00B60DC8" w:rsidP="00B60DC8">
      <w:pPr>
        <w:spacing w:after="160" w:line="259" w:lineRule="auto"/>
        <w:jc w:val="both"/>
      </w:pPr>
    </w:p>
    <w:p w:rsidR="00022569" w:rsidRDefault="00105ED5" w:rsidP="00105ED5">
      <w:pPr>
        <w:jc w:val="both"/>
      </w:pPr>
      <w:r w:rsidRPr="00105ED5">
        <w:t>Lakiluonnoksessa ja yleisperusteluissa on ristiriita ilmoitusten ja hakemusten käsittelyn maksullisuudesta. Lakiluonnoksen</w:t>
      </w:r>
      <w:r w:rsidR="00022569" w:rsidRPr="00105ED5">
        <w:t xml:space="preserve"> </w:t>
      </w:r>
      <w:r>
        <w:t xml:space="preserve">69 §:n </w:t>
      </w:r>
      <w:r w:rsidR="00022569" w:rsidRPr="00105ED5">
        <w:t>mukaan elintarvikehuoneistojen ilmoitusten ja hakemusten käsittely</w:t>
      </w:r>
      <w:r>
        <w:t>stä peritään erillinen maksu</w:t>
      </w:r>
      <w:r w:rsidR="00022569" w:rsidRPr="00105ED5">
        <w:t xml:space="preserve">. Yleisperusteluissa, sivulla 31 mainitaan ristiriitaisesti, että vuosivalvontamaksujen myötä ilmoitus- ja hyväksymismaksuja ei enää peritä. </w:t>
      </w:r>
    </w:p>
    <w:p w:rsidR="0055595F" w:rsidRPr="00DF31DE" w:rsidRDefault="0055595F" w:rsidP="00105ED5">
      <w:pPr>
        <w:jc w:val="both"/>
      </w:pPr>
    </w:p>
    <w:p w:rsidR="00C370B1" w:rsidRPr="00DF31DE" w:rsidRDefault="00C370B1" w:rsidP="00C370B1">
      <w:pPr>
        <w:jc w:val="both"/>
        <w:rPr>
          <w:i/>
        </w:rPr>
      </w:pPr>
    </w:p>
    <w:p w:rsidR="00C370B1" w:rsidRPr="0060405E" w:rsidRDefault="00C370B1" w:rsidP="00C370B1">
      <w:pPr>
        <w:jc w:val="both"/>
        <w:rPr>
          <w:b/>
          <w:i/>
          <w:color w:val="548DD4" w:themeColor="text2" w:themeTint="99"/>
        </w:rPr>
      </w:pPr>
      <w:r w:rsidRPr="0060405E">
        <w:rPr>
          <w:b/>
          <w:i/>
          <w:color w:val="548DD4" w:themeColor="text2" w:themeTint="99"/>
        </w:rPr>
        <w:t>Mitä mieltä olet mahdollisuudesta ottaa huomioon toimijan luotettavuus, kun elintarvikevalvontaa suunnitellaan ja toteutetaan?</w:t>
      </w:r>
    </w:p>
    <w:p w:rsidR="0060405E" w:rsidRPr="000111C0" w:rsidRDefault="0060405E" w:rsidP="00C370B1">
      <w:pPr>
        <w:jc w:val="both"/>
      </w:pPr>
    </w:p>
    <w:p w:rsidR="0006435F" w:rsidRDefault="0006435F" w:rsidP="000111C0">
      <w:pPr>
        <w:jc w:val="both"/>
      </w:pPr>
      <w:r w:rsidRPr="0006435F">
        <w:t xml:space="preserve">Toimijan luotettavuus lakiehdotuksen perusteluissa kuvatulla tavalla voi vaikuttaa elintarviketurvallisuuteen, jolloin lisäys tältä osin elintarvikelainsäädäntöön on lain tavoitteiden mukainen. Ruokaviraston ohjeistusta tullaan tarvitsemaan, mikäli toimijan luotettavuutta on tarpeen arvioida valvonnan suunnittelussa ja muussa toteutuksessa. Ohjeistusta tarvitaan myös arviointiin, milloin esimerkiksi veroihin, tullimaksuihin tai muihin muuhun lainsäädäntöön kuin elintarvikelainsäädäntöön kohdistuvat rikkeet ovat huomattavia ja huomioon otettavia. </w:t>
      </w:r>
    </w:p>
    <w:p w:rsidR="0055595F" w:rsidRPr="0006435F" w:rsidRDefault="0055595F" w:rsidP="000111C0">
      <w:pPr>
        <w:jc w:val="both"/>
      </w:pPr>
    </w:p>
    <w:p w:rsidR="00C370B1" w:rsidRPr="00FF4943" w:rsidRDefault="00C370B1" w:rsidP="00C370B1">
      <w:pPr>
        <w:jc w:val="both"/>
        <w:rPr>
          <w:i/>
          <w:color w:val="548DD4" w:themeColor="text2" w:themeTint="99"/>
        </w:rPr>
      </w:pPr>
    </w:p>
    <w:p w:rsidR="00C370B1" w:rsidRPr="0060405E" w:rsidRDefault="00C370B1" w:rsidP="00C370B1">
      <w:pPr>
        <w:jc w:val="both"/>
        <w:rPr>
          <w:b/>
          <w:i/>
          <w:color w:val="548DD4" w:themeColor="text2" w:themeTint="99"/>
        </w:rPr>
      </w:pPr>
      <w:r w:rsidRPr="0060405E">
        <w:rPr>
          <w:b/>
          <w:color w:val="548DD4" w:themeColor="text2" w:themeTint="99"/>
        </w:rPr>
        <w:t>M</w:t>
      </w:r>
      <w:r w:rsidRPr="0060405E">
        <w:rPr>
          <w:b/>
          <w:i/>
          <w:color w:val="548DD4" w:themeColor="text2" w:themeTint="99"/>
        </w:rPr>
        <w:t xml:space="preserve">itä mieltä olet lihantarkastuksen kehittämisestä ehdotetulla tavalla; mikä on mielestäsi paras viranomaistaho huolehtimaan lihantarkastuksesta teurastamoissa ja leikkaamoissa? </w:t>
      </w:r>
    </w:p>
    <w:p w:rsidR="0060405E" w:rsidRPr="00FF4943" w:rsidRDefault="0060405E" w:rsidP="00C370B1">
      <w:pPr>
        <w:jc w:val="both"/>
        <w:rPr>
          <w:i/>
          <w:color w:val="548DD4" w:themeColor="text2" w:themeTint="99"/>
        </w:rPr>
      </w:pPr>
    </w:p>
    <w:p w:rsidR="0006435F" w:rsidRDefault="0006435F" w:rsidP="00B60DC8">
      <w:pPr>
        <w:jc w:val="both"/>
      </w:pPr>
    </w:p>
    <w:p w:rsidR="0006435F" w:rsidRDefault="0006435F" w:rsidP="000111C0">
      <w:pPr>
        <w:jc w:val="both"/>
      </w:pPr>
      <w:r w:rsidRPr="000111C0">
        <w:t xml:space="preserve">Lakiehdotuksen mukaisesti lihantarkastus on edelleen tarkoitus toteuttaa Ruokaviraston tehtävänä. Lihantarkastus ja muu elintarvikevalvonta teurastamoissa ja leikkaamoissa tuleekin edelleen säilyttää Eviralla/Ruokavirastolla. Perusteet siihen, miksi valvonta tällä osin aikanaan siirrettiin kokonaan Eviralle, eivät ole muuttuneet. </w:t>
      </w:r>
    </w:p>
    <w:p w:rsidR="000924A9" w:rsidRPr="000111C0" w:rsidRDefault="000924A9" w:rsidP="000111C0">
      <w:pPr>
        <w:jc w:val="both"/>
      </w:pPr>
    </w:p>
    <w:p w:rsidR="0006435F" w:rsidRDefault="0006435F" w:rsidP="000111C0">
      <w:pPr>
        <w:jc w:val="both"/>
      </w:pPr>
      <w:proofErr w:type="spellStart"/>
      <w:r w:rsidRPr="000111C0">
        <w:t>Ante</w:t>
      </w:r>
      <w:proofErr w:type="spellEnd"/>
      <w:r w:rsidRPr="000111C0">
        <w:t xml:space="preserve"> </w:t>
      </w:r>
      <w:proofErr w:type="spellStart"/>
      <w:r w:rsidRPr="000111C0">
        <w:t>mortem</w:t>
      </w:r>
      <w:proofErr w:type="spellEnd"/>
      <w:r w:rsidRPr="000111C0">
        <w:t xml:space="preserve"> – tarkastuksen osalta esitetään muutoksia: maakunnan virkaeläinlääkäri suorittaisi tarvittaessa </w:t>
      </w:r>
      <w:proofErr w:type="spellStart"/>
      <w:r w:rsidRPr="000111C0">
        <w:t>ante</w:t>
      </w:r>
      <w:proofErr w:type="spellEnd"/>
      <w:r w:rsidRPr="000111C0">
        <w:t xml:space="preserve"> </w:t>
      </w:r>
      <w:proofErr w:type="spellStart"/>
      <w:r w:rsidRPr="000111C0">
        <w:t>morten</w:t>
      </w:r>
      <w:proofErr w:type="spellEnd"/>
      <w:r w:rsidRPr="000111C0">
        <w:t xml:space="preserve"> – tarkastuksen alkutuotantopaikassa. Mikäli ko. tehtävä tulee maakunnalle, asiasta tulee laatia sopimus maakunnan ja Ruokaviraston välillä, sopimuksessa sovitaan myös tehtävästä maksettavasta korvauksesta. </w:t>
      </w:r>
    </w:p>
    <w:p w:rsidR="000924A9" w:rsidRPr="000111C0" w:rsidRDefault="000924A9" w:rsidP="000111C0">
      <w:pPr>
        <w:jc w:val="both"/>
      </w:pPr>
    </w:p>
    <w:p w:rsidR="0006435F" w:rsidRPr="000111C0" w:rsidRDefault="0006435F" w:rsidP="000111C0">
      <w:pPr>
        <w:jc w:val="both"/>
      </w:pPr>
      <w:r w:rsidRPr="000111C0">
        <w:lastRenderedPageBreak/>
        <w:t>Teurastamojen yhteydessä olevien muiden laitostoimintojen valvonta tulee edelleen säilyttää Ruokaviraston tehtävänä. Lakiehdotuksessa on esitetty näiden toimintojen valv</w:t>
      </w:r>
      <w:r w:rsidR="000111C0">
        <w:t>onnan siirtämistä maakunnille. M</w:t>
      </w:r>
      <w:r w:rsidRPr="000111C0">
        <w:t xml:space="preserve">uutosta perustellaan yhtenäisemmällä valvonnalla ja Ruokaviraston resurssien </w:t>
      </w:r>
      <w:proofErr w:type="gramStart"/>
      <w:r w:rsidRPr="000111C0">
        <w:t>säästöllä</w:t>
      </w:r>
      <w:proofErr w:type="gramEnd"/>
      <w:r w:rsidRPr="000111C0">
        <w:t xml:space="preserve"> sillä oletuksella, että maakunta voisi hoitaa valvontaa muun valvonnan yhteydessä samoilla resursseilla. Oletus valvonnan hoitamisesta muun valvonnan yhteydessä samoilla resursseilla on perusteeton. Muutos mainitulla tavalla käytännössä lisää erityisesti pienten teurastamojen hallinnollista taakkaa ja kustannuksia, kun samaa toimijaa valvotaan kahden viranomaisen toimesta. Pienillä toimijoilla omavalvonta on eri toimintojen osalta nivoutunut yhteen ja tilat eri toimintoihin voivat olla samoja, toiminnot on erotettu vain ajallisesti. </w:t>
      </w:r>
    </w:p>
    <w:p w:rsidR="0006435F" w:rsidRPr="00DF31DE" w:rsidRDefault="0006435F" w:rsidP="00B60DC8">
      <w:pPr>
        <w:jc w:val="both"/>
      </w:pPr>
    </w:p>
    <w:p w:rsidR="00C370B1" w:rsidRPr="00DF31DE" w:rsidRDefault="00C370B1" w:rsidP="00C370B1">
      <w:pPr>
        <w:jc w:val="both"/>
        <w:rPr>
          <w:i/>
        </w:rPr>
      </w:pPr>
    </w:p>
    <w:p w:rsidR="00C370B1" w:rsidRDefault="00C370B1" w:rsidP="00C370B1">
      <w:pPr>
        <w:jc w:val="both"/>
        <w:rPr>
          <w:b/>
          <w:i/>
          <w:color w:val="548DD4" w:themeColor="text2" w:themeTint="99"/>
        </w:rPr>
      </w:pPr>
      <w:r w:rsidRPr="0060405E">
        <w:rPr>
          <w:b/>
          <w:i/>
          <w:color w:val="548DD4" w:themeColor="text2" w:themeTint="99"/>
        </w:rPr>
        <w:t>Mitä mieltä olet toisesta EU-jäsenvaltiosta tulevien eläinperäisten elintarvikkeiden ensisaapumisvalvonnan kehittämisestä ehdotetulla tavalla?</w:t>
      </w:r>
    </w:p>
    <w:p w:rsidR="0060405E" w:rsidRPr="0060405E" w:rsidRDefault="0060405E" w:rsidP="00C370B1">
      <w:pPr>
        <w:jc w:val="both"/>
        <w:rPr>
          <w:b/>
          <w:i/>
          <w:color w:val="548DD4" w:themeColor="text2" w:themeTint="99"/>
        </w:rPr>
      </w:pPr>
    </w:p>
    <w:p w:rsidR="00B60DC8" w:rsidRPr="00DF31DE" w:rsidRDefault="00B60DC8" w:rsidP="00B60DC8">
      <w:pPr>
        <w:jc w:val="both"/>
      </w:pPr>
      <w:r w:rsidRPr="00DF31DE">
        <w:t>Lakiesityksen mukaan ensisaapumisvalvonta siirty</w:t>
      </w:r>
      <w:r w:rsidR="00333020">
        <w:t>y Eviralta maakunnan tehtäväksi.</w:t>
      </w:r>
      <w:r w:rsidR="006D1167">
        <w:t xml:space="preserve"> </w:t>
      </w:r>
      <w:r w:rsidRPr="00DF31DE">
        <w:t xml:space="preserve">Koska tehtävä kuuluu nyt Eviralle, tulisi siirto maakunnalle huomioida henkilöresurssin siirtona vastaavasti kuin </w:t>
      </w:r>
      <w:r>
        <w:t xml:space="preserve">esitetyssä </w:t>
      </w:r>
      <w:r w:rsidRPr="00DF31DE">
        <w:t>torjunta-aineva</w:t>
      </w:r>
      <w:r>
        <w:t>lvonnan siirrossa Eviralta Tukes</w:t>
      </w:r>
      <w:r w:rsidRPr="00DF31DE">
        <w:t>ille</w:t>
      </w:r>
      <w:r w:rsidR="006047B7">
        <w:t>.</w:t>
      </w:r>
      <w:r w:rsidRPr="00DF31DE">
        <w:t xml:space="preserve"> </w:t>
      </w:r>
    </w:p>
    <w:p w:rsidR="00B60DC8" w:rsidRPr="00DF31DE" w:rsidRDefault="00B60DC8" w:rsidP="00B60DC8">
      <w:pPr>
        <w:jc w:val="both"/>
      </w:pPr>
    </w:p>
    <w:p w:rsidR="00B60DC8" w:rsidRPr="00DF31DE" w:rsidRDefault="00B60DC8" w:rsidP="00B60DC8">
      <w:pPr>
        <w:jc w:val="both"/>
      </w:pPr>
      <w:r w:rsidRPr="00DF31DE">
        <w:t>Ensisaapumisvalvontaan liittyvien eläintautirajoitusten ja salmonellaerityistakuiden valvonta vaatii erityisosaamista ja ensisaapumistoiminnan tulisi näkyä valvontakohteiden valvontatarvetta ja valvontamaksua lisäävänä tekijänä.</w:t>
      </w:r>
    </w:p>
    <w:p w:rsidR="00B60DC8" w:rsidRPr="00DF31DE" w:rsidRDefault="00B60DC8" w:rsidP="00B60DC8">
      <w:pPr>
        <w:jc w:val="both"/>
      </w:pPr>
    </w:p>
    <w:p w:rsidR="00B60DC8" w:rsidRPr="00DF31DE" w:rsidRDefault="00B60DC8" w:rsidP="00B60DC8">
      <w:pPr>
        <w:jc w:val="both"/>
      </w:pPr>
      <w:r w:rsidRPr="00DF31DE">
        <w:t>Ensisaapumisvalvonta tulisi jatkossa keskittää ainoastaan salmonellaerityisvakuustuotteisiin ja muihin riskielintarvikkeisiin (raaka liha, raakalihavalmisteet, ravut, osteri, simpukat). Maahantuonnin aloittamisesta pitäisi säätää erillinen ilmoitusvelvollisuus maakunnalle. Ilmoitusvelvollisuuden kautta lihan ja muiden riskielintarvikkeiden maahantuojat tulisivat valvonnan tietoon, mikä helpottaisi riskiperusteisen valvonnan suunnittelua. Riskielintarvikkeiden maahantuonnin pitäisi lisätä kohteen valvontatarvetta.</w:t>
      </w:r>
    </w:p>
    <w:p w:rsidR="00B60DC8" w:rsidRPr="00DF31DE" w:rsidRDefault="00B60DC8" w:rsidP="00B60DC8">
      <w:pPr>
        <w:jc w:val="both"/>
      </w:pPr>
    </w:p>
    <w:p w:rsidR="00B60DC8" w:rsidRPr="00DF31DE" w:rsidRDefault="00B60DC8" w:rsidP="00B60DC8">
      <w:pPr>
        <w:jc w:val="both"/>
        <w:rPr>
          <w:color w:val="444444"/>
        </w:rPr>
      </w:pPr>
      <w:r w:rsidRPr="00DF31DE">
        <w:t xml:space="preserve">Myös ensisaapumistoiminnan lopettamisesta tulisi ilmoittaa maakunnalle, jotta asia voidaan ottaa huomioon tulevan vuoden valvontatarpeessa ja vuosimaksuissa. Nykyisen elintarvikelain 23 §:n mukaiset velvoitteet lihaan liittyvistä salmonellatutkimuksista ennen Suomeen toimittamista ja toimijan velvoite ilmoittaa omavalvonnassa todetusta salmonellasta tulisi huomioida myös uudessa elintarvikelaissa. </w:t>
      </w:r>
    </w:p>
    <w:p w:rsidR="00B60DC8" w:rsidRPr="00DF31DE" w:rsidRDefault="00B60DC8" w:rsidP="00B60DC8">
      <w:pPr>
        <w:jc w:val="both"/>
        <w:rPr>
          <w:color w:val="444444"/>
        </w:rPr>
      </w:pPr>
    </w:p>
    <w:p w:rsidR="00B60DC8" w:rsidRDefault="00B60DC8" w:rsidP="00B60DC8">
      <w:pPr>
        <w:jc w:val="both"/>
      </w:pPr>
      <w:r w:rsidRPr="00DF31DE">
        <w:t xml:space="preserve">Eräilmoitusvelvoitteesta voidaan nykymuodossa luopua, mutta samalla on hyvä ottaa huomioon, että eräkohtaisia tietoja ei jatkossa olisi käytössä esimerkiksi EU-alueen elintarvikekriiseissä, joissa halutaan usein kohdistaa nopeasti valvontatoimenpiteitä tiettyihin elintarvikkeisiin. </w:t>
      </w:r>
    </w:p>
    <w:p w:rsidR="0055595F" w:rsidRPr="00DF31DE" w:rsidRDefault="0055595F" w:rsidP="00B60DC8">
      <w:pPr>
        <w:jc w:val="both"/>
      </w:pPr>
    </w:p>
    <w:p w:rsidR="00F12372" w:rsidRPr="0060405E" w:rsidRDefault="00F12372" w:rsidP="00AD4C9A">
      <w:pPr>
        <w:rPr>
          <w:b/>
        </w:rPr>
      </w:pPr>
    </w:p>
    <w:p w:rsidR="00C370B1" w:rsidRPr="0060405E" w:rsidRDefault="00C370B1" w:rsidP="00C370B1">
      <w:pPr>
        <w:jc w:val="both"/>
        <w:rPr>
          <w:b/>
          <w:i/>
          <w:color w:val="548DD4" w:themeColor="text2" w:themeTint="99"/>
        </w:rPr>
      </w:pPr>
      <w:r w:rsidRPr="0060405E">
        <w:rPr>
          <w:b/>
          <w:i/>
          <w:color w:val="548DD4" w:themeColor="text2" w:themeTint="99"/>
        </w:rPr>
        <w:t>Mitä mieltä olet hallinnollisten pakkokeinojen kehittämisestä ehdotetulla tavalla?</w:t>
      </w:r>
    </w:p>
    <w:p w:rsidR="00A8225C" w:rsidRPr="00DF31DE" w:rsidRDefault="00A8225C" w:rsidP="00A8225C">
      <w:pPr>
        <w:jc w:val="both"/>
      </w:pPr>
    </w:p>
    <w:p w:rsidR="00A8225C" w:rsidRPr="00DF31DE" w:rsidRDefault="00A8225C" w:rsidP="00A8225C">
      <w:pPr>
        <w:jc w:val="both"/>
      </w:pPr>
      <w:r w:rsidRPr="00DF31DE">
        <w:t xml:space="preserve">Rajanveto 62 §:n käytössä maakunnan ja Ruokaviraston välillä voi olla epäselvä, koska markkinointi ylittää helposti maakuntarajat. Esitetty muutos todennäköisesti lisäisi </w:t>
      </w:r>
      <w:r w:rsidR="003E273C">
        <w:t>maakuntien</w:t>
      </w:r>
      <w:r w:rsidRPr="00DF31DE">
        <w:t xml:space="preserve"> valvonnan resurssitarvetta, koska nyt Eviran hoitamat markkinointikiellot siirtyisivät</w:t>
      </w:r>
      <w:r w:rsidR="003E273C">
        <w:t xml:space="preserve"> maakuntien</w:t>
      </w:r>
      <w:r w:rsidRPr="00DF31DE">
        <w:t xml:space="preserve"> vastuulle. Käytännön valvonnassa on havaittu, että kehotukset ovat harvoin riittävä keino markkinointia koskevissa epäkohdissa, joissa taloudelliset intressit ovat suuria. Koska internetsivuston sulkeminen on tulossa Ruokaviraston tehtäväksi, olisi tarkoituksenmukaista, että myös markkinoinnin kieltäminen olisi jatkossa Ruokaviraston tehtävä. </w:t>
      </w:r>
    </w:p>
    <w:p w:rsidR="00A8225C" w:rsidRDefault="00A8225C" w:rsidP="00A8225C">
      <w:pPr>
        <w:jc w:val="both"/>
      </w:pPr>
    </w:p>
    <w:p w:rsidR="00A8225C" w:rsidRDefault="00A8225C" w:rsidP="00A8225C">
      <w:pPr>
        <w:jc w:val="both"/>
      </w:pPr>
      <w:r w:rsidRPr="00DF31DE">
        <w:t xml:space="preserve">Nykyistä 63 § vastaava säännös olisi tarpeen säilyttää.  Viranhaltijan pitäisi voida puuttua vakaviin epäkohtiin muun muassa kieltämällä elintarvikehuoneiston toiminta, ilman että joka maakunnassa päätäntävalta pitää delegoida erikseen. </w:t>
      </w:r>
    </w:p>
    <w:p w:rsidR="00C370B1" w:rsidRDefault="00C370B1" w:rsidP="00C370B1">
      <w:pPr>
        <w:jc w:val="both"/>
        <w:rPr>
          <w:i/>
        </w:rPr>
      </w:pPr>
    </w:p>
    <w:p w:rsidR="0055595F" w:rsidRPr="00DF31DE" w:rsidRDefault="0055595F" w:rsidP="00C370B1">
      <w:pPr>
        <w:jc w:val="both"/>
        <w:rPr>
          <w:i/>
        </w:rPr>
      </w:pPr>
    </w:p>
    <w:p w:rsidR="00C370B1" w:rsidRDefault="00C370B1" w:rsidP="00C370B1">
      <w:pPr>
        <w:jc w:val="both"/>
        <w:rPr>
          <w:b/>
          <w:i/>
          <w:color w:val="548DD4" w:themeColor="text2" w:themeTint="99"/>
        </w:rPr>
      </w:pPr>
      <w:r w:rsidRPr="0060405E">
        <w:rPr>
          <w:b/>
          <w:i/>
          <w:color w:val="548DD4" w:themeColor="text2" w:themeTint="99"/>
        </w:rPr>
        <w:lastRenderedPageBreak/>
        <w:t>Jos oikeusministeriö arvioi rangaistusluontoisen hallinnollisen seuraamusmaksun (hallinnollinen sakko) mahdolliseksi, pitäisikö sellainen ottaa käyttöön elintarvikevalvonnassa?</w:t>
      </w:r>
    </w:p>
    <w:p w:rsidR="0060405E" w:rsidRPr="0060405E" w:rsidRDefault="0060405E" w:rsidP="00C370B1">
      <w:pPr>
        <w:jc w:val="both"/>
        <w:rPr>
          <w:b/>
          <w:i/>
          <w:color w:val="548DD4" w:themeColor="text2" w:themeTint="99"/>
        </w:rPr>
      </w:pPr>
    </w:p>
    <w:p w:rsidR="0006435F" w:rsidRPr="00FF4943" w:rsidRDefault="00A8225C" w:rsidP="0006435F">
      <w:pPr>
        <w:rPr>
          <w:color w:val="FF0000"/>
        </w:rPr>
      </w:pPr>
      <w:r w:rsidRPr="00DF31DE">
        <w:t>Hallinnollisen sakon käyttöönotto elintarvikevalvonnassa olisi toivottavaa, koska se lisäisi keinoja elintarvikelainsäädännön rikkomusten vähentämiseksi</w:t>
      </w:r>
      <w:r>
        <w:t>.</w:t>
      </w:r>
      <w:r w:rsidR="0006435F" w:rsidRPr="000924A9">
        <w:t xml:space="preserve"> </w:t>
      </w:r>
    </w:p>
    <w:p w:rsidR="00C370B1" w:rsidRDefault="00C370B1" w:rsidP="00C370B1">
      <w:pPr>
        <w:jc w:val="both"/>
      </w:pPr>
    </w:p>
    <w:p w:rsidR="00A8225C" w:rsidRPr="00DF31DE" w:rsidRDefault="00A8225C" w:rsidP="00C370B1">
      <w:pPr>
        <w:jc w:val="both"/>
        <w:rPr>
          <w:i/>
        </w:rPr>
      </w:pPr>
    </w:p>
    <w:p w:rsidR="00C370B1" w:rsidRDefault="00C370B1" w:rsidP="00C370B1">
      <w:pPr>
        <w:jc w:val="both"/>
        <w:rPr>
          <w:b/>
          <w:i/>
          <w:color w:val="548DD4" w:themeColor="text2" w:themeTint="99"/>
        </w:rPr>
      </w:pPr>
      <w:r w:rsidRPr="0060405E">
        <w:rPr>
          <w:b/>
          <w:i/>
          <w:color w:val="548DD4" w:themeColor="text2" w:themeTint="99"/>
        </w:rPr>
        <w:t>Lausunnot muista aiheista</w:t>
      </w:r>
    </w:p>
    <w:p w:rsidR="0060405E" w:rsidRPr="0060405E" w:rsidRDefault="0060405E" w:rsidP="00C370B1">
      <w:pPr>
        <w:jc w:val="both"/>
        <w:rPr>
          <w:b/>
          <w:i/>
          <w:color w:val="548DD4" w:themeColor="text2" w:themeTint="99"/>
        </w:rPr>
      </w:pPr>
    </w:p>
    <w:p w:rsidR="00506B20" w:rsidRDefault="00C370B1" w:rsidP="00F12372">
      <w:pPr>
        <w:rPr>
          <w:u w:val="single"/>
        </w:rPr>
      </w:pPr>
      <w:r w:rsidRPr="00C370B1">
        <w:rPr>
          <w:u w:val="single"/>
        </w:rPr>
        <w:t>Elintarvikelaki</w:t>
      </w:r>
    </w:p>
    <w:p w:rsidR="00A5315A" w:rsidRDefault="00A5315A" w:rsidP="00F12372">
      <w:pPr>
        <w:rPr>
          <w:u w:val="single"/>
        </w:rPr>
      </w:pPr>
    </w:p>
    <w:p w:rsidR="00333020" w:rsidRDefault="00333020" w:rsidP="00F12372">
      <w:pPr>
        <w:rPr>
          <w:u w:val="single"/>
        </w:rPr>
      </w:pPr>
    </w:p>
    <w:p w:rsidR="00533FEE" w:rsidRDefault="00333020" w:rsidP="00333020">
      <w:pPr>
        <w:jc w:val="both"/>
      </w:pPr>
      <w:r w:rsidRPr="000924A9">
        <w:t>10 § Elintarviketoiminta rekisteröidyssä elintarvikehuoneistossa</w:t>
      </w:r>
    </w:p>
    <w:p w:rsidR="005C22EC" w:rsidRPr="000924A9" w:rsidRDefault="005C22EC" w:rsidP="00333020">
      <w:pPr>
        <w:jc w:val="both"/>
      </w:pPr>
    </w:p>
    <w:p w:rsidR="00333020" w:rsidRDefault="00333020" w:rsidP="00333020">
      <w:pPr>
        <w:jc w:val="both"/>
      </w:pPr>
      <w:r w:rsidRPr="00DF31DE">
        <w:t xml:space="preserve">4 </w:t>
      </w:r>
      <w:proofErr w:type="spellStart"/>
      <w:r w:rsidRPr="00DF31DE">
        <w:t>mom</w:t>
      </w:r>
      <w:proofErr w:type="spellEnd"/>
      <w:r w:rsidRPr="00DF31DE">
        <w:t xml:space="preserve">: </w:t>
      </w:r>
      <w:r w:rsidRPr="00233582">
        <w:rPr>
          <w:i/>
        </w:rPr>
        <w:t>”Elintarvikealan toimijan kotimaakunta käsittelee elintarvikehuoneiston rekisteröintiä koskevan ilmoituksen, kun elintarviketoimintaa harjoitetaan: 2) elintarvikehuoneistossa, jossa pelkästään kuljetetaan tai säilytetään elintarvikkeita yhdessä tai useammassa kuljetusajoneuvossa tai kontissa.”</w:t>
      </w:r>
      <w:r w:rsidRPr="00DF31DE">
        <w:t xml:space="preserve"> Nykyisessä laissa muotoilu on parempi (</w:t>
      </w:r>
      <w:r w:rsidR="00F91CDC">
        <w:t>”</w:t>
      </w:r>
      <w:r w:rsidRPr="00F91CDC">
        <w:rPr>
          <w:i/>
        </w:rPr>
        <w:t>ilmoituksen käsittelee sen kunnan valvontaviranomainen, jonka alueella toiminta aloitetaan tai jonka alueella elintarvikehuoneiston toiminnasta on aikaisemmin ilmoitettu</w:t>
      </w:r>
      <w:r w:rsidR="00F91CDC">
        <w:rPr>
          <w:i/>
        </w:rPr>
        <w:t>”</w:t>
      </w:r>
      <w:r w:rsidRPr="00DF31DE">
        <w:t>). Toisen maakunnan alueella sijaitsevaa konttia on vaikea valvoa toimijan kotimaakunnasta käsin, jos kyseessä on pysyvä varastokontti eikä liikkuva ajoneuvo.</w:t>
      </w:r>
    </w:p>
    <w:p w:rsidR="00333020" w:rsidRPr="00DF31DE" w:rsidRDefault="00333020" w:rsidP="00333020">
      <w:pPr>
        <w:jc w:val="both"/>
      </w:pPr>
    </w:p>
    <w:p w:rsidR="00333020" w:rsidRDefault="00333020" w:rsidP="00333020">
      <w:pPr>
        <w:jc w:val="both"/>
      </w:pPr>
      <w:r w:rsidRPr="000924A9">
        <w:t>12 § Tiedottaminen elintarviketoiminnasta liikkuvassa elintarvikehuoneistossa</w:t>
      </w:r>
    </w:p>
    <w:p w:rsidR="005C22EC" w:rsidRPr="00DF31DE" w:rsidRDefault="005C22EC" w:rsidP="00333020">
      <w:pPr>
        <w:jc w:val="both"/>
      </w:pPr>
    </w:p>
    <w:p w:rsidR="00333020" w:rsidRDefault="00333020" w:rsidP="00533FEE">
      <w:pPr>
        <w:jc w:val="both"/>
      </w:pPr>
      <w:r w:rsidRPr="00DF31DE">
        <w:t>Tiedottamisvelvollisuus liikkuvasta elintarvikehuoneistosta tulisi säilyttää myös rekisteröityjen liikkuvien huoneistojen osalta, jotta kohteita olisi mahdollista valvoa. Jos tiedotusvelvollisuus poistuu, on tarkastuksen kohdistaminen liikkuvaan huoneistoon sattumanvaraista. Nyt riskiperusteisia tarkastuksia kohdennetaan tiedottamisen perusteella ja välillä tiedottamisen yhteydessä käy ilmi, että liikkuva huoneisto ei ole rekisteröitynyt mihinkään kuntaan</w:t>
      </w:r>
      <w:r>
        <w:t>.</w:t>
      </w:r>
    </w:p>
    <w:p w:rsidR="005C22EC" w:rsidRDefault="005C22EC" w:rsidP="00533FEE">
      <w:pPr>
        <w:jc w:val="both"/>
      </w:pPr>
    </w:p>
    <w:p w:rsidR="005C22EC" w:rsidRDefault="005C22EC" w:rsidP="00533FEE">
      <w:pPr>
        <w:jc w:val="both"/>
      </w:pPr>
      <w:r>
        <w:t>24 § Maakunnan tehtävät</w:t>
      </w:r>
    </w:p>
    <w:p w:rsidR="005C22EC" w:rsidRDefault="005C22EC" w:rsidP="00533FEE">
      <w:pPr>
        <w:jc w:val="both"/>
      </w:pPr>
    </w:p>
    <w:p w:rsidR="00B84125" w:rsidRDefault="005C22EC" w:rsidP="00533FEE">
      <w:pPr>
        <w:jc w:val="both"/>
      </w:pPr>
      <w:r>
        <w:t>Pykälässä 24 § määritellään maakunnan tehtäväksi mm. Ruokavirastolle tehtävät ilmoitukset ja raportit. Olisi kuitenkin toivottavaa, että Ruokavirasto saisi tarvitsemansa raportit suoraan Vatista.</w:t>
      </w:r>
    </w:p>
    <w:p w:rsidR="005C22EC" w:rsidRDefault="005C22EC" w:rsidP="00533FEE">
      <w:pPr>
        <w:jc w:val="both"/>
      </w:pPr>
    </w:p>
    <w:p w:rsidR="00B84125" w:rsidRDefault="00B84125" w:rsidP="00533FEE">
      <w:pPr>
        <w:jc w:val="both"/>
      </w:pPr>
      <w:r>
        <w:t>30 § Viralliset laboratoriot</w:t>
      </w:r>
    </w:p>
    <w:p w:rsidR="005C22EC" w:rsidRDefault="005C22EC" w:rsidP="00533FEE">
      <w:pPr>
        <w:jc w:val="both"/>
      </w:pPr>
    </w:p>
    <w:p w:rsidR="00B84125" w:rsidRDefault="00B84125" w:rsidP="00B84125">
      <w:r>
        <w:t>Lakiluonnoksessa ehdotetaan, että viralliseksi laboratorioksi voidaan nimittää ilman akkreditointia laboratorio, joka tekee ainoastaan trikiinitutkimuksia. Ainoastaan trikiinitutkimuksia tekevältä laboratoriolta ei vaadittaisi laatujärjestelmää. Tällainen laboratorio tulee velvoittaa osallistumaan vertailunäytetutkimuksiin. Trikiinitutkimuksessa väärät negatiiviset tulokset aiheuttavat väestölle vakavaa terveysvaaraa. Lisäksi vertailututkimuksiin osallistuminen on edullinen ja vaivaton laadun arvioinnin väline.</w:t>
      </w:r>
    </w:p>
    <w:p w:rsidR="00DE005A" w:rsidRDefault="00DE005A" w:rsidP="00B84125"/>
    <w:p w:rsidR="00DE005A" w:rsidRDefault="00DE005A" w:rsidP="00B84125">
      <w:r>
        <w:t>72 § Muutoksenhaku maakunnan viranomaisen päätökseen</w:t>
      </w:r>
    </w:p>
    <w:p w:rsidR="00DE005A" w:rsidRDefault="00DE005A" w:rsidP="00B84125"/>
    <w:p w:rsidR="00DE005A" w:rsidRDefault="00DE005A" w:rsidP="00B84125">
      <w:r>
        <w:t xml:space="preserve">Pykälän viimeisessä momentissa, joka käsittelee maakunnallisia maksuja koskevaa taksaa, viitataan virheellisesti maakuntalain 18 </w:t>
      </w:r>
      <w:proofErr w:type="gramStart"/>
      <w:r>
        <w:t>§:</w:t>
      </w:r>
      <w:proofErr w:type="spellStart"/>
      <w:r>
        <w:t>ään</w:t>
      </w:r>
      <w:proofErr w:type="spellEnd"/>
      <w:proofErr w:type="gramEnd"/>
      <w:r>
        <w:t>. Ko. pykälässä käsitellään valtuutettujen määrää.</w:t>
      </w:r>
    </w:p>
    <w:p w:rsidR="00022569" w:rsidRDefault="00022569" w:rsidP="00533FEE">
      <w:pPr>
        <w:jc w:val="both"/>
      </w:pPr>
    </w:p>
    <w:p w:rsidR="00022569" w:rsidRDefault="00022569" w:rsidP="00022569">
      <w:r>
        <w:t>Tiedoksianto</w:t>
      </w:r>
    </w:p>
    <w:p w:rsidR="005C22EC" w:rsidRDefault="005C22EC" w:rsidP="00022569"/>
    <w:p w:rsidR="00022569" w:rsidRDefault="00022569" w:rsidP="00022569">
      <w:r>
        <w:t xml:space="preserve">Hallintolain 59 §:n mukaan tavallinen tiedoksianto toimitetaan postitse kirjeellä vastaanottajalle. Elintarvikevalvontaviranomaisten työn sujuvoittamiseksi olisi hyvä selvittää, voisiko elintarvikelakiin lisätä asiakirjojen tiedoksiantoa koskevan säännöksen, jonka mukaan tiedoksianto voidaan tehdä </w:t>
      </w:r>
      <w:r>
        <w:lastRenderedPageBreak/>
        <w:t>sähköpostilla toimijan antamaan sähköpostiosoitteeseen. Vastaava säännös on julkisista hankinnoista ja käyttöoikeussopimuksista annetun lain (1397/2016) 127 §:</w:t>
      </w:r>
      <w:proofErr w:type="spellStart"/>
      <w:r>
        <w:t>ssä</w:t>
      </w:r>
      <w:proofErr w:type="spellEnd"/>
      <w:r>
        <w:t>.</w:t>
      </w:r>
    </w:p>
    <w:p w:rsidR="00022569" w:rsidRDefault="00022569" w:rsidP="00533FEE">
      <w:pPr>
        <w:jc w:val="both"/>
      </w:pPr>
    </w:p>
    <w:p w:rsidR="00333020" w:rsidRPr="00333020" w:rsidRDefault="00333020" w:rsidP="00533FEE">
      <w:pPr>
        <w:jc w:val="both"/>
      </w:pPr>
    </w:p>
    <w:p w:rsidR="00C370B1" w:rsidRDefault="00C370B1" w:rsidP="00533FEE">
      <w:pPr>
        <w:jc w:val="both"/>
        <w:rPr>
          <w:u w:val="single"/>
        </w:rPr>
      </w:pPr>
      <w:r w:rsidRPr="00533FEE">
        <w:rPr>
          <w:u w:val="single"/>
        </w:rPr>
        <w:t>Terveydensuojelulaki</w:t>
      </w:r>
    </w:p>
    <w:p w:rsidR="00A5315A" w:rsidRDefault="00A5315A" w:rsidP="00533FEE">
      <w:pPr>
        <w:jc w:val="both"/>
        <w:rPr>
          <w:u w:val="single"/>
        </w:rPr>
      </w:pPr>
    </w:p>
    <w:p w:rsidR="00533FEE" w:rsidRDefault="00A5315A" w:rsidP="00533FEE">
      <w:pPr>
        <w:jc w:val="both"/>
      </w:pPr>
      <w:r w:rsidRPr="00A5315A">
        <w:t>50 § Maakunnan suorittamasta terveydensuojeluvalvonnasta perittävä vuosittainen valvontamaksu</w:t>
      </w:r>
    </w:p>
    <w:p w:rsidR="005C22EC" w:rsidRPr="00A5315A" w:rsidRDefault="005C22EC" w:rsidP="00533FEE">
      <w:pPr>
        <w:jc w:val="both"/>
      </w:pPr>
    </w:p>
    <w:p w:rsidR="00533FEE" w:rsidRDefault="00533FEE" w:rsidP="00533FEE">
      <w:pPr>
        <w:jc w:val="both"/>
      </w:pPr>
      <w:r w:rsidRPr="00533FEE">
        <w:t>Vuosimaksu terveydensuojelussa on kannatettavaa. Vuosimaksu kattaisi aiemman tarkastustoiminnan lisäksi myös muut valvontatoim</w:t>
      </w:r>
      <w:r>
        <w:t>et, jotka liittyvät ilmoituksen</w:t>
      </w:r>
      <w:r w:rsidRPr="00533FEE">
        <w:t xml:space="preserve">varaisen ja hyväksymistä edellyttävän toiminnan valvonnan kustannukset. Tällaisia olisi mm. kunnan ja maakunnan välillä tehtävä sisäilma-asioihin liittyvä asiantuntijatyö. </w:t>
      </w:r>
    </w:p>
    <w:p w:rsidR="00533FEE" w:rsidRPr="00533FEE" w:rsidRDefault="00533FEE" w:rsidP="00533FEE">
      <w:pPr>
        <w:jc w:val="both"/>
      </w:pPr>
    </w:p>
    <w:p w:rsidR="00533FEE" w:rsidRDefault="00533FEE" w:rsidP="00533FEE">
      <w:pPr>
        <w:jc w:val="both"/>
      </w:pPr>
      <w:r w:rsidRPr="00533FEE">
        <w:t xml:space="preserve">Maksutaulukko ja maksuluokat on määritelty nykyisiin taksoihin verrattuna </w:t>
      </w:r>
      <w:r>
        <w:t>varsin</w:t>
      </w:r>
      <w:r w:rsidRPr="00533FEE">
        <w:t xml:space="preserve"> tiivistetysti. Tämä aiheuttaa varmasti tulkintavaikeuksia valvontayksiköissä/maakunnissa. Vähintään Valviran linjausta tarvitaan edelleen toiminnan laajuuden ja luonteen sekä terveydellisen riskin aiheuttaman valvontatarpeen yhtenäiseen arviointiin. Tämä korostuu etenkin kohteissa, joissa on useamman eri lain mukaisia toimintoja tai myös kohteissa, joissa on terveydensuojelulain mukaisia toimintoja samalla toiminnanharjoittajalla. </w:t>
      </w:r>
    </w:p>
    <w:p w:rsidR="00A5315A" w:rsidRPr="00533FEE" w:rsidRDefault="00A5315A" w:rsidP="00533FEE">
      <w:pPr>
        <w:jc w:val="both"/>
      </w:pPr>
    </w:p>
    <w:p w:rsidR="000924A9" w:rsidRDefault="00A5315A" w:rsidP="00533FEE">
      <w:pPr>
        <w:jc w:val="both"/>
      </w:pPr>
      <w:r w:rsidRPr="00A5315A">
        <w:t>50 a § Terveydensuojeluvalvonnasta perittävät muut maksut</w:t>
      </w:r>
    </w:p>
    <w:p w:rsidR="005C22EC" w:rsidRPr="000924A9" w:rsidRDefault="005C22EC" w:rsidP="00533FEE">
      <w:pPr>
        <w:jc w:val="both"/>
      </w:pPr>
    </w:p>
    <w:p w:rsidR="00506B20" w:rsidRDefault="00A5315A" w:rsidP="00F872FE">
      <w:pPr>
        <w:jc w:val="both"/>
      </w:pPr>
      <w:r w:rsidRPr="000B09A3">
        <w:t xml:space="preserve">Kohdan 5) mukaan </w:t>
      </w:r>
      <w:r w:rsidR="00AB25FB">
        <w:t>”</w:t>
      </w:r>
      <w:r w:rsidRPr="00AB25FB">
        <w:rPr>
          <w:i/>
        </w:rPr>
        <w:t>vuosivalvontamaksun lisäksi maakunnalla on oikeus periä ylimääräinen maksu, jos valvontatoimenpiteet ylittävät vuosimaksuun sisältyvät suunnitelmallisen valvonnan toimenpiteen ja valvontatoimenpiteet johtuvat siitä, että toiminnanharjoittaja ei ole noudattanut terveydensuojeluviranomaisen antamia kehotuksia tai määräyksiä</w:t>
      </w:r>
      <w:r w:rsidR="00AB25FB">
        <w:rPr>
          <w:i/>
        </w:rPr>
        <w:t>”</w:t>
      </w:r>
      <w:bookmarkStart w:id="0" w:name="_GoBack"/>
      <w:bookmarkEnd w:id="0"/>
      <w:r>
        <w:t>. Uusintatarkastus tulee</w:t>
      </w:r>
      <w:r w:rsidRPr="000B09A3">
        <w:t xml:space="preserve"> aina olla maksullinen riippumatta siitä, onko toiminnanharjoittaja noudattanut kehotusta/määräystä</w:t>
      </w:r>
      <w:r w:rsidR="00F872FE">
        <w:t>.</w:t>
      </w:r>
    </w:p>
    <w:p w:rsidR="00F872FE" w:rsidRDefault="00F872FE" w:rsidP="00F872FE">
      <w:pPr>
        <w:jc w:val="both"/>
      </w:pPr>
    </w:p>
    <w:p w:rsidR="00F872FE" w:rsidRPr="00F12372" w:rsidRDefault="00F872FE" w:rsidP="00F872FE">
      <w:pPr>
        <w:jc w:val="both"/>
      </w:pPr>
    </w:p>
    <w:p w:rsidR="0032048A" w:rsidRPr="00F12372" w:rsidRDefault="0032048A" w:rsidP="00F12372">
      <w:r w:rsidRPr="00F12372">
        <w:t>Yhdistys kiittää mahdollisuudesta lausunnon antamiseen.</w:t>
      </w:r>
    </w:p>
    <w:p w:rsidR="0032048A" w:rsidRPr="00F12372" w:rsidRDefault="0032048A" w:rsidP="00F12372"/>
    <w:p w:rsidR="00CF408D" w:rsidRPr="00F12372" w:rsidRDefault="00CF408D" w:rsidP="00F12372"/>
    <w:p w:rsidR="00CF408D" w:rsidRPr="00F12372" w:rsidRDefault="00CF408D" w:rsidP="00F12372"/>
    <w:p w:rsidR="004F27BF" w:rsidRPr="00F12372" w:rsidRDefault="004F27BF" w:rsidP="00F12372"/>
    <w:p w:rsidR="0032048A" w:rsidRPr="00F12372" w:rsidRDefault="00CF408D" w:rsidP="00F12372">
      <w:r w:rsidRPr="00F12372">
        <w:t>Kirsi Hiltunen</w:t>
      </w:r>
    </w:p>
    <w:p w:rsidR="00B17FA6" w:rsidRPr="00F12372" w:rsidRDefault="0032048A" w:rsidP="00F12372">
      <w:r w:rsidRPr="00F12372">
        <w:t>Johtokunnan puheenjohtaja</w:t>
      </w:r>
    </w:p>
    <w:sectPr w:rsidR="00B17FA6" w:rsidRPr="00F12372" w:rsidSect="00F472D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70" w:rsidRDefault="00086A70">
      <w:r>
        <w:separator/>
      </w:r>
    </w:p>
  </w:endnote>
  <w:endnote w:type="continuationSeparator" w:id="0">
    <w:p w:rsidR="00086A70" w:rsidRDefault="0008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70" w:rsidRDefault="00086A70">
      <w:r>
        <w:separator/>
      </w:r>
    </w:p>
  </w:footnote>
  <w:footnote w:type="continuationSeparator" w:id="0">
    <w:p w:rsidR="00086A70" w:rsidRDefault="0008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70" w:rsidRDefault="00086A70">
    <w:pPr>
      <w:pStyle w:val="Yltunniste"/>
    </w:pPr>
    <w:r>
      <w:tab/>
      <w:t xml:space="preserve">                                                                                                                                            </w:t>
    </w:r>
    <w:r>
      <w:rPr>
        <w:rStyle w:val="Sivunumero"/>
      </w:rPr>
      <w:fldChar w:fldCharType="begin"/>
    </w:r>
    <w:r>
      <w:rPr>
        <w:rStyle w:val="Sivunumero"/>
      </w:rPr>
      <w:instrText xml:space="preserve"> PAGE </w:instrText>
    </w:r>
    <w:r>
      <w:rPr>
        <w:rStyle w:val="Sivunumero"/>
      </w:rPr>
      <w:fldChar w:fldCharType="separate"/>
    </w:r>
    <w:r w:rsidR="00AB25FB">
      <w:rPr>
        <w:rStyle w:val="Sivunumero"/>
        <w:noProof/>
      </w:rPr>
      <w:t>4</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AB25FB">
      <w:rPr>
        <w:rStyle w:val="Sivunumero"/>
        <w:noProof/>
      </w:rPr>
      <w:t>5</w:t>
    </w:r>
    <w:r>
      <w:rPr>
        <w:rStyle w:val="Sivunumero"/>
      </w:rPr>
      <w:fldChar w:fldCharType="end"/>
    </w:r>
    <w:r>
      <w:rPr>
        <w:rStyle w:val="Sivunumero"/>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C48"/>
    <w:multiLevelType w:val="multilevel"/>
    <w:tmpl w:val="75D4B9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665788B"/>
    <w:multiLevelType w:val="hybridMultilevel"/>
    <w:tmpl w:val="744E6A48"/>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547C9"/>
    <w:multiLevelType w:val="multilevel"/>
    <w:tmpl w:val="6720C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76480"/>
    <w:multiLevelType w:val="hybridMultilevel"/>
    <w:tmpl w:val="98AEDB2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45959"/>
    <w:multiLevelType w:val="multilevel"/>
    <w:tmpl w:val="D72C575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428F3108"/>
    <w:multiLevelType w:val="multilevel"/>
    <w:tmpl w:val="78A82028"/>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ED330A"/>
    <w:multiLevelType w:val="multilevel"/>
    <w:tmpl w:val="74BCBE6C"/>
    <w:styleLink w:val="Isoluettelomerkki"/>
    <w:lvl w:ilvl="0">
      <w:numFmt w:val="bullet"/>
      <w:lvlText w:val="•"/>
      <w:lvlJc w:val="left"/>
      <w:pPr>
        <w:ind w:left="218" w:hanging="218"/>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1">
      <w:numFmt w:val="bullet"/>
      <w:lvlText w:val="•"/>
      <w:lvlJc w:val="left"/>
      <w:pPr>
        <w:ind w:left="458" w:hanging="218"/>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2">
      <w:numFmt w:val="bullet"/>
      <w:lvlText w:val="•"/>
      <w:lvlJc w:val="left"/>
      <w:pPr>
        <w:ind w:left="72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3">
      <w:numFmt w:val="bullet"/>
      <w:lvlText w:val="•"/>
      <w:lvlJc w:val="left"/>
      <w:pPr>
        <w:ind w:left="96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4">
      <w:numFmt w:val="bullet"/>
      <w:lvlText w:val="•"/>
      <w:lvlJc w:val="left"/>
      <w:pPr>
        <w:ind w:left="120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5">
      <w:numFmt w:val="bullet"/>
      <w:lvlText w:val="•"/>
      <w:lvlJc w:val="left"/>
      <w:pPr>
        <w:ind w:left="144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6">
      <w:numFmt w:val="bullet"/>
      <w:lvlText w:val="•"/>
      <w:lvlJc w:val="left"/>
      <w:pPr>
        <w:ind w:left="168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7">
      <w:numFmt w:val="bullet"/>
      <w:lvlText w:val="•"/>
      <w:lvlJc w:val="left"/>
      <w:pPr>
        <w:ind w:left="192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lvl w:ilvl="8">
      <w:numFmt w:val="bullet"/>
      <w:lvlText w:val="•"/>
      <w:lvlJc w:val="left"/>
      <w:pPr>
        <w:ind w:left="2160" w:hanging="240"/>
      </w:pPr>
      <w:rPr>
        <w:rFonts w:ascii="Arial Unicode MS" w:hAnsi="Arial Unicode MS"/>
        <w:caps w:val="0"/>
        <w:smallCaps w:val="0"/>
        <w:strike w:val="0"/>
        <w:dstrike w:val="0"/>
        <w:outline w:val="0"/>
        <w:emboss w:val="0"/>
        <w:imprint w:val="0"/>
        <w:spacing w:val="0"/>
        <w:w w:val="100"/>
        <w:kern w:val="0"/>
        <w:position w:val="0"/>
        <w:sz w:val="26"/>
        <w:szCs w:val="26"/>
        <w:u w:val="none"/>
        <w:shd w:val="clear" w:color="auto" w:fill="auto"/>
        <w:vertAlign w:val="baseline"/>
      </w:rPr>
    </w:lvl>
  </w:abstractNum>
  <w:abstractNum w:abstractNumId="7" w15:restartNumberingAfterBreak="0">
    <w:nsid w:val="5106195E"/>
    <w:multiLevelType w:val="multilevel"/>
    <w:tmpl w:val="C8329D9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8A91B3B"/>
    <w:multiLevelType w:val="multilevel"/>
    <w:tmpl w:val="B8E8210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66371554"/>
    <w:multiLevelType w:val="multilevel"/>
    <w:tmpl w:val="B8E4AF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9C461C6"/>
    <w:multiLevelType w:val="multilevel"/>
    <w:tmpl w:val="744E6A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E66297"/>
    <w:multiLevelType w:val="multilevel"/>
    <w:tmpl w:val="322C31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5"/>
  </w:num>
  <w:num w:numId="2">
    <w:abstractNumId w:val="1"/>
  </w:num>
  <w:num w:numId="3">
    <w:abstractNumId w:val="10"/>
  </w:num>
  <w:num w:numId="4">
    <w:abstractNumId w:val="3"/>
  </w:num>
  <w:num w:numId="5">
    <w:abstractNumId w:val="6"/>
  </w:num>
  <w:num w:numId="6">
    <w:abstractNumId w:val="2"/>
  </w:num>
  <w:num w:numId="7">
    <w:abstractNumId w:val="7"/>
  </w:num>
  <w:num w:numId="8">
    <w:abstractNumId w:val="4"/>
  </w:num>
  <w:num w:numId="9">
    <w:abstractNumId w:val="11"/>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BE"/>
    <w:rsid w:val="000111C0"/>
    <w:rsid w:val="00014994"/>
    <w:rsid w:val="00021138"/>
    <w:rsid w:val="00022569"/>
    <w:rsid w:val="00025919"/>
    <w:rsid w:val="000368F7"/>
    <w:rsid w:val="00044AD8"/>
    <w:rsid w:val="00050750"/>
    <w:rsid w:val="0005633A"/>
    <w:rsid w:val="0006435F"/>
    <w:rsid w:val="00085204"/>
    <w:rsid w:val="00086A70"/>
    <w:rsid w:val="00091729"/>
    <w:rsid w:val="000924A9"/>
    <w:rsid w:val="000A5268"/>
    <w:rsid w:val="000B3509"/>
    <w:rsid w:val="000B6FCA"/>
    <w:rsid w:val="000C61BE"/>
    <w:rsid w:val="000D1E24"/>
    <w:rsid w:val="000E1204"/>
    <w:rsid w:val="000F1C3A"/>
    <w:rsid w:val="000F41B0"/>
    <w:rsid w:val="00105ED5"/>
    <w:rsid w:val="001205CC"/>
    <w:rsid w:val="00123C06"/>
    <w:rsid w:val="00130C2D"/>
    <w:rsid w:val="00131B34"/>
    <w:rsid w:val="00132397"/>
    <w:rsid w:val="00142C81"/>
    <w:rsid w:val="001479FE"/>
    <w:rsid w:val="001578A2"/>
    <w:rsid w:val="001672B6"/>
    <w:rsid w:val="00167790"/>
    <w:rsid w:val="001753BA"/>
    <w:rsid w:val="00177924"/>
    <w:rsid w:val="00183A9F"/>
    <w:rsid w:val="001B2976"/>
    <w:rsid w:val="001B2EFB"/>
    <w:rsid w:val="001B64D8"/>
    <w:rsid w:val="001C5367"/>
    <w:rsid w:val="001D0007"/>
    <w:rsid w:val="001F7F3E"/>
    <w:rsid w:val="00202EF8"/>
    <w:rsid w:val="00206C72"/>
    <w:rsid w:val="00214441"/>
    <w:rsid w:val="00233582"/>
    <w:rsid w:val="0025289E"/>
    <w:rsid w:val="002608E2"/>
    <w:rsid w:val="002752EB"/>
    <w:rsid w:val="00281DD4"/>
    <w:rsid w:val="002A630B"/>
    <w:rsid w:val="002B625C"/>
    <w:rsid w:val="002B7097"/>
    <w:rsid w:val="002C348F"/>
    <w:rsid w:val="002F6718"/>
    <w:rsid w:val="0032048A"/>
    <w:rsid w:val="00327AED"/>
    <w:rsid w:val="00331C35"/>
    <w:rsid w:val="00333020"/>
    <w:rsid w:val="0033524A"/>
    <w:rsid w:val="00343232"/>
    <w:rsid w:val="00347F34"/>
    <w:rsid w:val="003823E3"/>
    <w:rsid w:val="003B6595"/>
    <w:rsid w:val="003C13DF"/>
    <w:rsid w:val="003D0500"/>
    <w:rsid w:val="003E273C"/>
    <w:rsid w:val="0040455F"/>
    <w:rsid w:val="004057FE"/>
    <w:rsid w:val="00443046"/>
    <w:rsid w:val="00457201"/>
    <w:rsid w:val="004630AD"/>
    <w:rsid w:val="00466D52"/>
    <w:rsid w:val="00467678"/>
    <w:rsid w:val="00474335"/>
    <w:rsid w:val="004A4D35"/>
    <w:rsid w:val="004B26C3"/>
    <w:rsid w:val="004B60F4"/>
    <w:rsid w:val="004F10FA"/>
    <w:rsid w:val="004F27BF"/>
    <w:rsid w:val="004F6A16"/>
    <w:rsid w:val="00506B20"/>
    <w:rsid w:val="00511426"/>
    <w:rsid w:val="00511428"/>
    <w:rsid w:val="00512A95"/>
    <w:rsid w:val="005167A2"/>
    <w:rsid w:val="00517E87"/>
    <w:rsid w:val="00517FC4"/>
    <w:rsid w:val="005206A3"/>
    <w:rsid w:val="00520EE3"/>
    <w:rsid w:val="00527B9F"/>
    <w:rsid w:val="00531152"/>
    <w:rsid w:val="00533FEE"/>
    <w:rsid w:val="00552814"/>
    <w:rsid w:val="00552979"/>
    <w:rsid w:val="005532D4"/>
    <w:rsid w:val="0055595F"/>
    <w:rsid w:val="00557405"/>
    <w:rsid w:val="0057041A"/>
    <w:rsid w:val="0057712D"/>
    <w:rsid w:val="005B0867"/>
    <w:rsid w:val="005B202B"/>
    <w:rsid w:val="005B3F43"/>
    <w:rsid w:val="005B4126"/>
    <w:rsid w:val="005C22EC"/>
    <w:rsid w:val="005D331C"/>
    <w:rsid w:val="005D6C6A"/>
    <w:rsid w:val="005E1289"/>
    <w:rsid w:val="005F4110"/>
    <w:rsid w:val="005F464D"/>
    <w:rsid w:val="0060405E"/>
    <w:rsid w:val="006047B7"/>
    <w:rsid w:val="00624D7B"/>
    <w:rsid w:val="006430A3"/>
    <w:rsid w:val="00681427"/>
    <w:rsid w:val="0068340E"/>
    <w:rsid w:val="006A61BA"/>
    <w:rsid w:val="006B108A"/>
    <w:rsid w:val="006C12FE"/>
    <w:rsid w:val="006C37FE"/>
    <w:rsid w:val="006D07C6"/>
    <w:rsid w:val="006D1167"/>
    <w:rsid w:val="006E73BE"/>
    <w:rsid w:val="006F438E"/>
    <w:rsid w:val="007057AF"/>
    <w:rsid w:val="007253DB"/>
    <w:rsid w:val="0072715D"/>
    <w:rsid w:val="00737D1E"/>
    <w:rsid w:val="00742DF8"/>
    <w:rsid w:val="0077108D"/>
    <w:rsid w:val="00795AA1"/>
    <w:rsid w:val="007A635C"/>
    <w:rsid w:val="00802D80"/>
    <w:rsid w:val="00806B83"/>
    <w:rsid w:val="00821510"/>
    <w:rsid w:val="00837BD9"/>
    <w:rsid w:val="008510C0"/>
    <w:rsid w:val="00857A4F"/>
    <w:rsid w:val="00857AB4"/>
    <w:rsid w:val="008657D2"/>
    <w:rsid w:val="00873A39"/>
    <w:rsid w:val="008A2BB7"/>
    <w:rsid w:val="008C1AF2"/>
    <w:rsid w:val="008D04E7"/>
    <w:rsid w:val="008D2EDF"/>
    <w:rsid w:val="00920E2B"/>
    <w:rsid w:val="00932C0F"/>
    <w:rsid w:val="00980416"/>
    <w:rsid w:val="00985248"/>
    <w:rsid w:val="00995C96"/>
    <w:rsid w:val="009A560D"/>
    <w:rsid w:val="009B280B"/>
    <w:rsid w:val="009C072F"/>
    <w:rsid w:val="009C6999"/>
    <w:rsid w:val="009D2C99"/>
    <w:rsid w:val="009E328B"/>
    <w:rsid w:val="009E6520"/>
    <w:rsid w:val="00A0486E"/>
    <w:rsid w:val="00A06B38"/>
    <w:rsid w:val="00A07B1F"/>
    <w:rsid w:val="00A11192"/>
    <w:rsid w:val="00A1188D"/>
    <w:rsid w:val="00A12CDD"/>
    <w:rsid w:val="00A35332"/>
    <w:rsid w:val="00A5315A"/>
    <w:rsid w:val="00A54506"/>
    <w:rsid w:val="00A563F4"/>
    <w:rsid w:val="00A56E23"/>
    <w:rsid w:val="00A8225A"/>
    <w:rsid w:val="00A8225C"/>
    <w:rsid w:val="00A92B1F"/>
    <w:rsid w:val="00AA4D98"/>
    <w:rsid w:val="00AA60C2"/>
    <w:rsid w:val="00AB25FB"/>
    <w:rsid w:val="00AD4C9A"/>
    <w:rsid w:val="00AE08B2"/>
    <w:rsid w:val="00AE15AB"/>
    <w:rsid w:val="00AE2D01"/>
    <w:rsid w:val="00AF5658"/>
    <w:rsid w:val="00B04B69"/>
    <w:rsid w:val="00B063CF"/>
    <w:rsid w:val="00B17FA6"/>
    <w:rsid w:val="00B3113C"/>
    <w:rsid w:val="00B35E25"/>
    <w:rsid w:val="00B50D7B"/>
    <w:rsid w:val="00B60DC8"/>
    <w:rsid w:val="00B63947"/>
    <w:rsid w:val="00B66E4B"/>
    <w:rsid w:val="00B7420A"/>
    <w:rsid w:val="00B83018"/>
    <w:rsid w:val="00B84125"/>
    <w:rsid w:val="00B90BF4"/>
    <w:rsid w:val="00B91B61"/>
    <w:rsid w:val="00B9221D"/>
    <w:rsid w:val="00BA6B18"/>
    <w:rsid w:val="00BB0C8A"/>
    <w:rsid w:val="00BC4709"/>
    <w:rsid w:val="00BC4C9D"/>
    <w:rsid w:val="00BC6446"/>
    <w:rsid w:val="00BD4811"/>
    <w:rsid w:val="00BD661B"/>
    <w:rsid w:val="00BF2050"/>
    <w:rsid w:val="00C13674"/>
    <w:rsid w:val="00C15992"/>
    <w:rsid w:val="00C179F8"/>
    <w:rsid w:val="00C2791E"/>
    <w:rsid w:val="00C370B1"/>
    <w:rsid w:val="00C4601C"/>
    <w:rsid w:val="00C5510D"/>
    <w:rsid w:val="00C576AD"/>
    <w:rsid w:val="00C731CE"/>
    <w:rsid w:val="00CA77A0"/>
    <w:rsid w:val="00CB1EBE"/>
    <w:rsid w:val="00CB43F6"/>
    <w:rsid w:val="00CB6A3D"/>
    <w:rsid w:val="00CB6BA8"/>
    <w:rsid w:val="00CC498C"/>
    <w:rsid w:val="00CD7E63"/>
    <w:rsid w:val="00CF408D"/>
    <w:rsid w:val="00D3237A"/>
    <w:rsid w:val="00D339B9"/>
    <w:rsid w:val="00D33E2E"/>
    <w:rsid w:val="00D42E07"/>
    <w:rsid w:val="00D478CA"/>
    <w:rsid w:val="00D60C7C"/>
    <w:rsid w:val="00D67AF5"/>
    <w:rsid w:val="00D718C9"/>
    <w:rsid w:val="00D75EA3"/>
    <w:rsid w:val="00DB5CCA"/>
    <w:rsid w:val="00DB655F"/>
    <w:rsid w:val="00DE005A"/>
    <w:rsid w:val="00DF22FC"/>
    <w:rsid w:val="00E05ED3"/>
    <w:rsid w:val="00E0791D"/>
    <w:rsid w:val="00E123C6"/>
    <w:rsid w:val="00E24C22"/>
    <w:rsid w:val="00E37612"/>
    <w:rsid w:val="00E560F1"/>
    <w:rsid w:val="00E833E9"/>
    <w:rsid w:val="00E960AE"/>
    <w:rsid w:val="00EA0E2B"/>
    <w:rsid w:val="00EA42CB"/>
    <w:rsid w:val="00EE1BDC"/>
    <w:rsid w:val="00EE33F8"/>
    <w:rsid w:val="00EF03B2"/>
    <w:rsid w:val="00EF2107"/>
    <w:rsid w:val="00F05762"/>
    <w:rsid w:val="00F12372"/>
    <w:rsid w:val="00F153A3"/>
    <w:rsid w:val="00F1757F"/>
    <w:rsid w:val="00F2046F"/>
    <w:rsid w:val="00F278F9"/>
    <w:rsid w:val="00F34D02"/>
    <w:rsid w:val="00F44AA4"/>
    <w:rsid w:val="00F472D4"/>
    <w:rsid w:val="00F53AEF"/>
    <w:rsid w:val="00F8266E"/>
    <w:rsid w:val="00F86C18"/>
    <w:rsid w:val="00F872FE"/>
    <w:rsid w:val="00F87B7E"/>
    <w:rsid w:val="00F91CDC"/>
    <w:rsid w:val="00FA5A2A"/>
    <w:rsid w:val="00FC3E43"/>
    <w:rsid w:val="00FC50EC"/>
    <w:rsid w:val="00FD0AB0"/>
    <w:rsid w:val="00FF30CB"/>
    <w:rsid w:val="00FF4943"/>
    <w:rsid w:val="00FF6F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D8AAC"/>
  <w15:docId w15:val="{B2392EBD-6EED-4381-8BF0-57872030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i">
    <w:name w:val="Normal"/>
    <w:qFormat/>
    <w:rsid w:val="000C61BE"/>
    <w:rPr>
      <w:rFonts w:ascii="Arial" w:hAnsi="Arial" w:cs="Arial"/>
      <w:sz w:val="22"/>
      <w:szCs w:val="22"/>
    </w:rPr>
  </w:style>
  <w:style w:type="paragraph" w:styleId="Otsikko1">
    <w:name w:val="heading 1"/>
    <w:basedOn w:val="Normaali"/>
    <w:next w:val="Normaali"/>
    <w:link w:val="Otsikko1Char"/>
    <w:qFormat/>
    <w:rsid w:val="00C370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0C61BE"/>
    <w:pPr>
      <w:overflowPunct w:val="0"/>
      <w:autoSpaceDE w:val="0"/>
      <w:autoSpaceDN w:val="0"/>
      <w:adjustRightInd w:val="0"/>
      <w:spacing w:after="120"/>
    </w:pPr>
    <w:rPr>
      <w:rFonts w:ascii="Times New Roman" w:hAnsi="Times New Roman" w:cs="Times New Roman"/>
      <w:sz w:val="24"/>
      <w:szCs w:val="20"/>
    </w:rPr>
  </w:style>
  <w:style w:type="paragraph" w:styleId="Yltunniste">
    <w:name w:val="header"/>
    <w:basedOn w:val="Normaali"/>
    <w:rsid w:val="002752EB"/>
    <w:pPr>
      <w:tabs>
        <w:tab w:val="center" w:pos="4819"/>
        <w:tab w:val="right" w:pos="9638"/>
      </w:tabs>
    </w:pPr>
  </w:style>
  <w:style w:type="paragraph" w:styleId="Alatunniste">
    <w:name w:val="footer"/>
    <w:basedOn w:val="Normaali"/>
    <w:rsid w:val="002752EB"/>
    <w:pPr>
      <w:tabs>
        <w:tab w:val="center" w:pos="4819"/>
        <w:tab w:val="right" w:pos="9638"/>
      </w:tabs>
    </w:pPr>
  </w:style>
  <w:style w:type="character" w:styleId="Sivunumero">
    <w:name w:val="page number"/>
    <w:basedOn w:val="Kappaleenoletusfontti"/>
    <w:rsid w:val="002752EB"/>
  </w:style>
  <w:style w:type="paragraph" w:customStyle="1" w:styleId="Oletus">
    <w:name w:val="Oletus"/>
    <w:rsid w:val="00F12372"/>
    <w:pPr>
      <w:suppressAutoHyphens/>
      <w:autoSpaceDN w:val="0"/>
      <w:textAlignment w:val="baseline"/>
    </w:pPr>
    <w:rPr>
      <w:rFonts w:ascii="Helvetica Neue" w:eastAsia="Arial Unicode MS" w:hAnsi="Helvetica Neue" w:cs="Arial Unicode MS"/>
      <w:color w:val="000000"/>
      <w:sz w:val="22"/>
      <w:szCs w:val="22"/>
    </w:rPr>
  </w:style>
  <w:style w:type="character" w:styleId="Hyperlinkki">
    <w:name w:val="Hyperlink"/>
    <w:basedOn w:val="Kappaleenoletusfontti"/>
    <w:rsid w:val="00F12372"/>
    <w:rPr>
      <w:color w:val="0563C1"/>
      <w:u w:val="single"/>
    </w:rPr>
  </w:style>
  <w:style w:type="paragraph" w:styleId="Luettelokappale">
    <w:name w:val="List Paragraph"/>
    <w:basedOn w:val="Normaali"/>
    <w:rsid w:val="00F12372"/>
    <w:pPr>
      <w:suppressAutoHyphens/>
      <w:autoSpaceDN w:val="0"/>
      <w:spacing w:after="160" w:line="254" w:lineRule="auto"/>
      <w:ind w:left="720"/>
      <w:textAlignment w:val="baseline"/>
    </w:pPr>
    <w:rPr>
      <w:rFonts w:ascii="Calibri" w:eastAsia="Calibri" w:hAnsi="Calibri" w:cs="Times New Roman"/>
      <w:lang w:eastAsia="en-US"/>
    </w:rPr>
  </w:style>
  <w:style w:type="numbering" w:customStyle="1" w:styleId="Isoluettelomerkki">
    <w:name w:val="Iso luettelomerkki"/>
    <w:basedOn w:val="Eiluetteloa"/>
    <w:rsid w:val="00F12372"/>
    <w:pPr>
      <w:numPr>
        <w:numId w:val="5"/>
      </w:numPr>
    </w:pPr>
  </w:style>
  <w:style w:type="character" w:customStyle="1" w:styleId="Otsikko1Char">
    <w:name w:val="Otsikko 1 Char"/>
    <w:basedOn w:val="Kappaleenoletusfontti"/>
    <w:link w:val="Otsikko1"/>
    <w:rsid w:val="00C370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1446</Words>
  <Characters>13249</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Eläinlääkärihygieenikkojen yhdistys ry</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Eläinlääkärihygieenikkojen yhdistys ry</dc:title>
  <dc:creator>Maija Nurminen</dc:creator>
  <cp:lastModifiedBy>Hiltunen Kirsi</cp:lastModifiedBy>
  <cp:revision>33</cp:revision>
  <cp:lastPrinted>2013-05-06T14:09:00Z</cp:lastPrinted>
  <dcterms:created xsi:type="dcterms:W3CDTF">2018-08-17T10:59:00Z</dcterms:created>
  <dcterms:modified xsi:type="dcterms:W3CDTF">2018-08-22T06:03:00Z</dcterms:modified>
</cp:coreProperties>
</file>