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13" w:rsidRPr="00D14199" w:rsidRDefault="00F8522A" w:rsidP="00D14199">
      <w:pPr>
        <w:spacing w:after="0"/>
        <w:rPr>
          <w:rFonts w:cs="Arial"/>
        </w:rPr>
        <w:sectPr w:rsidR="002E2413" w:rsidRPr="00D14199" w:rsidSect="003F5564">
          <w:headerReference w:type="even" r:id="rId11"/>
          <w:headerReference w:type="default" r:id="rId12"/>
          <w:footerReference w:type="default" r:id="rId13"/>
          <w:pgSz w:w="11906" w:h="16838"/>
          <w:pgMar w:top="1417" w:right="1134" w:bottom="1417" w:left="1134" w:header="708" w:footer="425" w:gutter="0"/>
          <w:cols w:space="708"/>
          <w:docGrid w:linePitch="360"/>
        </w:sectPr>
      </w:pPr>
      <w:r>
        <w:rPr>
          <w:rFonts w:cs="Arial"/>
        </w:rPr>
        <w:t>Maa- ja metsätalousministeriö</w:t>
      </w:r>
      <w:r w:rsidR="007C1664">
        <w:rPr>
          <w:rFonts w:cs="Arial"/>
        </w:rPr>
        <w:tab/>
      </w:r>
      <w:r w:rsidR="007C1664">
        <w:rPr>
          <w:rFonts w:cs="Arial"/>
        </w:rPr>
        <w:tab/>
      </w:r>
    </w:p>
    <w:p w:rsidR="00755908" w:rsidRDefault="00F8522A" w:rsidP="00D14199">
      <w:pPr>
        <w:spacing w:line="240" w:lineRule="auto"/>
      </w:pPr>
      <w:r>
        <w:t>kirjaamo@mmm.fi</w:t>
      </w:r>
    </w:p>
    <w:p w:rsidR="00755908" w:rsidRDefault="00755908" w:rsidP="00D14199">
      <w:pPr>
        <w:spacing w:line="240" w:lineRule="auto"/>
      </w:pPr>
    </w:p>
    <w:p w:rsidR="00A27EAE" w:rsidRPr="00FA5E0E" w:rsidRDefault="00A27EAE" w:rsidP="00D14199">
      <w:pPr>
        <w:spacing w:line="240" w:lineRule="auto"/>
      </w:pPr>
    </w:p>
    <w:p w:rsidR="00F8522A" w:rsidRDefault="00FA7354" w:rsidP="007B1A94">
      <w:pPr>
        <w:spacing w:after="0"/>
        <w:rPr>
          <w:rFonts w:cs="Arial"/>
        </w:rPr>
      </w:pPr>
      <w:r w:rsidRPr="007B1A94">
        <w:t>Viite</w:t>
      </w:r>
      <w:r w:rsidR="002E2413" w:rsidRPr="00273A95">
        <w:rPr>
          <w:rFonts w:cs="Arial"/>
        </w:rPr>
        <w:t xml:space="preserve">: </w:t>
      </w:r>
      <w:r w:rsidR="00F8522A" w:rsidRPr="00F8522A">
        <w:rPr>
          <w:rFonts w:cs="Arial"/>
        </w:rPr>
        <w:t>MMM025:00/2016</w:t>
      </w:r>
      <w:r w:rsidR="00F8522A">
        <w:rPr>
          <w:rFonts w:cs="Arial"/>
        </w:rPr>
        <w:t>, h</w:t>
      </w:r>
      <w:r w:rsidR="00F8522A" w:rsidRPr="00F8522A">
        <w:rPr>
          <w:rFonts w:cs="Arial"/>
        </w:rPr>
        <w:t>allituksen esitys Eduskunnalle elintarvikelaiksi sekä eräiden lakien muuttamiseksi</w:t>
      </w:r>
    </w:p>
    <w:p w:rsidR="00F8522A" w:rsidRDefault="00F8522A" w:rsidP="007B1A94">
      <w:pPr>
        <w:spacing w:after="0"/>
        <w:rPr>
          <w:rFonts w:cs="Arial"/>
        </w:rPr>
      </w:pPr>
    </w:p>
    <w:p w:rsidR="009F466D" w:rsidRPr="007B1A94" w:rsidRDefault="009F466D" w:rsidP="00FA7354">
      <w:pPr>
        <w:pStyle w:val="AVIjaELYNormaaliSisentmtn"/>
      </w:pPr>
    </w:p>
    <w:p w:rsidR="00A27EAE" w:rsidRDefault="00A27EAE" w:rsidP="000B73AE">
      <w:pPr>
        <w:rPr>
          <w:b/>
        </w:rPr>
      </w:pPr>
      <w:r>
        <w:rPr>
          <w:b/>
        </w:rPr>
        <w:t xml:space="preserve">ETELÄ-SUOMEN ALUEHALLINTOVIRASTON </w:t>
      </w:r>
      <w:r w:rsidR="000B73AE">
        <w:rPr>
          <w:b/>
        </w:rPr>
        <w:t>LAUSUNTO</w:t>
      </w:r>
      <w:r>
        <w:rPr>
          <w:b/>
        </w:rPr>
        <w:t xml:space="preserve">: </w:t>
      </w:r>
      <w:r w:rsidR="000B73AE">
        <w:rPr>
          <w:b/>
        </w:rPr>
        <w:t xml:space="preserve"> </w:t>
      </w:r>
    </w:p>
    <w:p w:rsidR="00273A95" w:rsidRDefault="00A27EAE" w:rsidP="000B73AE">
      <w:pPr>
        <w:rPr>
          <w:b/>
        </w:rPr>
      </w:pPr>
      <w:r>
        <w:rPr>
          <w:b/>
        </w:rPr>
        <w:t>HALLITUKSEN ESITYS</w:t>
      </w:r>
      <w:r w:rsidR="00F8522A">
        <w:rPr>
          <w:b/>
        </w:rPr>
        <w:t xml:space="preserve"> ELINTARVIKELAIKSI SEKÄ ERÄIDEN LAKIEN MUUTTAMISESTA</w:t>
      </w:r>
    </w:p>
    <w:p w:rsidR="00F8522A" w:rsidRPr="00BD7D24" w:rsidRDefault="000B73AE" w:rsidP="00F242E8">
      <w:pPr>
        <w:rPr>
          <w:rFonts w:cs="Arial"/>
        </w:rPr>
      </w:pPr>
      <w:r w:rsidRPr="00EC7C08">
        <w:rPr>
          <w:b/>
        </w:rPr>
        <w:t xml:space="preserve"> </w:t>
      </w:r>
    </w:p>
    <w:p w:rsidR="00F8522A" w:rsidRPr="00BD7D24" w:rsidRDefault="00BD7D24" w:rsidP="00F8522A">
      <w:pPr>
        <w:spacing w:line="240" w:lineRule="auto"/>
        <w:rPr>
          <w:rFonts w:cs="Arial"/>
        </w:rPr>
      </w:pPr>
      <w:r w:rsidRPr="00BD7D24">
        <w:rPr>
          <w:rFonts w:cs="Arial"/>
        </w:rPr>
        <w:t>VASTAUKSIA KYSYMYKSIIN</w:t>
      </w:r>
    </w:p>
    <w:p w:rsidR="00CA6327" w:rsidRPr="00066D68" w:rsidRDefault="00CA6327" w:rsidP="00CA6327">
      <w:pPr>
        <w:spacing w:line="240" w:lineRule="auto"/>
        <w:rPr>
          <w:rFonts w:cs="Arial"/>
          <w:b/>
        </w:rPr>
      </w:pPr>
      <w:r w:rsidRPr="00066D68">
        <w:rPr>
          <w:rFonts w:cs="Arial"/>
          <w:b/>
        </w:rPr>
        <w:t>Mitä mieltä olet valvontamaksuja kehittämisestä ehdotetulla tavalla?</w:t>
      </w:r>
    </w:p>
    <w:p w:rsidR="00DE5785" w:rsidRDefault="00DE5785" w:rsidP="00DE5785">
      <w:pPr>
        <w:spacing w:line="240" w:lineRule="auto"/>
        <w:ind w:left="1304"/>
        <w:rPr>
          <w:rFonts w:cs="Arial"/>
        </w:rPr>
      </w:pPr>
    </w:p>
    <w:p w:rsidR="00066D68" w:rsidRDefault="00066D68" w:rsidP="00DE5785">
      <w:pPr>
        <w:spacing w:line="240" w:lineRule="auto"/>
        <w:ind w:left="1304"/>
        <w:rPr>
          <w:rFonts w:cs="Arial"/>
        </w:rPr>
      </w:pPr>
      <w:r w:rsidRPr="00066D68">
        <w:rPr>
          <w:rFonts w:cs="Arial"/>
        </w:rPr>
        <w:t>Riskiluokitukseen perustuva</w:t>
      </w:r>
      <w:r w:rsidR="00877D4F">
        <w:rPr>
          <w:rFonts w:cs="Arial"/>
        </w:rPr>
        <w:t>n</w:t>
      </w:r>
      <w:r w:rsidRPr="00066D68">
        <w:rPr>
          <w:rFonts w:cs="Arial"/>
        </w:rPr>
        <w:t xml:space="preserve"> kaikkia toimijoita koskeva</w:t>
      </w:r>
      <w:r w:rsidR="00CE33A3">
        <w:rPr>
          <w:rFonts w:cs="Arial"/>
        </w:rPr>
        <w:t>n</w:t>
      </w:r>
      <w:r w:rsidRPr="00066D68">
        <w:rPr>
          <w:rFonts w:cs="Arial"/>
        </w:rPr>
        <w:t xml:space="preserve"> vuosimaksu</w:t>
      </w:r>
      <w:r w:rsidR="00CE33A3">
        <w:rPr>
          <w:rFonts w:cs="Arial"/>
        </w:rPr>
        <w:t>n</w:t>
      </w:r>
      <w:r w:rsidRPr="00066D68">
        <w:rPr>
          <w:rFonts w:cs="Arial"/>
        </w:rPr>
        <w:t xml:space="preserve"> voi nähdä toimijoiden tasapuolisuutta lisäävänä asiana</w:t>
      </w:r>
      <w:r w:rsidR="00877D4F" w:rsidRPr="00877D4F">
        <w:rPr>
          <w:rFonts w:cs="Arial"/>
        </w:rPr>
        <w:t xml:space="preserve"> suoriteperusteiseen maksuun verrattuna</w:t>
      </w:r>
      <w:r w:rsidRPr="00066D68">
        <w:rPr>
          <w:rFonts w:cs="Arial"/>
        </w:rPr>
        <w:t>. Ainakin se lisää rahoituksen ennustettavuutta</w:t>
      </w:r>
      <w:r w:rsidR="00654C2C">
        <w:rPr>
          <w:rFonts w:cs="Arial"/>
        </w:rPr>
        <w:t xml:space="preserve"> tilanteessa, jossa virallisen valvonnan voimavarat tulisi turvata maakuntauudistuksen yhteydessä.</w:t>
      </w:r>
    </w:p>
    <w:p w:rsidR="00F242E8" w:rsidRPr="00F242E8" w:rsidRDefault="00F242E8" w:rsidP="00F242E8">
      <w:pPr>
        <w:spacing w:line="240" w:lineRule="auto"/>
        <w:ind w:left="1304"/>
        <w:rPr>
          <w:rFonts w:cs="Arial"/>
        </w:rPr>
      </w:pPr>
      <w:r w:rsidRPr="00F242E8">
        <w:rPr>
          <w:rFonts w:cs="Arial"/>
        </w:rPr>
        <w:t>Nyt ehdotettua mallia parempi vaihtoehto voisi olla sekamalli, jossa vuosimaksun perimisestä huolimatta myös tarkastukset säilyisivät maksullisina kokonaisrahoituksen muuttumatta.</w:t>
      </w:r>
      <w:r w:rsidR="00B66DF7">
        <w:rPr>
          <w:rFonts w:cs="Arial"/>
        </w:rPr>
        <w:t xml:space="preserve"> Tämä säilyttäisi maksullisuuden ohjaavan vaikutuksen niin toimijoiden kuin viranomaisen toimintaan.</w:t>
      </w:r>
      <w:r w:rsidRPr="00F242E8">
        <w:rPr>
          <w:rFonts w:cs="Arial"/>
        </w:rPr>
        <w:t xml:space="preserve"> </w:t>
      </w:r>
      <w:r w:rsidR="00B66DF7">
        <w:rPr>
          <w:rFonts w:cs="Arial"/>
        </w:rPr>
        <w:t>Itse l</w:t>
      </w:r>
      <w:r w:rsidRPr="00F242E8">
        <w:rPr>
          <w:rFonts w:cs="Arial"/>
        </w:rPr>
        <w:t xml:space="preserve">askutusta voisi </w:t>
      </w:r>
      <w:r w:rsidR="00B66DF7">
        <w:rPr>
          <w:rFonts w:cs="Arial"/>
        </w:rPr>
        <w:t xml:space="preserve">joka tapauksessa </w:t>
      </w:r>
      <w:r w:rsidRPr="00F242E8">
        <w:rPr>
          <w:rFonts w:cs="Arial"/>
        </w:rPr>
        <w:t>yksinkertaistaa perimällä tarkastusmaksut vasta vuosimaksun yhteydessä loppuvuodesta.</w:t>
      </w:r>
    </w:p>
    <w:p w:rsidR="00CE33A3" w:rsidRDefault="00F242E8" w:rsidP="00654C2C">
      <w:pPr>
        <w:spacing w:line="240" w:lineRule="auto"/>
        <w:ind w:left="1304"/>
        <w:rPr>
          <w:rFonts w:cs="Arial"/>
        </w:rPr>
      </w:pPr>
      <w:r>
        <w:rPr>
          <w:rFonts w:cs="Arial"/>
        </w:rPr>
        <w:t>T</w:t>
      </w:r>
      <w:r w:rsidR="00654C2C" w:rsidRPr="00654C2C">
        <w:rPr>
          <w:rFonts w:cs="Arial"/>
        </w:rPr>
        <w:t>oimijoihin kohdennettava valvonnan vuosimaksu on uusi ja aiemmin koettelematon tapa rahoittaa virallista valvontaa ja muita virallisia toimia. Esityksen yksi suuri haaste on varmistaa, että kerättävät maksut kohdentuisivat maakunnissa virallisen valvonnan (elintarvikevalvonnan) järjestelyihin eivätkä muuhun ympäristöterveydenhuollon v</w:t>
      </w:r>
      <w:r w:rsidR="00CE33A3">
        <w:rPr>
          <w:rFonts w:cs="Arial"/>
        </w:rPr>
        <w:t xml:space="preserve">alvontaan tai tukitoimintoihin. Lisäksi on </w:t>
      </w:r>
      <w:r>
        <w:rPr>
          <w:rFonts w:cs="Arial"/>
        </w:rPr>
        <w:t>huomattava</w:t>
      </w:r>
      <w:r w:rsidR="00CE33A3">
        <w:rPr>
          <w:rFonts w:cs="Arial"/>
        </w:rPr>
        <w:t xml:space="preserve">, että </w:t>
      </w:r>
      <w:r w:rsidR="00B66DF7">
        <w:rPr>
          <w:rFonts w:cs="Arial"/>
        </w:rPr>
        <w:t xml:space="preserve">puhtaasti vuosimaksun perimisellä viranomainen asettaa itselleen tiukan tavoitteen noudattaa riskiperusteista valvontasuunnitelmaa, jotta </w:t>
      </w:r>
      <w:r w:rsidR="00CE33A3">
        <w:rPr>
          <w:rFonts w:cs="Arial"/>
        </w:rPr>
        <w:t xml:space="preserve">toimijat saavat </w:t>
      </w:r>
      <w:r w:rsidR="00B66DF7">
        <w:rPr>
          <w:rFonts w:cs="Arial"/>
        </w:rPr>
        <w:t xml:space="preserve">valvontamaksulleen myös </w:t>
      </w:r>
      <w:r w:rsidR="00CE33A3">
        <w:rPr>
          <w:rFonts w:cs="Arial"/>
        </w:rPr>
        <w:t>vastinetta.</w:t>
      </w:r>
    </w:p>
    <w:p w:rsidR="00F242E8" w:rsidRDefault="00F242E8" w:rsidP="00F242E8">
      <w:pPr>
        <w:spacing w:line="240" w:lineRule="auto"/>
        <w:ind w:left="1304"/>
        <w:rPr>
          <w:rFonts w:cs="Arial"/>
        </w:rPr>
      </w:pPr>
      <w:r w:rsidRPr="00F242E8">
        <w:rPr>
          <w:rFonts w:cs="Arial"/>
        </w:rPr>
        <w:t xml:space="preserve">Muistiossa vuosimaksua perustellaan mm. sillä, että se mahdollistaisi toimijoiden nykyistä tehokkaamman neuvonnan ja ohjaamisen. Muistiossa ei kuitenkaan esitetä </w:t>
      </w:r>
      <w:r w:rsidRPr="00F242E8">
        <w:rPr>
          <w:rFonts w:cs="Arial"/>
        </w:rPr>
        <w:lastRenderedPageBreak/>
        <w:t>yhtään muuta konkreettista neuvonnan ja ohjauksen tapaa kuin tarkastusten yhteydessä annettava ohjaus. Tätä olisi syytä avata enemmän.</w:t>
      </w:r>
    </w:p>
    <w:p w:rsidR="00CA6327" w:rsidRPr="00F242E8" w:rsidRDefault="00CA6327" w:rsidP="00CA6327">
      <w:pPr>
        <w:spacing w:line="240" w:lineRule="auto"/>
        <w:ind w:left="1304"/>
        <w:rPr>
          <w:rFonts w:cs="Arial"/>
        </w:rPr>
      </w:pPr>
      <w:r w:rsidRPr="00F242E8">
        <w:rPr>
          <w:rFonts w:cs="Arial"/>
        </w:rPr>
        <w:t>Perustelumuistiossa sanotaan</w:t>
      </w:r>
      <w:r w:rsidR="00F242E8" w:rsidRPr="00F242E8">
        <w:rPr>
          <w:rFonts w:cs="Arial"/>
        </w:rPr>
        <w:t xml:space="preserve"> vielä</w:t>
      </w:r>
      <w:r w:rsidRPr="00F242E8">
        <w:rPr>
          <w:rFonts w:cs="Arial"/>
        </w:rPr>
        <w:t>, ettei ilmoitus- ja käsittelymaksuja enää perittäisi, kun siirrytään vuosimaksuihin (sivu 31, 2. kappale). Lakiesityksen perusteella maakunta kuitenkin perii elintarvikehuoneiston rekisteröintiä koskevan ilmoituksen ja hyväksymistä koskevan hakemuksen käsittelystä maksun (69§, ensimmäisen momentin 1. kohta).</w:t>
      </w:r>
    </w:p>
    <w:p w:rsidR="00654C2C" w:rsidRPr="00DE5785" w:rsidRDefault="00654C2C" w:rsidP="00CA6327">
      <w:pPr>
        <w:spacing w:line="240" w:lineRule="auto"/>
        <w:ind w:left="1304"/>
        <w:rPr>
          <w:rFonts w:cs="Arial"/>
          <w:color w:val="0070C0"/>
        </w:rPr>
      </w:pPr>
    </w:p>
    <w:p w:rsidR="00B320A9" w:rsidRPr="00654C2C" w:rsidRDefault="00B320A9" w:rsidP="00B320A9">
      <w:pPr>
        <w:spacing w:line="240" w:lineRule="auto"/>
        <w:rPr>
          <w:rFonts w:cs="Arial"/>
          <w:b/>
        </w:rPr>
      </w:pPr>
      <w:r w:rsidRPr="00654C2C">
        <w:rPr>
          <w:rFonts w:cs="Arial"/>
          <w:b/>
        </w:rPr>
        <w:t>Mitä mieltä olet mahdollisuudesta ottaa huomioon toimijan luotettavuus, kun elintarvikevalvontaa suunnitellaan ja toteutetaan?</w:t>
      </w:r>
    </w:p>
    <w:p w:rsidR="00B320A9" w:rsidRDefault="00B320A9" w:rsidP="00B66DF7">
      <w:pPr>
        <w:spacing w:line="240" w:lineRule="auto"/>
        <w:ind w:left="1304"/>
        <w:rPr>
          <w:rFonts w:cs="Arial"/>
        </w:rPr>
      </w:pPr>
      <w:r w:rsidRPr="00B320A9">
        <w:rPr>
          <w:rFonts w:cs="Arial"/>
        </w:rPr>
        <w:t xml:space="preserve">Ehdotetussa muodossaan 7§ on sekava ja pykälän ajateltu käyttö osana suunnitelmallista elintarvikevalvontaa jää </w:t>
      </w:r>
      <w:r w:rsidR="00B66DF7">
        <w:rPr>
          <w:rFonts w:cs="Arial"/>
        </w:rPr>
        <w:t xml:space="preserve">vielä </w:t>
      </w:r>
      <w:r w:rsidRPr="00B320A9">
        <w:rPr>
          <w:rFonts w:cs="Arial"/>
        </w:rPr>
        <w:t xml:space="preserve">epäselväksi. </w:t>
      </w:r>
      <w:r w:rsidR="008C29FE">
        <w:rPr>
          <w:rFonts w:cs="Arial"/>
        </w:rPr>
        <w:t xml:space="preserve">Miten luotettavuuden arvioinnin </w:t>
      </w:r>
      <w:r w:rsidR="00B66DF7">
        <w:rPr>
          <w:rFonts w:cs="Arial"/>
        </w:rPr>
        <w:t xml:space="preserve">on käytännössä </w:t>
      </w:r>
      <w:r w:rsidR="008C29FE">
        <w:rPr>
          <w:rFonts w:cs="Arial"/>
        </w:rPr>
        <w:t xml:space="preserve">ajateltu vaikuttavan valvonnan tarpeeseen tulevaisuudessa? Entä valvonnan kustannuksiin? </w:t>
      </w:r>
      <w:r w:rsidRPr="00B320A9">
        <w:rPr>
          <w:rFonts w:cs="Arial"/>
        </w:rPr>
        <w:t>Voiko lakiesityksen ensimmäisen momentin kolmas</w:t>
      </w:r>
      <w:r w:rsidR="008C29FE">
        <w:rPr>
          <w:rFonts w:cs="Arial"/>
        </w:rPr>
        <w:t xml:space="preserve"> kohta johtaa epäyhtenäisiin tulkintoihin? </w:t>
      </w:r>
      <w:r w:rsidR="00B66DF7">
        <w:rPr>
          <w:rFonts w:cs="Arial"/>
        </w:rPr>
        <w:t>Hyvää on se, että</w:t>
      </w:r>
      <w:r w:rsidRPr="00B320A9">
        <w:rPr>
          <w:rFonts w:cs="Arial"/>
        </w:rPr>
        <w:t xml:space="preserve"> harmaan talouden torjunnassa</w:t>
      </w:r>
      <w:r w:rsidR="00B66DF7">
        <w:rPr>
          <w:rFonts w:cs="Arial"/>
        </w:rPr>
        <w:t xml:space="preserve"> voidaan hyödyntää viranomaisten parantunutta mahdollisuutta tietojen vaihtoon (41§).</w:t>
      </w:r>
    </w:p>
    <w:p w:rsidR="00654C2C" w:rsidRDefault="00654C2C" w:rsidP="00CA6327">
      <w:pPr>
        <w:spacing w:line="240" w:lineRule="auto"/>
        <w:rPr>
          <w:rFonts w:cs="Arial"/>
          <w:b/>
        </w:rPr>
      </w:pPr>
    </w:p>
    <w:p w:rsidR="00CA6327" w:rsidRPr="00654C2C" w:rsidRDefault="00CA6327" w:rsidP="00CA6327">
      <w:pPr>
        <w:spacing w:line="240" w:lineRule="auto"/>
        <w:rPr>
          <w:rFonts w:cs="Arial"/>
          <w:b/>
        </w:rPr>
      </w:pPr>
      <w:r w:rsidRPr="00654C2C">
        <w:rPr>
          <w:rFonts w:cs="Arial"/>
          <w:b/>
        </w:rPr>
        <w:t>Mitä mieltä olet lihantarkastuksen kehittämisestä ehdotetulla tavalla; mikä on mielestäsi paras viranomaistaho huolehtimaan lihantarkastuksesta teurastamoissa ja leikkaamoissa?</w:t>
      </w:r>
    </w:p>
    <w:p w:rsidR="00CA6327" w:rsidRPr="00CA6327" w:rsidRDefault="00CA6327" w:rsidP="00CA6327">
      <w:pPr>
        <w:spacing w:line="240" w:lineRule="auto"/>
        <w:ind w:left="1304"/>
        <w:rPr>
          <w:rFonts w:cs="Arial"/>
        </w:rPr>
      </w:pPr>
      <w:r w:rsidRPr="00CA6327">
        <w:rPr>
          <w:rFonts w:cs="Arial"/>
        </w:rPr>
        <w:t>Ehdotettu rajaus Ruokaviraston ja maakuntien välillä on hyvä: Ruokavirasto valvoo teurastamoita ja niiden yhteydessä olevia leikkaamoita, maakunta lihavalmisteiden valmistusta. Lihantarkastuksen järjestämiseksi paras taho on Ruokavirasto tai siltä toimeksiannon saanut elin (”Lihantarkastusliikelaitos”) erityisesti, jos tavoitteena on jatkossakin kattaa kaikki lihantarkastuksen kulut lihantarkastuksen valvontamaksuilla.</w:t>
      </w:r>
    </w:p>
    <w:p w:rsidR="00DE5785" w:rsidRDefault="00DE5785" w:rsidP="00DE5785">
      <w:pPr>
        <w:spacing w:after="0"/>
        <w:rPr>
          <w:rFonts w:cs="Arial"/>
        </w:rPr>
      </w:pPr>
    </w:p>
    <w:p w:rsidR="00DE5785" w:rsidRPr="00654C2C" w:rsidRDefault="00DE5785" w:rsidP="00DE5785">
      <w:pPr>
        <w:spacing w:after="0"/>
        <w:rPr>
          <w:b/>
        </w:rPr>
      </w:pPr>
      <w:r w:rsidRPr="00654C2C">
        <w:rPr>
          <w:b/>
        </w:rPr>
        <w:t>Jos oikeusministeriö arvioi rangaistusluonteisen hallinnollisen seuraamusmaksun (hallinnollinen sakko) mahdolliseksi, pitäisikö sellainen ottaa käyttöön elintarvikevalvonnassa?</w:t>
      </w:r>
    </w:p>
    <w:p w:rsidR="00DE5785" w:rsidRDefault="00DE5785" w:rsidP="00DE5785">
      <w:pPr>
        <w:spacing w:after="0"/>
      </w:pPr>
    </w:p>
    <w:p w:rsidR="00DE5785" w:rsidRPr="00A27EAE" w:rsidRDefault="005F2EE9" w:rsidP="005F2EE9">
      <w:pPr>
        <w:spacing w:after="0"/>
        <w:ind w:left="1304" w:firstLine="1"/>
      </w:pPr>
      <w:r>
        <w:t xml:space="preserve">Uhkasakko sekä teettämis- ja keskeyttämisuhka siten kuin se on esitetty 65 § on </w:t>
      </w:r>
      <w:r w:rsidRPr="00A27EAE">
        <w:t>perusteltu.</w:t>
      </w:r>
      <w:r w:rsidR="002D4F9A" w:rsidRPr="00A27EAE">
        <w:t xml:space="preserve"> Yksinkertaisissa tapauksissa hallinnollinen sakkokin voisi tulla kyseeseen, jos sellaiselle nähdään </w:t>
      </w:r>
      <w:r w:rsidR="00E90CB1" w:rsidRPr="00A27EAE">
        <w:t>laajempaa tarvetta.</w:t>
      </w:r>
    </w:p>
    <w:p w:rsidR="00FA7354" w:rsidRDefault="00FA7354" w:rsidP="00397F44">
      <w:pPr>
        <w:spacing w:after="0"/>
      </w:pPr>
    </w:p>
    <w:p w:rsidR="00FA7354" w:rsidRPr="007B4773" w:rsidRDefault="00FA7354" w:rsidP="00FA7354"/>
    <w:p w:rsidR="00BD7D24" w:rsidRPr="00BD7D24" w:rsidRDefault="00BD7D24" w:rsidP="00BD7D24">
      <w:r>
        <w:t>LAUSUNNOT MUISTA AIHEISTA</w:t>
      </w:r>
    </w:p>
    <w:p w:rsidR="000F74DD" w:rsidRDefault="000F74DD" w:rsidP="00BD7D24">
      <w:pPr>
        <w:rPr>
          <w:b/>
        </w:rPr>
      </w:pPr>
      <w:r>
        <w:rPr>
          <w:b/>
        </w:rPr>
        <w:t>12 § Tiedottaminen elintarviketoiminnasta liikkuvassa elintarvikehuoneistossa</w:t>
      </w:r>
    </w:p>
    <w:p w:rsidR="000F74DD" w:rsidRDefault="000F74DD" w:rsidP="000F74DD">
      <w:pPr>
        <w:ind w:left="1304" w:firstLine="1"/>
      </w:pPr>
      <w:r w:rsidRPr="000F74DD">
        <w:t xml:space="preserve">Muutetaan </w:t>
      </w:r>
      <w:r>
        <w:t>pykälän 3. kohta muotoon ”muussa hyväksytyssä ja rekisteröidyssä liikkuvassa elintarvikehuoneistossa niille maakunnille, joiden alueella toimintaa harjoitetaan”.</w:t>
      </w:r>
    </w:p>
    <w:p w:rsidR="000F74DD" w:rsidRDefault="000F74DD" w:rsidP="00B55BBD">
      <w:pPr>
        <w:ind w:left="1304" w:firstLine="1"/>
        <w:rPr>
          <w:b/>
        </w:rPr>
      </w:pPr>
      <w:r w:rsidRPr="00B55BBD">
        <w:rPr>
          <w:b/>
        </w:rPr>
        <w:t>Perustelu:</w:t>
      </w:r>
      <w:r>
        <w:t xml:space="preserve"> Jo nykytilanteessa on haasteellista</w:t>
      </w:r>
      <w:r w:rsidR="00B55BBD">
        <w:t xml:space="preserve"> valvoa</w:t>
      </w:r>
      <w:r>
        <w:t xml:space="preserve"> </w:t>
      </w:r>
      <w:r w:rsidR="00941B9C">
        <w:t xml:space="preserve">liikkuville elintarvikehuoneistoille annettujen kehotusten ja määräysten toteutumista. </w:t>
      </w:r>
      <w:r w:rsidR="00B55BBD">
        <w:t>Maakuntauudistus saattaa helpottaa valvontaa mutta vain, jos myös monen maakunnan alueella liikkuvia toimijoita voidaan valvoa mm. juuri tiedottamisten avulla.</w:t>
      </w:r>
    </w:p>
    <w:p w:rsidR="000F74DD" w:rsidRDefault="000F74DD" w:rsidP="00BD7D24">
      <w:pPr>
        <w:rPr>
          <w:b/>
        </w:rPr>
      </w:pPr>
    </w:p>
    <w:p w:rsidR="00FB25E3" w:rsidRDefault="00FB25E3" w:rsidP="00BD7D24">
      <w:pPr>
        <w:rPr>
          <w:b/>
        </w:rPr>
      </w:pPr>
      <w:r>
        <w:rPr>
          <w:b/>
        </w:rPr>
        <w:t>15 § Omavalvonta</w:t>
      </w:r>
    </w:p>
    <w:p w:rsidR="00FB25E3" w:rsidRDefault="00FB25E3" w:rsidP="00FB25E3">
      <w:pPr>
        <w:ind w:left="1304" w:firstLine="1"/>
      </w:pPr>
      <w:r>
        <w:t>Muutetaan pykälän teksti muotoon ”Elintarvikealan toimijalla on oltava valvojan helposti tarkistettavissa oleva järjestelmä, jonka avulla toimija hallitsee…</w:t>
      </w:r>
      <w:r w:rsidR="00B5177C">
        <w:t>”</w:t>
      </w:r>
    </w:p>
    <w:p w:rsidR="00FB25E3" w:rsidRDefault="00FB25E3" w:rsidP="00CE7C75">
      <w:pPr>
        <w:ind w:left="1304" w:firstLine="1"/>
        <w:rPr>
          <w:b/>
        </w:rPr>
      </w:pPr>
      <w:r w:rsidRPr="00CE7C75">
        <w:rPr>
          <w:b/>
        </w:rPr>
        <w:t xml:space="preserve">Perustelu: </w:t>
      </w:r>
      <w:r>
        <w:t>Vaikka toimijan omavalvontasuunnitelma sisältyisi erityise</w:t>
      </w:r>
      <w:r w:rsidR="00CE7C75">
        <w:t>e</w:t>
      </w:r>
      <w:r>
        <w:t>n elintarvike</w:t>
      </w:r>
      <w:r w:rsidR="00CE7C75">
        <w:t>turvallisuusjärjestelmään tai laadunhallintajärjestelmään, tulee niistä pystyä selkeästi tarkistamaan omavalvonnan HACCP-perusteisuus ja viittaukset hyvän käytännön ohjeisiin.</w:t>
      </w:r>
    </w:p>
    <w:p w:rsidR="00FB25E3" w:rsidRDefault="00FB25E3" w:rsidP="00BD7D24">
      <w:pPr>
        <w:rPr>
          <w:b/>
        </w:rPr>
      </w:pPr>
    </w:p>
    <w:p w:rsidR="00BD7D24" w:rsidRDefault="00BD7D24" w:rsidP="00BD7D24">
      <w:r>
        <w:rPr>
          <w:b/>
        </w:rPr>
        <w:t>16 § Valvontatietojen julkistaminen</w:t>
      </w:r>
    </w:p>
    <w:p w:rsidR="00835E0B" w:rsidRDefault="00BD7D24" w:rsidP="00BD7D24">
      <w:pPr>
        <w:ind w:left="1304"/>
      </w:pPr>
      <w:r w:rsidRPr="00BD7D24">
        <w:t xml:space="preserve">Muutetaan </w:t>
      </w:r>
      <w:r>
        <w:t xml:space="preserve">4. momentti </w:t>
      </w:r>
      <w:r w:rsidRPr="00BD7D24">
        <w:t xml:space="preserve">muotoon </w:t>
      </w:r>
      <w:r w:rsidRPr="00BD7D24">
        <w:rPr>
          <w:i/>
        </w:rPr>
        <w:t>”Toimivaltaisella valvontaviranomaisella on mahdollisuus tehdä elintarvikealan toimijan pyynnöstä harjoitetun elintarviketoiminnan uusintatarkastus”</w:t>
      </w:r>
      <w:r w:rsidRPr="00BD7D24">
        <w:t xml:space="preserve">. </w:t>
      </w:r>
    </w:p>
    <w:p w:rsidR="00BD7D24" w:rsidRDefault="00BD7D24" w:rsidP="00BD7D24">
      <w:pPr>
        <w:ind w:left="1304"/>
      </w:pPr>
      <w:r w:rsidRPr="00BD7D24">
        <w:rPr>
          <w:b/>
        </w:rPr>
        <w:t>Perustelu</w:t>
      </w:r>
      <w:r w:rsidRPr="00BD7D24">
        <w:t>: Ehdotettu sanamuoto jättää päätösvallan resurssien kohdentamisesta viranomaiselle. Pyynnöstä tehtäviä uusintatarkastuksia ei tehtäisi, jos se vaarantaisi riskiperusteisen valvontasuunnitelman toteutumisen. Perustelumuistion tarkoittamia kohteita (elintarvikkeiden tarjoilu, tarkastustiheys 0,35-0,5/vuodessa) voidaan arvioida olevan KUTI-tietokannan perusteella noin 17 000 kpl. Niihin tehdään vuosittain arviolta 7000 tarkastusta, joista noin 3000 saa B-arvosanan (42%). Teoriassa näihin kaikkiin voitaisiin joutua tekemään ainakin yksi uusintatarkastus, mikä nostaisi tarkastusten määrää valtakunnallisesti luokkaa 10 % vuoden 2017 määrään verrattuna. Virallisen valvonnan resurssien kohdentaminen tällaiseen valvontaan ei ole lain tarkoituksen ja hengen mukaista.</w:t>
      </w:r>
    </w:p>
    <w:p w:rsidR="00BD7D24" w:rsidRDefault="00BD7D24" w:rsidP="00BD7D24"/>
    <w:p w:rsidR="00BD7D24" w:rsidRDefault="00BD7D24" w:rsidP="00BD7D24">
      <w:r w:rsidRPr="00BD7D24">
        <w:rPr>
          <w:b/>
        </w:rPr>
        <w:t>17</w:t>
      </w:r>
      <w:r>
        <w:rPr>
          <w:b/>
        </w:rPr>
        <w:t xml:space="preserve"> </w:t>
      </w:r>
      <w:r w:rsidRPr="00BD7D24">
        <w:rPr>
          <w:b/>
        </w:rPr>
        <w:t>§</w:t>
      </w:r>
      <w:r>
        <w:rPr>
          <w:b/>
        </w:rPr>
        <w:t xml:space="preserve"> Toimijan velvollisuus ilmoittaa ruokamyrkytyksestä</w:t>
      </w:r>
    </w:p>
    <w:p w:rsidR="00914BE2" w:rsidRDefault="00BD7D24" w:rsidP="00BD7D24">
      <w:pPr>
        <w:ind w:left="1304"/>
      </w:pPr>
      <w:r w:rsidRPr="00BD7D24">
        <w:t xml:space="preserve">Lisätään loppuun lause: </w:t>
      </w:r>
      <w:r w:rsidRPr="00BD7D24">
        <w:rPr>
          <w:i/>
        </w:rPr>
        <w:t>”Elintarvikenäytteiden säilyttäminen on sisällytettävä 15 §:n mukaiseen järjestelmään.”</w:t>
      </w:r>
      <w:r w:rsidRPr="00BD7D24">
        <w:t xml:space="preserve"> </w:t>
      </w:r>
    </w:p>
    <w:p w:rsidR="00BD7D24" w:rsidRPr="00BD7D24" w:rsidRDefault="00BD7D24" w:rsidP="00BD7D24">
      <w:pPr>
        <w:ind w:left="1304"/>
      </w:pPr>
      <w:r w:rsidRPr="00BD7D24">
        <w:rPr>
          <w:b/>
        </w:rPr>
        <w:t>Perustelu</w:t>
      </w:r>
      <w:r w:rsidRPr="00BD7D24">
        <w:t>: Pykälän teksti perustuu suoraan zoonoosidirektiivin (2003/99/EY) artiklaan 8 ja on vastaavanlainen kuin nykylaissa. Kuitenkin ruokamyrkytysselvityksissä käy toistuvasti ilmi, ettei toimijalta löydy edustavia ruokanäytteitä tutkittavaksi laboratoriossa. Toisaalta erilaisissa omavalvontaohjeissa kehotetaan jo nykyisinkin säilyttämään ruokanäytteitä jopa kahdelta viikolta (mm. Ruokatietoyhdistys ry). Ehdotettu muutos ei olisi varsinaisesti tiukennus ehdotettuun lainsäädäntöön, mutta edellyttäisi toimijaa suunnittelemaan ruokanäytteiden säilyttämisen riskiperusteisesti riittävän pitkältä ajalta. Lisäksi on tyypillistä, että ilmoitukset ruokamyrkytysepäilyistä tehdään usean päivän viiveellä, mikä myös synnyttää tarpeen säilyttää ruokanäytteitä usealta päivältä.</w:t>
      </w:r>
    </w:p>
    <w:p w:rsidR="00BD7D24" w:rsidRPr="00BD7D24" w:rsidRDefault="00BD7D24" w:rsidP="00BD7D24"/>
    <w:p w:rsidR="00F242E8" w:rsidRDefault="00F242E8" w:rsidP="00BD7D24">
      <w:pPr>
        <w:rPr>
          <w:b/>
        </w:rPr>
      </w:pPr>
    </w:p>
    <w:p w:rsidR="00BD7D24" w:rsidRDefault="00BD7D24" w:rsidP="00BD7D24">
      <w:pPr>
        <w:rPr>
          <w:b/>
        </w:rPr>
      </w:pPr>
      <w:r>
        <w:rPr>
          <w:b/>
        </w:rPr>
        <w:t>3</w:t>
      </w:r>
      <w:r w:rsidRPr="00BD7D24">
        <w:rPr>
          <w:b/>
        </w:rPr>
        <w:t>8</w:t>
      </w:r>
      <w:r>
        <w:rPr>
          <w:b/>
        </w:rPr>
        <w:t xml:space="preserve"> </w:t>
      </w:r>
      <w:r w:rsidRPr="00BD7D24">
        <w:rPr>
          <w:b/>
        </w:rPr>
        <w:t>§</w:t>
      </w:r>
      <w:r>
        <w:rPr>
          <w:b/>
        </w:rPr>
        <w:t xml:space="preserve"> Tarkastus- ja läsnäolo-oikeus</w:t>
      </w:r>
    </w:p>
    <w:p w:rsidR="00835E0B" w:rsidRDefault="00BD7D24" w:rsidP="00BD7D24">
      <w:pPr>
        <w:ind w:left="1304"/>
      </w:pPr>
      <w:r w:rsidRPr="00BD7D24">
        <w:lastRenderedPageBreak/>
        <w:t xml:space="preserve">Muutetaan </w:t>
      </w:r>
      <w:r>
        <w:t xml:space="preserve">2. momentti </w:t>
      </w:r>
      <w:r w:rsidRPr="00BD7D24">
        <w:t>muotoon ”</w:t>
      </w:r>
      <w:r w:rsidRPr="00BD7D24">
        <w:rPr>
          <w:i/>
        </w:rPr>
        <w:t>Valvontakohteessa, joka sijaitsee pysyväisluonteiseen asumiseen käytetyissä tiloissa, tarkastus voidaan tehdä..., ellei kohteena olevien seikkojen selvittäminen ole muilla tavoin mahdollista</w:t>
      </w:r>
      <w:r w:rsidRPr="00BD7D24">
        <w:t xml:space="preserve">.” </w:t>
      </w:r>
    </w:p>
    <w:p w:rsidR="00BD7D24" w:rsidRPr="00BD7D24" w:rsidRDefault="00BD7D24" w:rsidP="00BD7D24">
      <w:pPr>
        <w:ind w:left="1304"/>
      </w:pPr>
      <w:r w:rsidRPr="00BD7D24">
        <w:rPr>
          <w:b/>
        </w:rPr>
        <w:t>Perustelu</w:t>
      </w:r>
      <w:r w:rsidRPr="00BD7D24">
        <w:t xml:space="preserve">: Momentti on esitetyssä muodossaan vaikeaselkoinen ja jättää sijaa erilaisille tulkinnoille. Asetuksen (EU) 2017/625 artikla 15 velvoittaa toimijoita joka tapauksessa antamaan toimivaltaisen viranomaisen henkilöstölle mahdollisuuden tutustua laitteisiin, tiedonhallintajärjestelmiin, tavaroihin, asiakirjoihin ja muihin merkityksellisiin tietoihin. Saman asetuksen artikla 14 luettelee erilaisia valvonnan menetelmiä ja tekniikoita. Pykälän sanamuodon muuttaminen nyt esitetyllä tavalla velvoittaisi viranomaista dokumentoimaan artiklan 12 mukaisesti ne virallisen valvonnan menettelyt, jotka voivat edellyttää tarkastuksen tekemistä pysyväisluonteiseen asumiseen käytetyissä tiloissa. Tämä parantaisi </w:t>
      </w:r>
      <w:r w:rsidR="00835E0B">
        <w:t xml:space="preserve">niin </w:t>
      </w:r>
      <w:r w:rsidRPr="00BD7D24">
        <w:t>valvonnan yhd</w:t>
      </w:r>
      <w:r w:rsidR="00835E0B">
        <w:t xml:space="preserve">enmukaisuutta kuin </w:t>
      </w:r>
      <w:r w:rsidRPr="00BD7D24">
        <w:t>toimijoiden oikeusturvaa keskeisessä perusoikeuksiin liittyvässä kysymyksessä.</w:t>
      </w:r>
    </w:p>
    <w:p w:rsidR="0068671D" w:rsidRDefault="0068671D" w:rsidP="00914BE2">
      <w:pPr>
        <w:rPr>
          <w:color w:val="0070C0"/>
        </w:rPr>
      </w:pPr>
    </w:p>
    <w:p w:rsidR="0068671D" w:rsidRDefault="0068671D" w:rsidP="00914BE2">
      <w:pPr>
        <w:rPr>
          <w:b/>
        </w:rPr>
      </w:pPr>
      <w:r w:rsidRPr="0068671D">
        <w:rPr>
          <w:b/>
        </w:rPr>
        <w:t>A</w:t>
      </w:r>
      <w:r w:rsidR="000956E9">
        <w:rPr>
          <w:b/>
        </w:rPr>
        <w:t>luehallintovirastoista siirtyvät elintarvikevalvonnan tehtävät</w:t>
      </w:r>
    </w:p>
    <w:p w:rsidR="0068671D" w:rsidRDefault="0068671D" w:rsidP="000956E9">
      <w:pPr>
        <w:ind w:left="1304" w:firstLine="1"/>
      </w:pPr>
      <w:r w:rsidRPr="0068671D">
        <w:t xml:space="preserve">Aluehallintovirastojen </w:t>
      </w:r>
      <w:r>
        <w:t xml:space="preserve">voimavaroja on käsitelty perustelumuistion sivuilla 11 ja 22. Niiden on kuvattu olleen 23,8 </w:t>
      </w:r>
      <w:proofErr w:type="spellStart"/>
      <w:r>
        <w:t>htv</w:t>
      </w:r>
      <w:proofErr w:type="spellEnd"/>
      <w:r>
        <w:t xml:space="preserve"> vuonna 2017. </w:t>
      </w:r>
      <w:r w:rsidR="000956E9">
        <w:t>Vuoden 2017 VASU-raportin perusteella luku on kuitenki</w:t>
      </w:r>
      <w:r w:rsidR="001306B8">
        <w:t xml:space="preserve">n 17,8 </w:t>
      </w:r>
      <w:proofErr w:type="spellStart"/>
      <w:r w:rsidR="001306B8">
        <w:t>htv</w:t>
      </w:r>
      <w:proofErr w:type="spellEnd"/>
      <w:r w:rsidR="001306B8">
        <w:t xml:space="preserve">, ero 6 </w:t>
      </w:r>
      <w:proofErr w:type="spellStart"/>
      <w:r w:rsidR="001306B8">
        <w:t>htv</w:t>
      </w:r>
      <w:proofErr w:type="spellEnd"/>
      <w:r w:rsidR="001306B8">
        <w:t xml:space="preserve">. Perustelumuistion mukaan 23,8 </w:t>
      </w:r>
      <w:proofErr w:type="spellStart"/>
      <w:r w:rsidR="001306B8">
        <w:t>htv</w:t>
      </w:r>
      <w:proofErr w:type="spellEnd"/>
      <w:r w:rsidR="001306B8">
        <w:t xml:space="preserve"> ei edes sisällä Lapin aluehallintoviraston järjestämää poronlihan tarkastusta.</w:t>
      </w:r>
    </w:p>
    <w:p w:rsidR="000956E9" w:rsidRPr="0068671D" w:rsidRDefault="00746661" w:rsidP="000956E9">
      <w:pPr>
        <w:ind w:left="1304" w:firstLine="1"/>
      </w:pPr>
      <w:r>
        <w:t>Perustelumuistion sivuilta 26, 2</w:t>
      </w:r>
      <w:r w:rsidR="000956E9">
        <w:t xml:space="preserve">7 ja 56 saa sen käsityksen, että aluehallintovirastojen elintarvikevalvonnan tehtävät olisivat siirtymässä maakuntiin. Alkoholimyymälöiden valvontaa lukuun ottamatta tehtävät ovat kuitenkin siirtymässä uuteen </w:t>
      </w:r>
      <w:r w:rsidR="001306B8">
        <w:t xml:space="preserve">perustettavaan Ruokavirastoon </w:t>
      </w:r>
      <w:proofErr w:type="spellStart"/>
      <w:r w:rsidR="001306B8">
        <w:t>pl</w:t>
      </w:r>
      <w:proofErr w:type="spellEnd"/>
      <w:r w:rsidR="001306B8">
        <w:t xml:space="preserve"> poronlihan tarkastus.</w:t>
      </w:r>
    </w:p>
    <w:p w:rsidR="001306B8" w:rsidRDefault="001306B8" w:rsidP="00914BE2">
      <w:pPr>
        <w:rPr>
          <w:color w:val="0070C0"/>
        </w:rPr>
      </w:pPr>
    </w:p>
    <w:p w:rsidR="001306B8" w:rsidRPr="001306B8" w:rsidRDefault="001306B8" w:rsidP="00914BE2">
      <w:pPr>
        <w:rPr>
          <w:b/>
        </w:rPr>
      </w:pPr>
      <w:r w:rsidRPr="001306B8">
        <w:rPr>
          <w:b/>
        </w:rPr>
        <w:t>Terveydensuojelulain 50 §, 50 a § ja 50 b § Maakunnan suorittamasta terveydensuojeluvalvonnasta perittävä vuosittainen valvontamaksu</w:t>
      </w:r>
    </w:p>
    <w:p w:rsidR="00CB0197" w:rsidRPr="00CB0197" w:rsidRDefault="00CB0197" w:rsidP="00CB0197">
      <w:pPr>
        <w:ind w:left="1304"/>
      </w:pPr>
      <w:r w:rsidRPr="00CB0197">
        <w:t xml:space="preserve">Nykytilan arviointi -luvussa todetaan terveydensuojelulain valvonnan maksullisuudesta kohdassa 2.3.3, että ”Suunnitelmallisen valvonnan suoritteista perittävä maksullisuus ohjaa osaltaan myös tekemään niitä valvontasuoritteita, joista maksu voidaan periä. Koska maksuja on voitu periä erityisesti suunnitelmallisista tarkastuksista, on ohjauksen ja neuvonnan sekä muiden ei-maksullisten valvontakeinojen rooli valvonnan välineenä vähentynyt”. On mahdollista, että maksullisuus voi johtaa tekemään maksullisia valvontasuoritteita. Toisaalta valvonta on viimeisten vuosien aikana muuttunut yhä enemmän neuvonnan, ohjaamisen ja yhteistyön tekemisen suuntaan. Häiriötilannesuunnitelmia, valvontatutkimusohjelmia ja omavalvontasuunnitelmia laaditaan yhteistyössä toiminnanharjoittajien kanssa. Riskinarvioinnissa autetaan vettä toimittavia laitoksia. Lausuntojen antamiseen panostetaan. Tähän kaikkeen käytetty aika on pois tarkastusten tekemiseen varattavista resursseista. Työnteon tapojen painottuminen ennakoivan ohjauksen ja neuvontatyön suuntaan on sinänsä ihan hyvä suuntaus, mutta ilmenee nykyjärjestelmässä valvontamaksukertymän suuruutta vähentävänä tekijänä. Yhteistyöhön kulunutta aikaa ei monestikaan sisällytetä suunnitelmallisen valvonnan tarkastukseen käytettyyn aikaan. Vuosittaiseen valvontamaksuun voitaisiin sisällyttää </w:t>
      </w:r>
      <w:r w:rsidRPr="00CB0197">
        <w:lastRenderedPageBreak/>
        <w:t>luontevammin muukin kuin vain tarkastus- ja näytteenottovalvontakeinoihin käytetty työaika, koska maksussa voitaisiin huomioida myös ohjaukseen ja neuvontaan ja muihin vastaaviin toimiin liittyvät tarpeet.</w:t>
      </w:r>
    </w:p>
    <w:p w:rsidR="00CB0197" w:rsidRPr="00CB0197" w:rsidRDefault="00CB0197" w:rsidP="00CB0197">
      <w:pPr>
        <w:ind w:left="1304"/>
      </w:pPr>
      <w:r w:rsidRPr="00CB0197">
        <w:t xml:space="preserve">Esityksen mukaan valvontatoimenpiteistä noin puolet on suunnitelman mukaista valvontaa. Aluehallintovirasto esittää karkeana arviona, että suunnittelemattomaan valvontaan suoraan ja siihen liittyvään muuhun virkatyöhön menee valvontayksikön ajankäytöstä vielä selvästi tätä suurempi osuus. Valvonnan ymmärtäminen tarkastuskeskeisesti johtaa terveydensuojelun kohdalla pelkistykseen. Aluehallintoviraston näkemyksen mukaan terveydensuojelua tulee tarkastella ympäristönsuojelun tapaan toimialana, jossa suunnitelmalliseen valvontaan kuuluvat myös neuvonta, selvitysten tekeminen, elinympäristön tilan seuraaminen, lausuntojen antaminen ja viranomaisten välisen yhteistyön tekeminen. Valvonnan rahoittaminen keräämällä valvontamaksuja </w:t>
      </w:r>
      <w:r w:rsidRPr="00A27EAE">
        <w:t xml:space="preserve">vain </w:t>
      </w:r>
      <w:r w:rsidR="00794396" w:rsidRPr="00A27EAE">
        <w:t>suunnitelmallisista tarkastuksista</w:t>
      </w:r>
      <w:r w:rsidRPr="00A27EAE">
        <w:t xml:space="preserve"> </w:t>
      </w:r>
      <w:r w:rsidRPr="00CB0197">
        <w:t xml:space="preserve">on ongelmallista valvontatyön muiden osa-alueiden oikeutuksen ja hyväksyttävyyden kannalta.  </w:t>
      </w:r>
    </w:p>
    <w:p w:rsidR="00CB0197" w:rsidRPr="00CB0197" w:rsidRDefault="00CB0197" w:rsidP="00CB0197">
      <w:pPr>
        <w:ind w:left="1304"/>
      </w:pPr>
      <w:r w:rsidRPr="00CB0197">
        <w:t xml:space="preserve">Esitysluonnoksen sivulla 33 todetaan: ”Ehdotettujen muutosten myötä terveydensuojelun maksutulojen arvioidaan kasvavan noin 2,4 miljoonasta € 7,5 miljoonaan €. Tämä arvioidaan kattavan noin 75 % terveydensuojelun suunnitemallisen valvonnan kuluista.”  Samalla sivulla todetaan myös: ”Se [maksutulojen kasvu] mahdollistaisi toiminnan tehostamisen ja puuttuvien lisäresurssien hankkimisen valvontayksiköihin niin, että valvontaa voitaisiin toteuttaa nykyistä kattavammin.” </w:t>
      </w:r>
    </w:p>
    <w:p w:rsidR="00CB0197" w:rsidRPr="00CB0197" w:rsidRDefault="00CB0197" w:rsidP="00CB0197">
      <w:pPr>
        <w:ind w:left="1304"/>
      </w:pPr>
      <w:r w:rsidRPr="00CB0197">
        <w:t>Edellä mainittuihin esityksen kohtiin liittyen aluehallintovirasto toteaa, että valvontamaksujen kustannusvastaavuuden nouseminen lähemmäs alun perin tarkoitettua tasoa voi toki joissain tapauksessa vaikuttaa päätökseen täyttää jo aiemmin huomattu resurssivaje. Käytännössä valvonta toimii kuitenkin vähenevien resurssien toimintaympäristössä, joten lisäresursseilla perustelu ei ole realistista, eikä ehkä tarpeellistakaan. Valvonnan nykytason t</w:t>
      </w:r>
      <w:bookmarkStart w:id="0" w:name="_GoBack"/>
      <w:bookmarkEnd w:id="0"/>
      <w:r w:rsidRPr="00CB0197">
        <w:t>urvaaminen, laadun, vaikuttavuuden ja riskiperusteisuuden parantaminen ovat aluehallintoviraston näkemyksen mukaan yksityiskohtaisina perusteluina sopivampia. Tässä toimintaympäristössä maininta mahdollisesta lisäresursoinnista ei edistä esityksen yleistä hyväksyttävyyttä.</w:t>
      </w:r>
    </w:p>
    <w:p w:rsidR="00CB0197" w:rsidRPr="00CB0197" w:rsidRDefault="00CB0197" w:rsidP="00CB0197">
      <w:pPr>
        <w:ind w:left="1304"/>
      </w:pPr>
      <w:r w:rsidRPr="00CB0197">
        <w:t xml:space="preserve">Keskeiset ehdotukset -luvussa todetaan kohdassa 3.2.3 seuraavasti: ”Sellaisissa tilanteissa, joissa valvontakohteen valvontaan kohdistuu erityisen paljon viranomaistoimenpiteitä normaalin suunnitelmallisen valvonnan lisäksi ja toimenpidetarve aiheutuu toiminnanharjoittajan haluttomuudesta ryhtyä terveydensuojeluviranomaisen kehottamiin tai määräämiin toimenpiteisiin terveyshaittojen ennaltaehkäisemiseksi, selvittämiseksi, poistamiseksi tai rajoittamiseksi, voisi viranomainen laskuttaa näistä suunnitelmalliseen valvontaan kuulumattomista ylimääräisistä valvontatoimenpiteistä.” Tämä on syytä vielä tarkentaa, jotta tulkinnanvaraiseksi ei jää se, onko ylimääräisen laskuttamisen perustuttava aina toiminnanharjoittajan haluttomuuteen ryhtyä toimenpiteisiin, vai voiko ylimääräinen laskuttaminen perustua myös suureen viranomaistoimenpiteiden määrään normaalin suunnitelmallisen valvonnan lisäksi. Olisi hyvä tarkentaa, voiko lähtökohtaisesti aina laskuttaa ylimääräisesti, jos toiminnanharjoittaja ei ole toiminut viranomaisen antamien kehotusten ja määräysten mukaisesti ja viranomainen joutuu tämän vuoksi ylimääräisiin valvontatoimiin, vai tarvitseeko ylimäärisen valvontatarpeen olla merkittävästi suurempi. Selkeintä olisi, jos aina niissä tapauksissa, joissa viranomainen joutuu tekemään ylimääräisiä valvontatoimia sen </w:t>
      </w:r>
      <w:r w:rsidRPr="00CB0197">
        <w:lastRenderedPageBreak/>
        <w:t xml:space="preserve">vuoksi, että toiminnanharjoittaja ei ole ryhtynyt toimenpiteisiin kehotuksen tai määräyksen mukaisesti, tulisi laskuttaa ylimäärisistä viranomaistoimenpiteistä. Tällä tavoin toiminnanharjoittajien kohtelu olisi yhdenmukaista valvontayksiköstä tai viranhaltijasta riippumatta. </w:t>
      </w:r>
    </w:p>
    <w:p w:rsidR="00CB0197" w:rsidRPr="00CB0197" w:rsidRDefault="00CB0197" w:rsidP="00CB0197">
      <w:pPr>
        <w:ind w:left="1304"/>
      </w:pPr>
      <w:r w:rsidRPr="00CB0197">
        <w:t>Lain yksityiskohtaisissa perusteluissa terveydensuojelulain 50 a §:n 4 momentin käsittelytekstistä puuttuu joku sana, jotta lause olisi ymmärrettävä.</w:t>
      </w:r>
    </w:p>
    <w:p w:rsidR="00CB0197" w:rsidRPr="00CB0197" w:rsidRDefault="00CB0197" w:rsidP="00CB0197">
      <w:pPr>
        <w:ind w:left="1304"/>
      </w:pPr>
      <w:r w:rsidRPr="00CB0197">
        <w:t xml:space="preserve">Hallituksen esitykseen olisi tarpeellista joiltain osin otsikoihin tarkentaa, mitkä luvut koskevat vain elintarvikelakia ja mitkä sekä elintarvikelakia ja terveydensuojelulakia, esimerkiksi Yksityiskohtaisten perustelujen lukuun 4 </w:t>
      </w:r>
      <w:r w:rsidRPr="00CB0197">
        <w:rPr>
          <w:i/>
          <w:iCs/>
        </w:rPr>
        <w:t>Suhde perustuslakiin ja säätämisjärjestys</w:t>
      </w:r>
      <w:r w:rsidRPr="00CB0197">
        <w:t>.</w:t>
      </w:r>
    </w:p>
    <w:p w:rsidR="00CB0197" w:rsidRPr="00CB0197" w:rsidRDefault="00CB0197" w:rsidP="00CB0197">
      <w:pPr>
        <w:ind w:left="1304"/>
      </w:pPr>
      <w:r w:rsidRPr="00CB0197">
        <w:t xml:space="preserve">Lakiehdotuksissa luonnoksessa terveydensuojelulain 50 a §:ksi todetaan 1 momentin 3 kohdassa, että ”Edellä 50 §:ssä säädetyn vuosittaisen valvontamaksun lisäksi maakunta perii hyväksymänsä taksan mukaisen maksun </w:t>
      </w:r>
      <w:r w:rsidRPr="00CB0197">
        <w:rPr>
          <w:i/>
          <w:iCs/>
        </w:rPr>
        <w:t>kaivon omistajalta talousvesitutkimuksista silloin, kun kysymys ei ole 16 §:n 4 momentissa tarkoitetusta talousvettä toimittavasta laitoksesta.”</w:t>
      </w:r>
      <w:r w:rsidRPr="00CB0197">
        <w:t xml:space="preserve"> Tässä lienee jäänyt viittaus vanhaan terveydensuojelulain 16 pykälään, sillä voimassa olevan lain 16 §:ssä ei ole neljää momenttia. Viittauksen lisäksi kyseisen 1 momentin 3 kohdan sisältöäkin tulee muuttaa, jotta se sopisi yhteen nykyisten talousvesi-määritelmien, ilmoitustenvaraisten kohteiden ja ehdotetun vuosimaksun kanssa.</w:t>
      </w:r>
    </w:p>
    <w:p w:rsidR="00CB0197" w:rsidRPr="00CB0197" w:rsidRDefault="00CB0197" w:rsidP="00CB0197">
      <w:pPr>
        <w:ind w:left="1304"/>
      </w:pPr>
      <w:r w:rsidRPr="00CB0197">
        <w:t>Terveydensuojelulain maksutaulukko olisi helpommin luettavissa talousveden toimittamiseen sisältyvien toimintatyyppien osata, jos taulukossa olisi ensin lueteltu kaikki ne kohteet suurimmasta kokoluokasta pienimpään, joilla on omaa vedenhankintaa tai -käsittelyä ja sen jälkeen ne kohteet, joilla sitä ei ole. Taulukossa pieniksi vedenjakelualueiksi kutsutut toimintatyypit ovat myös terveydensuojelulain mukaan lupa- tai ilmoitusvelvollisia, joten ne olisi hyvä nimetä vastaavasti kuin muutkin toimintatyypit. Tukkulaitoksen kohdalla lienee ylimääräinen vedentoimitus-sana.</w:t>
      </w:r>
    </w:p>
    <w:p w:rsidR="00CB0197" w:rsidRPr="00CB0197" w:rsidRDefault="00CB0197" w:rsidP="00CB0197">
      <w:pPr>
        <w:ind w:left="1304"/>
      </w:pPr>
      <w:r w:rsidRPr="00CB0197">
        <w:t>Maakuntauudistuksen toteutumisajankohta näyttää tällä hetkellä epäselvältä. Tulisikin pohtia, onko terveydensuojelulain lakimuutos välttämätön sitoa maakuntauudistuksen ajankohtaan, vai pitäisikö sen toteutua tästä erillään, mikäli nähdään tarpeelliseksi muuttaa nykytilaa ripeämmin.</w:t>
      </w:r>
    </w:p>
    <w:p w:rsidR="00914BE2" w:rsidRDefault="00CB0197" w:rsidP="00571025">
      <w:pPr>
        <w:ind w:left="1304"/>
      </w:pPr>
      <w:r w:rsidRPr="00CB0197">
        <w:t>Tässä samassa yhteydessä, kun terveydensuojelulain maksullisuutta muutetaan,</w:t>
      </w:r>
      <w:r w:rsidR="00571025">
        <w:t xml:space="preserve"> voisi myös muuttaa muutoksenhak</w:t>
      </w:r>
      <w:r w:rsidRPr="00CB0197">
        <w:t xml:space="preserve">ua käsittelevän terveydensuojelulain 56 §:n vastaamaan </w:t>
      </w:r>
      <w:r w:rsidRPr="00A27EAE">
        <w:t xml:space="preserve">muutettua 15 </w:t>
      </w:r>
      <w:proofErr w:type="gramStart"/>
      <w:r w:rsidRPr="00A27EAE">
        <w:t>§:ä.</w:t>
      </w:r>
      <w:proofErr w:type="gramEnd"/>
      <w:r w:rsidRPr="00A27EAE">
        <w:t xml:space="preserve"> Pykälän sisältöä ei liene tarkasteltu s</w:t>
      </w:r>
      <w:r w:rsidR="00482BC2" w:rsidRPr="00A27EAE">
        <w:t>iinä vaiheessa, kun lain 15 §:ä</w:t>
      </w:r>
      <w:r w:rsidRPr="00A27EAE">
        <w:t xml:space="preserve"> muutettiin</w:t>
      </w:r>
      <w:r w:rsidRPr="00CB0197">
        <w:t>.</w:t>
      </w:r>
    </w:p>
    <w:p w:rsidR="00571025" w:rsidRDefault="00571025" w:rsidP="00571025"/>
    <w:p w:rsidR="00571025" w:rsidRPr="00CB0197" w:rsidRDefault="00571025" w:rsidP="00571025">
      <w:r>
        <w:t>Tämän lausunnon valmisteluun ovat osallistuneet ympäristöterveydenhuollon ylitarkastajat Arja-Leila Fagerholm, Kirsi Hyvönen, Kimmo Ilonen ja Sini Mustakallio sekä läänineläinlääkäri Eero Rautiainen.</w:t>
      </w:r>
    </w:p>
    <w:sectPr w:rsidR="00571025" w:rsidRPr="00CB0197" w:rsidSect="00A27EAE">
      <w:headerReference w:type="default" r:id="rId14"/>
      <w:footerReference w:type="default" r:id="rId15"/>
      <w:type w:val="continuous"/>
      <w:pgSz w:w="11906" w:h="16838"/>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0E8" w:rsidRDefault="001950E8" w:rsidP="000D6D96">
      <w:pPr>
        <w:spacing w:after="0" w:line="240" w:lineRule="auto"/>
      </w:pPr>
      <w:r>
        <w:separator/>
      </w:r>
    </w:p>
  </w:endnote>
  <w:endnote w:type="continuationSeparator" w:id="0">
    <w:p w:rsidR="001950E8" w:rsidRDefault="001950E8" w:rsidP="000D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A3" w:rsidRPr="00850505" w:rsidRDefault="00CE33A3" w:rsidP="005715E4">
    <w:pPr>
      <w:pStyle w:val="AVIalatunniste"/>
      <w:rPr>
        <w:sz w:val="16"/>
      </w:rPr>
    </w:pPr>
    <w:r w:rsidRPr="00850505">
      <w:rPr>
        <w:sz w:val="16"/>
      </w:rPr>
      <w:t>ETELÄ-SUOMEN ALUEHALLINTOVIRASTO</w:t>
    </w:r>
  </w:p>
  <w:tbl>
    <w:tblPr>
      <w:tblW w:w="0" w:type="auto"/>
      <w:tblLook w:val="04A0" w:firstRow="1" w:lastRow="0" w:firstColumn="1" w:lastColumn="0" w:noHBand="0" w:noVBand="1"/>
    </w:tblPr>
    <w:tblGrid>
      <w:gridCol w:w="2419"/>
      <w:gridCol w:w="2404"/>
      <w:gridCol w:w="2399"/>
      <w:gridCol w:w="2416"/>
    </w:tblGrid>
    <w:tr w:rsidR="00CE33A3" w:rsidRPr="00850505" w:rsidTr="00F65BBF">
      <w:trPr>
        <w:trHeight w:hRule="exact" w:val="907"/>
      </w:trPr>
      <w:tc>
        <w:tcPr>
          <w:tcW w:w="2444" w:type="dxa"/>
        </w:tcPr>
        <w:p w:rsidR="00CE33A3" w:rsidRPr="004367F0" w:rsidRDefault="00CE33A3" w:rsidP="005715E4">
          <w:pPr>
            <w:pStyle w:val="AVIalatunniste"/>
            <w:rPr>
              <w:sz w:val="16"/>
              <w:lang w:val="sv-SE"/>
            </w:rPr>
          </w:pPr>
          <w:r w:rsidRPr="004367F0">
            <w:rPr>
              <w:sz w:val="16"/>
              <w:lang w:val="sv-SE"/>
            </w:rPr>
            <w:t>puh. 02</w:t>
          </w:r>
          <w:r>
            <w:rPr>
              <w:sz w:val="16"/>
              <w:lang w:val="sv-SE"/>
            </w:rPr>
            <w:t>9</w:t>
          </w:r>
          <w:r w:rsidRPr="004367F0">
            <w:rPr>
              <w:sz w:val="16"/>
              <w:lang w:val="sv-SE"/>
            </w:rPr>
            <w:t xml:space="preserve"> </w:t>
          </w:r>
          <w:r>
            <w:rPr>
              <w:sz w:val="16"/>
              <w:lang w:val="sv-SE"/>
            </w:rPr>
            <w:t>501</w:t>
          </w:r>
          <w:r w:rsidRPr="004367F0">
            <w:rPr>
              <w:sz w:val="16"/>
              <w:lang w:val="sv-SE"/>
            </w:rPr>
            <w:t xml:space="preserve"> </w:t>
          </w:r>
          <w:r>
            <w:rPr>
              <w:sz w:val="16"/>
              <w:lang w:val="sv-SE"/>
            </w:rPr>
            <w:t>6000</w:t>
          </w:r>
        </w:p>
        <w:p w:rsidR="00CE33A3" w:rsidRPr="004367F0" w:rsidRDefault="00CE33A3" w:rsidP="005715E4">
          <w:pPr>
            <w:pStyle w:val="AVIalatunniste"/>
            <w:rPr>
              <w:sz w:val="16"/>
              <w:lang w:val="sv-SE"/>
            </w:rPr>
          </w:pPr>
          <w:r w:rsidRPr="004367F0">
            <w:rPr>
              <w:sz w:val="16"/>
              <w:lang w:val="sv-SE"/>
            </w:rPr>
            <w:t>fax 03 570 8002</w:t>
          </w:r>
        </w:p>
        <w:p w:rsidR="00CE33A3" w:rsidRPr="004367F0" w:rsidRDefault="00CE33A3" w:rsidP="005715E4">
          <w:pPr>
            <w:pStyle w:val="AVIalatunniste"/>
            <w:rPr>
              <w:sz w:val="16"/>
              <w:lang w:val="sv-SE"/>
            </w:rPr>
          </w:pPr>
          <w:r w:rsidRPr="004367F0">
            <w:rPr>
              <w:sz w:val="16"/>
              <w:lang w:val="sv-SE"/>
            </w:rPr>
            <w:t>kirjaamo.etela@avi.fi</w:t>
          </w:r>
        </w:p>
        <w:p w:rsidR="00CE33A3" w:rsidRPr="00850505" w:rsidRDefault="00CE33A3" w:rsidP="005715E4">
          <w:pPr>
            <w:pStyle w:val="AVIalatunniste"/>
            <w:rPr>
              <w:sz w:val="16"/>
            </w:rPr>
          </w:pPr>
          <w:r w:rsidRPr="00850505">
            <w:rPr>
              <w:sz w:val="16"/>
            </w:rPr>
            <w:t>www.avi.fi/etela</w:t>
          </w:r>
        </w:p>
      </w:tc>
      <w:tc>
        <w:tcPr>
          <w:tcW w:w="2444" w:type="dxa"/>
        </w:tcPr>
        <w:p w:rsidR="00CE33A3" w:rsidRPr="00850505" w:rsidRDefault="00CE33A3" w:rsidP="005715E4">
          <w:pPr>
            <w:pStyle w:val="AVIalatunniste"/>
            <w:rPr>
              <w:sz w:val="16"/>
            </w:rPr>
          </w:pPr>
          <w:r w:rsidRPr="00850505">
            <w:rPr>
              <w:sz w:val="16"/>
            </w:rPr>
            <w:t>Hämeenlinnan päätoimipaikka</w:t>
          </w:r>
        </w:p>
        <w:p w:rsidR="00CE33A3" w:rsidRPr="00850505" w:rsidRDefault="00CE33A3" w:rsidP="005715E4">
          <w:pPr>
            <w:pStyle w:val="AVIalatunniste"/>
            <w:rPr>
              <w:sz w:val="16"/>
            </w:rPr>
          </w:pPr>
          <w:r w:rsidRPr="00850505">
            <w:rPr>
              <w:sz w:val="16"/>
            </w:rPr>
            <w:t>Birger Jaarlin katu 15</w:t>
          </w:r>
        </w:p>
        <w:p w:rsidR="00CE33A3" w:rsidRPr="00850505" w:rsidRDefault="00CE33A3" w:rsidP="00F65BBF">
          <w:pPr>
            <w:pStyle w:val="AVIalatunniste"/>
            <w:rPr>
              <w:sz w:val="16"/>
            </w:rPr>
          </w:pPr>
          <w:r w:rsidRPr="00850505">
            <w:rPr>
              <w:sz w:val="16"/>
            </w:rPr>
            <w:t>PL 150, 13101 Hämeenlinna</w:t>
          </w:r>
        </w:p>
      </w:tc>
      <w:tc>
        <w:tcPr>
          <w:tcW w:w="2445" w:type="dxa"/>
        </w:tcPr>
        <w:p w:rsidR="00CE33A3" w:rsidRPr="00850505" w:rsidRDefault="00CE33A3" w:rsidP="005715E4">
          <w:pPr>
            <w:pStyle w:val="AVIalatunniste"/>
            <w:rPr>
              <w:sz w:val="16"/>
            </w:rPr>
          </w:pPr>
          <w:r w:rsidRPr="00850505">
            <w:rPr>
              <w:sz w:val="16"/>
            </w:rPr>
            <w:t>Helsingin toimipaikka</w:t>
          </w:r>
          <w:r>
            <w:rPr>
              <w:sz w:val="16"/>
            </w:rPr>
            <w:t xml:space="preserve"> </w:t>
          </w:r>
          <w:r w:rsidRPr="00274D2A">
            <w:rPr>
              <w:b/>
              <w:sz w:val="16"/>
            </w:rPr>
            <w:t xml:space="preserve"> </w:t>
          </w:r>
        </w:p>
        <w:p w:rsidR="00CE33A3" w:rsidRPr="00850505" w:rsidRDefault="00CE33A3" w:rsidP="005715E4">
          <w:pPr>
            <w:pStyle w:val="AVIalatunniste"/>
            <w:rPr>
              <w:sz w:val="16"/>
            </w:rPr>
          </w:pPr>
          <w:r w:rsidRPr="00850505">
            <w:rPr>
              <w:sz w:val="16"/>
            </w:rPr>
            <w:t>Ratapihantie 9</w:t>
          </w:r>
        </w:p>
        <w:p w:rsidR="00CE33A3" w:rsidRPr="00850505" w:rsidRDefault="00CE33A3" w:rsidP="005715E4">
          <w:pPr>
            <w:pStyle w:val="AVIalatunniste"/>
            <w:rPr>
              <w:sz w:val="16"/>
            </w:rPr>
          </w:pPr>
          <w:r w:rsidRPr="00850505">
            <w:rPr>
              <w:sz w:val="16"/>
            </w:rPr>
            <w:t>PL 110, 00521 Helsinki</w:t>
          </w:r>
        </w:p>
      </w:tc>
      <w:tc>
        <w:tcPr>
          <w:tcW w:w="2445" w:type="dxa"/>
        </w:tcPr>
        <w:p w:rsidR="00CE33A3" w:rsidRPr="00850505" w:rsidRDefault="00CE33A3" w:rsidP="005715E4">
          <w:pPr>
            <w:pStyle w:val="AVIalatunniste"/>
            <w:rPr>
              <w:sz w:val="16"/>
            </w:rPr>
          </w:pPr>
          <w:r w:rsidRPr="00850505">
            <w:rPr>
              <w:sz w:val="16"/>
            </w:rPr>
            <w:t>Kouvolan toimipaikka</w:t>
          </w:r>
        </w:p>
        <w:p w:rsidR="00CE33A3" w:rsidRPr="00850505" w:rsidRDefault="00CE33A3" w:rsidP="005715E4">
          <w:pPr>
            <w:pStyle w:val="AVIalatunniste"/>
            <w:rPr>
              <w:sz w:val="16"/>
            </w:rPr>
          </w:pPr>
          <w:r>
            <w:rPr>
              <w:sz w:val="16"/>
            </w:rPr>
            <w:t>Kauppamiehenkatu 4</w:t>
          </w:r>
        </w:p>
        <w:p w:rsidR="00CE33A3" w:rsidRPr="00850505" w:rsidRDefault="00CE33A3" w:rsidP="005715E4">
          <w:pPr>
            <w:pStyle w:val="AVIalatunniste"/>
            <w:rPr>
              <w:sz w:val="16"/>
            </w:rPr>
          </w:pPr>
          <w:r w:rsidRPr="00850505">
            <w:rPr>
              <w:sz w:val="16"/>
            </w:rPr>
            <w:t>PL 301, 45101 Kouvola</w:t>
          </w:r>
        </w:p>
      </w:tc>
    </w:tr>
  </w:tbl>
  <w:p w:rsidR="00CE33A3" w:rsidRPr="00850505" w:rsidRDefault="00CE33A3" w:rsidP="005715E4">
    <w:pPr>
      <w:pStyle w:val="AVIalatunniste"/>
      <w:rPr>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A3" w:rsidRPr="005052DB" w:rsidRDefault="00CE33A3" w:rsidP="005052DB">
    <w:pPr>
      <w:pStyle w:val="AVIjaELYNormaaliSisentmtn"/>
      <w:tabs>
        <w:tab w:val="left" w:pos="2694"/>
        <w:tab w:val="left" w:pos="5103"/>
        <w:tab w:val="left" w:pos="7797"/>
      </w:tabs>
      <w:rPr>
        <w:color w:val="00388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0E8" w:rsidRDefault="001950E8" w:rsidP="000D6D96">
      <w:pPr>
        <w:spacing w:after="0" w:line="240" w:lineRule="auto"/>
      </w:pPr>
      <w:r>
        <w:separator/>
      </w:r>
    </w:p>
  </w:footnote>
  <w:footnote w:type="continuationSeparator" w:id="0">
    <w:p w:rsidR="001950E8" w:rsidRDefault="001950E8" w:rsidP="000D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3A3" w:rsidRDefault="00CE33A3">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5" w:type="dxa"/>
      <w:tblInd w:w="-318" w:type="dxa"/>
      <w:tblLook w:val="01E0" w:firstRow="1" w:lastRow="1" w:firstColumn="1" w:lastColumn="1" w:noHBand="0" w:noVBand="0"/>
    </w:tblPr>
    <w:tblGrid>
      <w:gridCol w:w="10594"/>
      <w:gridCol w:w="222"/>
    </w:tblGrid>
    <w:tr w:rsidR="00CE33A3" w:rsidRPr="007C770B" w:rsidTr="008C7B4E">
      <w:trPr>
        <w:trHeight w:val="1951"/>
      </w:trPr>
      <w:tc>
        <w:tcPr>
          <w:tcW w:w="10549" w:type="dxa"/>
          <w:tcMar>
            <w:top w:w="28" w:type="dxa"/>
            <w:bottom w:w="28" w:type="dxa"/>
          </w:tcMar>
        </w:tcPr>
        <w:tbl>
          <w:tblPr>
            <w:tblW w:w="10378" w:type="dxa"/>
            <w:tblCellMar>
              <w:left w:w="0" w:type="dxa"/>
              <w:right w:w="0" w:type="dxa"/>
            </w:tblCellMar>
            <w:tblLook w:val="01E0" w:firstRow="1" w:lastRow="1" w:firstColumn="1" w:lastColumn="1" w:noHBand="0" w:noVBand="0"/>
          </w:tblPr>
          <w:tblGrid>
            <w:gridCol w:w="4853"/>
            <w:gridCol w:w="2192"/>
            <w:gridCol w:w="3333"/>
          </w:tblGrid>
          <w:tr w:rsidR="00CE33A3" w:rsidRPr="007C770B" w:rsidTr="008C7B4E">
            <w:trPr>
              <w:trHeight w:hRule="exact" w:val="510"/>
            </w:trPr>
            <w:tc>
              <w:tcPr>
                <w:tcW w:w="4853" w:type="dxa"/>
                <w:vMerge w:val="restart"/>
              </w:tcPr>
              <w:p w:rsidR="00CE33A3" w:rsidRPr="00424AD6" w:rsidRDefault="00CE33A3" w:rsidP="008C7B4E">
                <w:pPr>
                  <w:pStyle w:val="Yltunniste"/>
                  <w:rPr>
                    <w:color w:val="003883"/>
                    <w:sz w:val="20"/>
                    <w:szCs w:val="20"/>
                  </w:rPr>
                </w:pPr>
                <w:r>
                  <w:rPr>
                    <w:noProof/>
                    <w:color w:val="003883"/>
                    <w:sz w:val="20"/>
                    <w:szCs w:val="20"/>
                    <w:lang w:eastAsia="fi-FI"/>
                  </w:rPr>
                  <mc:AlternateContent>
                    <mc:Choice Requires="wps">
                      <w:drawing>
                        <wp:anchor distT="0" distB="0" distL="114300" distR="114300" simplePos="0" relativeHeight="251657216" behindDoc="0" locked="0" layoutInCell="1" allowOverlap="1">
                          <wp:simplePos x="0" y="0"/>
                          <wp:positionH relativeFrom="column">
                            <wp:posOffset>431800</wp:posOffset>
                          </wp:positionH>
                          <wp:positionV relativeFrom="paragraph">
                            <wp:posOffset>580390</wp:posOffset>
                          </wp:positionV>
                          <wp:extent cx="2444750" cy="598170"/>
                          <wp:effectExtent l="317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3A3" w:rsidRDefault="00CE33A3" w:rsidP="00FA7354">
                                      <w:pPr>
                                        <w:spacing w:after="0" w:line="240" w:lineRule="auto"/>
                                        <w:rPr>
                                          <w:color w:val="003883"/>
                                          <w:sz w:val="18"/>
                                          <w:szCs w:val="18"/>
                                        </w:rPr>
                                      </w:pPr>
                                      <w:r w:rsidRPr="00F65BBF">
                                        <w:rPr>
                                          <w:color w:val="003883"/>
                                          <w:sz w:val="18"/>
                                          <w:szCs w:val="18"/>
                                        </w:rPr>
                                        <w:t>Etelä-Suomi</w:t>
                                      </w:r>
                                    </w:p>
                                    <w:p w:rsidR="00CE33A3" w:rsidRPr="00953BD1" w:rsidRDefault="00CE33A3" w:rsidP="00FA7354">
                                      <w:pPr>
                                        <w:spacing w:after="0" w:line="240" w:lineRule="auto"/>
                                        <w:rPr>
                                          <w:color w:val="1F497D"/>
                                          <w:sz w:val="18"/>
                                          <w:szCs w:val="18"/>
                                        </w:rPr>
                                      </w:pPr>
                                      <w:r w:rsidRPr="00953BD1">
                                        <w:rPr>
                                          <w:color w:val="1F497D"/>
                                          <w:sz w:val="18"/>
                                          <w:szCs w:val="18"/>
                                        </w:rPr>
                                        <w:t xml:space="preserve">Peruspalvelut, oikeusturva ja luvat </w:t>
                                      </w:r>
                                    </w:p>
                                    <w:p w:rsidR="00CE33A3" w:rsidRPr="00A1441C" w:rsidRDefault="00CE33A3" w:rsidP="00FA7354">
                                      <w:pPr>
                                        <w:pStyle w:val="AVIalatunniste"/>
                                        <w:rPr>
                                          <w:sz w:val="22"/>
                                        </w:rPr>
                                      </w:pPr>
                                      <w:r w:rsidRPr="00E85BE6">
                                        <w:rPr>
                                          <w:szCs w:val="18"/>
                                        </w:rPr>
                                        <w:t>-vastuualue</w:t>
                                      </w:r>
                                    </w:p>
                                    <w:p w:rsidR="00CE33A3" w:rsidRPr="00F65BBF" w:rsidRDefault="00CE33A3" w:rsidP="005715E4">
                                      <w:pPr>
                                        <w:rPr>
                                          <w:color w:val="003883"/>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34pt;margin-top:45.7pt;width:192.5pt;height:47.1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" filled="f" stroked="f">
                          <v:textbox>
                            <w:txbxContent>
                              <w:p w:rsidR="00CE33A3" w:rsidRDefault="00CE33A3" w:rsidP="00FA7354">
                                <w:pPr>
                                  <w:spacing w:after="0" w:line="240" w:lineRule="auto"/>
                                  <w:rPr>
                                    <w:color w:val="003883"/>
                                    <w:sz w:val="18"/>
                                    <w:szCs w:val="18"/>
                                  </w:rPr>
                                </w:pPr>
                                <w:r w:rsidRPr="00F65BBF">
                                  <w:rPr>
                                    <w:color w:val="003883"/>
                                    <w:sz w:val="18"/>
                                    <w:szCs w:val="18"/>
                                  </w:rPr>
                                  <w:t>Etelä-Suomi</w:t>
                                </w:r>
                              </w:p>
                              <w:p w:rsidR="00CE33A3" w:rsidRPr="00953BD1" w:rsidRDefault="00CE33A3" w:rsidP="00FA7354">
                                <w:pPr>
                                  <w:spacing w:after="0" w:line="240" w:lineRule="auto"/>
                                  <w:rPr>
                                    <w:color w:val="1F497D"/>
                                    <w:sz w:val="18"/>
                                    <w:szCs w:val="18"/>
                                  </w:rPr>
                                </w:pPr>
                                <w:r w:rsidRPr="00953BD1">
                                  <w:rPr>
                                    <w:color w:val="1F497D"/>
                                    <w:sz w:val="18"/>
                                    <w:szCs w:val="18"/>
                                  </w:rPr>
                                  <w:t xml:space="preserve">Peruspalvelut, oikeusturva ja luvat </w:t>
                                </w:r>
                              </w:p>
                              <w:p w:rsidR="00CE33A3" w:rsidRPr="00A1441C" w:rsidRDefault="00CE33A3" w:rsidP="00FA7354">
                                <w:pPr>
                                  <w:pStyle w:val="AVIalatunniste"/>
                                  <w:rPr>
                                    <w:sz w:val="22"/>
                                  </w:rPr>
                                </w:pPr>
                                <w:r w:rsidRPr="00E85BE6">
                                  <w:rPr>
                                    <w:szCs w:val="18"/>
                                  </w:rPr>
                                  <w:t>-vastuualue</w:t>
                                </w:r>
                              </w:p>
                              <w:p w:rsidR="00CE33A3" w:rsidRPr="00F65BBF" w:rsidRDefault="00CE33A3" w:rsidP="005715E4">
                                <w:pPr>
                                  <w:rPr>
                                    <w:color w:val="003883"/>
                                    <w:sz w:val="18"/>
                                    <w:szCs w:val="18"/>
                                  </w:rPr>
                                </w:pPr>
                              </w:p>
                            </w:txbxContent>
                          </v:textbox>
                        </v:shape>
                      </w:pict>
                    </mc:Fallback>
                  </mc:AlternateContent>
                </w:r>
                <w:r>
                  <w:rPr>
                    <w:noProof/>
                    <w:color w:val="003883"/>
                    <w:sz w:val="20"/>
                    <w:szCs w:val="20"/>
                    <w:lang w:eastAsia="fi-FI"/>
                  </w:rPr>
                  <w:drawing>
                    <wp:anchor distT="0" distB="0" distL="114300" distR="114300" simplePos="0" relativeHeight="251658240" behindDoc="1" locked="0" layoutInCell="1" allowOverlap="1">
                      <wp:simplePos x="0" y="0"/>
                      <wp:positionH relativeFrom="column">
                        <wp:posOffset>-356235</wp:posOffset>
                      </wp:positionH>
                      <wp:positionV relativeFrom="paragraph">
                        <wp:posOffset>18415</wp:posOffset>
                      </wp:positionV>
                      <wp:extent cx="3482975" cy="676275"/>
                      <wp:effectExtent l="19050" t="0" r="3175" b="0"/>
                      <wp:wrapNone/>
                      <wp:docPr id="2" name="Kuva 0" descr="AV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0" descr="AVI eng.jpg"/>
                              <pic:cNvPicPr>
                                <a:picLocks noChangeAspect="1" noChangeArrowheads="1"/>
                              </pic:cNvPicPr>
                            </pic:nvPicPr>
                            <pic:blipFill>
                              <a:blip r:embed="rId1"/>
                              <a:srcRect/>
                              <a:stretch>
                                <a:fillRect/>
                              </a:stretch>
                            </pic:blipFill>
                            <pic:spPr bwMode="auto">
                              <a:xfrm>
                                <a:off x="0" y="0"/>
                                <a:ext cx="3482975" cy="676275"/>
                              </a:xfrm>
                              <a:prstGeom prst="rect">
                                <a:avLst/>
                              </a:prstGeom>
                              <a:noFill/>
                            </pic:spPr>
                          </pic:pic>
                        </a:graphicData>
                      </a:graphic>
                    </wp:anchor>
                  </w:drawing>
                </w:r>
              </w:p>
            </w:tc>
            <w:tc>
              <w:tcPr>
                <w:tcW w:w="2192" w:type="dxa"/>
              </w:tcPr>
              <w:p w:rsidR="00CE33A3" w:rsidRPr="00424AD6" w:rsidRDefault="00CE33A3" w:rsidP="008C7B4E">
                <w:pPr>
                  <w:pStyle w:val="Yltunniste"/>
                  <w:rPr>
                    <w:color w:val="003883"/>
                    <w:sz w:val="20"/>
                    <w:szCs w:val="20"/>
                  </w:rPr>
                </w:pPr>
              </w:p>
            </w:tc>
            <w:tc>
              <w:tcPr>
                <w:tcW w:w="3333" w:type="dxa"/>
              </w:tcPr>
              <w:p w:rsidR="00CE33A3" w:rsidRPr="00424AD6" w:rsidRDefault="00CE33A3" w:rsidP="008C7B4E">
                <w:pPr>
                  <w:pStyle w:val="Yltunniste"/>
                  <w:rPr>
                    <w:color w:val="003883"/>
                    <w:sz w:val="20"/>
                    <w:szCs w:val="20"/>
                  </w:rPr>
                </w:pPr>
              </w:p>
            </w:tc>
          </w:tr>
          <w:tr w:rsidR="00CE33A3" w:rsidRPr="007C770B" w:rsidTr="008C7B4E">
            <w:trPr>
              <w:trHeight w:hRule="exact" w:val="510"/>
            </w:trPr>
            <w:tc>
              <w:tcPr>
                <w:tcW w:w="4853" w:type="dxa"/>
                <w:vMerge/>
              </w:tcPr>
              <w:p w:rsidR="00CE33A3" w:rsidRPr="00424AD6" w:rsidRDefault="00CE33A3" w:rsidP="008C7B4E">
                <w:pPr>
                  <w:pStyle w:val="Yltunniste"/>
                  <w:rPr>
                    <w:color w:val="003883"/>
                    <w:sz w:val="20"/>
                    <w:szCs w:val="20"/>
                  </w:rPr>
                </w:pPr>
              </w:p>
            </w:tc>
            <w:tc>
              <w:tcPr>
                <w:tcW w:w="2192" w:type="dxa"/>
                <w:vMerge w:val="restart"/>
              </w:tcPr>
              <w:p w:rsidR="00CE33A3" w:rsidRPr="003E0B82" w:rsidRDefault="00CE33A3" w:rsidP="006F3C39">
                <w:pPr>
                  <w:pStyle w:val="AVIalatunniste"/>
                  <w:rPr>
                    <w:sz w:val="22"/>
                    <w:szCs w:val="22"/>
                  </w:rPr>
                </w:pPr>
                <w:r w:rsidRPr="003E0B82">
                  <w:rPr>
                    <w:sz w:val="22"/>
                    <w:szCs w:val="22"/>
                  </w:rPr>
                  <w:t>LAUSUNTO</w:t>
                </w:r>
              </w:p>
            </w:tc>
            <w:tc>
              <w:tcPr>
                <w:tcW w:w="3333" w:type="dxa"/>
              </w:tcPr>
              <w:p w:rsidR="00CE33A3" w:rsidRPr="003E0B82" w:rsidRDefault="00CE33A3" w:rsidP="0033570C">
                <w:pPr>
                  <w:pStyle w:val="Yltunniste"/>
                  <w:rPr>
                    <w:color w:val="003883"/>
                  </w:rPr>
                </w:pPr>
                <w:r>
                  <w:rPr>
                    <w:color w:val="1F497D"/>
                  </w:rPr>
                  <w:t>ESAVI/11834/2018</w:t>
                </w:r>
              </w:p>
            </w:tc>
          </w:tr>
          <w:tr w:rsidR="00CE33A3" w:rsidRPr="007C770B" w:rsidTr="008C7B4E">
            <w:trPr>
              <w:trHeight w:hRule="exact" w:val="510"/>
            </w:trPr>
            <w:tc>
              <w:tcPr>
                <w:tcW w:w="4853" w:type="dxa"/>
                <w:vMerge/>
              </w:tcPr>
              <w:p w:rsidR="00CE33A3" w:rsidRPr="00424AD6" w:rsidRDefault="00CE33A3" w:rsidP="008C7B4E">
                <w:pPr>
                  <w:pStyle w:val="Yltunniste"/>
                  <w:rPr>
                    <w:color w:val="003883"/>
                    <w:sz w:val="20"/>
                    <w:szCs w:val="20"/>
                  </w:rPr>
                </w:pPr>
              </w:p>
            </w:tc>
            <w:tc>
              <w:tcPr>
                <w:tcW w:w="2192" w:type="dxa"/>
                <w:vMerge/>
              </w:tcPr>
              <w:p w:rsidR="00CE33A3" w:rsidRPr="00CD1C06" w:rsidRDefault="00CE33A3" w:rsidP="008C7B4E">
                <w:pPr>
                  <w:pStyle w:val="Yltunniste"/>
                  <w:rPr>
                    <w:color w:val="003883"/>
                    <w:sz w:val="18"/>
                    <w:szCs w:val="18"/>
                  </w:rPr>
                </w:pPr>
              </w:p>
            </w:tc>
            <w:tc>
              <w:tcPr>
                <w:tcW w:w="3333" w:type="dxa"/>
              </w:tcPr>
              <w:p w:rsidR="00CE33A3" w:rsidRPr="003E0B82" w:rsidRDefault="00CE33A3" w:rsidP="004916FD">
                <w:pPr>
                  <w:pStyle w:val="Yltunniste"/>
                  <w:rPr>
                    <w:color w:val="003883"/>
                  </w:rPr>
                </w:pPr>
              </w:p>
            </w:tc>
          </w:tr>
          <w:tr w:rsidR="00CE33A3" w:rsidRPr="007C770B" w:rsidTr="008C7B4E">
            <w:trPr>
              <w:trHeight w:hRule="exact" w:val="1021"/>
            </w:trPr>
            <w:tc>
              <w:tcPr>
                <w:tcW w:w="4853" w:type="dxa"/>
              </w:tcPr>
              <w:p w:rsidR="00CE33A3" w:rsidRPr="00424AD6" w:rsidRDefault="00CE33A3" w:rsidP="008C7B4E">
                <w:pPr>
                  <w:pStyle w:val="Yltunniste"/>
                  <w:rPr>
                    <w:color w:val="003883"/>
                    <w:sz w:val="20"/>
                    <w:szCs w:val="20"/>
                  </w:rPr>
                </w:pPr>
              </w:p>
            </w:tc>
            <w:tc>
              <w:tcPr>
                <w:tcW w:w="2192" w:type="dxa"/>
              </w:tcPr>
              <w:p w:rsidR="00CE33A3" w:rsidRPr="003E0B82" w:rsidRDefault="00F242E8" w:rsidP="00293DBA">
                <w:pPr>
                  <w:pStyle w:val="Yltunniste"/>
                  <w:rPr>
                    <w:color w:val="003883"/>
                  </w:rPr>
                </w:pPr>
                <w:r>
                  <w:rPr>
                    <w:color w:val="003883"/>
                  </w:rPr>
                  <w:t>17</w:t>
                </w:r>
                <w:r w:rsidR="00CE33A3">
                  <w:rPr>
                    <w:color w:val="003883"/>
                  </w:rPr>
                  <w:t>.8.2018</w:t>
                </w:r>
              </w:p>
            </w:tc>
            <w:tc>
              <w:tcPr>
                <w:tcW w:w="3333" w:type="dxa"/>
              </w:tcPr>
              <w:p w:rsidR="00CE33A3" w:rsidRPr="003E0B82" w:rsidRDefault="00CE33A3" w:rsidP="004916FD">
                <w:pPr>
                  <w:pStyle w:val="Yltunniste"/>
                  <w:rPr>
                    <w:color w:val="003883"/>
                  </w:rPr>
                </w:pPr>
              </w:p>
            </w:tc>
          </w:tr>
        </w:tbl>
        <w:p w:rsidR="00CE33A3" w:rsidRPr="007C770B" w:rsidRDefault="00CE33A3" w:rsidP="008C7B4E">
          <w:pPr>
            <w:pStyle w:val="Yltunniste"/>
            <w:rPr>
              <w:rFonts w:cs="Arial"/>
            </w:rPr>
          </w:pPr>
        </w:p>
      </w:tc>
      <w:tc>
        <w:tcPr>
          <w:tcW w:w="236" w:type="dxa"/>
          <w:tcMar>
            <w:top w:w="28" w:type="dxa"/>
            <w:bottom w:w="28" w:type="dxa"/>
          </w:tcMar>
        </w:tcPr>
        <w:p w:rsidR="00CE33A3" w:rsidRPr="007C770B" w:rsidRDefault="00CE33A3" w:rsidP="008C7B4E">
          <w:pPr>
            <w:jc w:val="right"/>
            <w:rPr>
              <w:rFonts w:cs="Arial"/>
            </w:rPr>
          </w:pPr>
        </w:p>
        <w:p w:rsidR="00CE33A3" w:rsidRPr="007C770B" w:rsidRDefault="00CE33A3" w:rsidP="008C7B4E">
          <w:pPr>
            <w:pStyle w:val="Yltunniste"/>
            <w:jc w:val="right"/>
            <w:rPr>
              <w:rFonts w:cs="Arial"/>
            </w:rPr>
          </w:pPr>
        </w:p>
      </w:tc>
    </w:tr>
  </w:tbl>
  <w:p w:rsidR="00CE33A3" w:rsidRPr="005715E4" w:rsidRDefault="00CE33A3" w:rsidP="005715E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245009"/>
      <w:docPartObj>
        <w:docPartGallery w:val="Page Numbers (Top of Page)"/>
        <w:docPartUnique/>
      </w:docPartObj>
    </w:sdtPr>
    <w:sdtEndPr/>
    <w:sdtContent>
      <w:p w:rsidR="00CE33A3" w:rsidRDefault="00CE33A3">
        <w:pPr>
          <w:pStyle w:val="Yltunniste"/>
          <w:jc w:val="right"/>
        </w:pPr>
        <w:r>
          <w:fldChar w:fldCharType="begin"/>
        </w:r>
        <w:r>
          <w:instrText>PAGE   \* MERGEFORMAT</w:instrText>
        </w:r>
        <w:r>
          <w:fldChar w:fldCharType="separate"/>
        </w:r>
        <w:r w:rsidR="00F900DD">
          <w:rPr>
            <w:noProof/>
          </w:rPr>
          <w:t>6</w:t>
        </w:r>
        <w:r>
          <w:fldChar w:fldCharType="end"/>
        </w:r>
        <w:r>
          <w:t>/7</w:t>
        </w:r>
      </w:p>
    </w:sdtContent>
  </w:sdt>
  <w:p w:rsidR="00CE33A3" w:rsidRDefault="00CE33A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CD"/>
    <w:rsid w:val="000065C1"/>
    <w:rsid w:val="0001063C"/>
    <w:rsid w:val="00011395"/>
    <w:rsid w:val="0001446F"/>
    <w:rsid w:val="00023881"/>
    <w:rsid w:val="00031610"/>
    <w:rsid w:val="00037B43"/>
    <w:rsid w:val="00040150"/>
    <w:rsid w:val="000530A0"/>
    <w:rsid w:val="00054471"/>
    <w:rsid w:val="00054C30"/>
    <w:rsid w:val="00057606"/>
    <w:rsid w:val="00057C55"/>
    <w:rsid w:val="00057D70"/>
    <w:rsid w:val="00061A54"/>
    <w:rsid w:val="00066D68"/>
    <w:rsid w:val="0006726F"/>
    <w:rsid w:val="000676B0"/>
    <w:rsid w:val="00067ABE"/>
    <w:rsid w:val="0008354C"/>
    <w:rsid w:val="000954E3"/>
    <w:rsid w:val="000956E9"/>
    <w:rsid w:val="0009647A"/>
    <w:rsid w:val="000A2AA9"/>
    <w:rsid w:val="000B73AE"/>
    <w:rsid w:val="000C3692"/>
    <w:rsid w:val="000C4905"/>
    <w:rsid w:val="000D154C"/>
    <w:rsid w:val="000D43A6"/>
    <w:rsid w:val="000D6D96"/>
    <w:rsid w:val="000F4F8D"/>
    <w:rsid w:val="000F74DD"/>
    <w:rsid w:val="000F7C8D"/>
    <w:rsid w:val="001038ED"/>
    <w:rsid w:val="001068FA"/>
    <w:rsid w:val="001108EA"/>
    <w:rsid w:val="00120482"/>
    <w:rsid w:val="00120670"/>
    <w:rsid w:val="0012614C"/>
    <w:rsid w:val="00127D1E"/>
    <w:rsid w:val="001306B8"/>
    <w:rsid w:val="00130823"/>
    <w:rsid w:val="0013424D"/>
    <w:rsid w:val="001416F8"/>
    <w:rsid w:val="00144D67"/>
    <w:rsid w:val="00147ACD"/>
    <w:rsid w:val="0015458B"/>
    <w:rsid w:val="001569DA"/>
    <w:rsid w:val="00160888"/>
    <w:rsid w:val="00162C10"/>
    <w:rsid w:val="001828AE"/>
    <w:rsid w:val="001950E8"/>
    <w:rsid w:val="00196670"/>
    <w:rsid w:val="001A1354"/>
    <w:rsid w:val="001A26BC"/>
    <w:rsid w:val="001A4B94"/>
    <w:rsid w:val="001B166F"/>
    <w:rsid w:val="001B2203"/>
    <w:rsid w:val="001B31ED"/>
    <w:rsid w:val="001D591D"/>
    <w:rsid w:val="001F2EAF"/>
    <w:rsid w:val="001F5C1B"/>
    <w:rsid w:val="0020205D"/>
    <w:rsid w:val="0021467B"/>
    <w:rsid w:val="002147E8"/>
    <w:rsid w:val="00216FCC"/>
    <w:rsid w:val="00225CE5"/>
    <w:rsid w:val="00231E6F"/>
    <w:rsid w:val="00241685"/>
    <w:rsid w:val="00244C9F"/>
    <w:rsid w:val="00252533"/>
    <w:rsid w:val="00253BA8"/>
    <w:rsid w:val="00255950"/>
    <w:rsid w:val="002577CA"/>
    <w:rsid w:val="0026151F"/>
    <w:rsid w:val="00270983"/>
    <w:rsid w:val="00273A95"/>
    <w:rsid w:val="00274D2A"/>
    <w:rsid w:val="0028462E"/>
    <w:rsid w:val="002863A7"/>
    <w:rsid w:val="00293DBA"/>
    <w:rsid w:val="00295456"/>
    <w:rsid w:val="002A0CD7"/>
    <w:rsid w:val="002A2327"/>
    <w:rsid w:val="002A4C95"/>
    <w:rsid w:val="002B3AD6"/>
    <w:rsid w:val="002B5390"/>
    <w:rsid w:val="002D1B81"/>
    <w:rsid w:val="002D2E59"/>
    <w:rsid w:val="002D4F9A"/>
    <w:rsid w:val="002D5417"/>
    <w:rsid w:val="002D558F"/>
    <w:rsid w:val="002E2413"/>
    <w:rsid w:val="002E3FBF"/>
    <w:rsid w:val="002E4550"/>
    <w:rsid w:val="00300FBB"/>
    <w:rsid w:val="00304227"/>
    <w:rsid w:val="00304E01"/>
    <w:rsid w:val="00313F4E"/>
    <w:rsid w:val="0032482B"/>
    <w:rsid w:val="00327692"/>
    <w:rsid w:val="003332FF"/>
    <w:rsid w:val="003356D1"/>
    <w:rsid w:val="0033570C"/>
    <w:rsid w:val="00335E04"/>
    <w:rsid w:val="00336241"/>
    <w:rsid w:val="003370AB"/>
    <w:rsid w:val="00341EC9"/>
    <w:rsid w:val="00356A49"/>
    <w:rsid w:val="0036264C"/>
    <w:rsid w:val="00363915"/>
    <w:rsid w:val="0038089D"/>
    <w:rsid w:val="003903DA"/>
    <w:rsid w:val="00390A3B"/>
    <w:rsid w:val="00397F44"/>
    <w:rsid w:val="003A765F"/>
    <w:rsid w:val="003B087A"/>
    <w:rsid w:val="003B27FD"/>
    <w:rsid w:val="003B2808"/>
    <w:rsid w:val="003B7DC8"/>
    <w:rsid w:val="003D658F"/>
    <w:rsid w:val="003E0B82"/>
    <w:rsid w:val="003E2552"/>
    <w:rsid w:val="003F5564"/>
    <w:rsid w:val="003F5A5E"/>
    <w:rsid w:val="003F684B"/>
    <w:rsid w:val="00402345"/>
    <w:rsid w:val="00413616"/>
    <w:rsid w:val="00414C2F"/>
    <w:rsid w:val="00422741"/>
    <w:rsid w:val="00424AD6"/>
    <w:rsid w:val="00424FC9"/>
    <w:rsid w:val="004367F0"/>
    <w:rsid w:val="00441A36"/>
    <w:rsid w:val="00461975"/>
    <w:rsid w:val="004656F5"/>
    <w:rsid w:val="00473800"/>
    <w:rsid w:val="004763B7"/>
    <w:rsid w:val="004766A8"/>
    <w:rsid w:val="00482BC2"/>
    <w:rsid w:val="00483C7F"/>
    <w:rsid w:val="004912E5"/>
    <w:rsid w:val="004916FD"/>
    <w:rsid w:val="00491713"/>
    <w:rsid w:val="004B50DE"/>
    <w:rsid w:val="004B6ADB"/>
    <w:rsid w:val="004D1099"/>
    <w:rsid w:val="004E1CB1"/>
    <w:rsid w:val="004E6D90"/>
    <w:rsid w:val="004F4AC3"/>
    <w:rsid w:val="00503BF6"/>
    <w:rsid w:val="005052DB"/>
    <w:rsid w:val="00517732"/>
    <w:rsid w:val="00517994"/>
    <w:rsid w:val="00520ABD"/>
    <w:rsid w:val="005247E4"/>
    <w:rsid w:val="00525FAA"/>
    <w:rsid w:val="005358D4"/>
    <w:rsid w:val="00542DAC"/>
    <w:rsid w:val="005465B9"/>
    <w:rsid w:val="005576EF"/>
    <w:rsid w:val="00562F9A"/>
    <w:rsid w:val="00563C84"/>
    <w:rsid w:val="005654CD"/>
    <w:rsid w:val="00571025"/>
    <w:rsid w:val="005715E4"/>
    <w:rsid w:val="005754C2"/>
    <w:rsid w:val="00582DEF"/>
    <w:rsid w:val="00583D40"/>
    <w:rsid w:val="00592F55"/>
    <w:rsid w:val="00594E66"/>
    <w:rsid w:val="005977EB"/>
    <w:rsid w:val="005B16A0"/>
    <w:rsid w:val="005B66B0"/>
    <w:rsid w:val="005C3920"/>
    <w:rsid w:val="005C47A6"/>
    <w:rsid w:val="005C6A90"/>
    <w:rsid w:val="005C7C75"/>
    <w:rsid w:val="005D060A"/>
    <w:rsid w:val="005D2AAA"/>
    <w:rsid w:val="005D313E"/>
    <w:rsid w:val="005D7AE9"/>
    <w:rsid w:val="005E0BFB"/>
    <w:rsid w:val="005E0F1A"/>
    <w:rsid w:val="005E1D8E"/>
    <w:rsid w:val="005F2EE9"/>
    <w:rsid w:val="005F4DF0"/>
    <w:rsid w:val="0061083E"/>
    <w:rsid w:val="0063040A"/>
    <w:rsid w:val="006325C4"/>
    <w:rsid w:val="0063385D"/>
    <w:rsid w:val="00641BA5"/>
    <w:rsid w:val="00643381"/>
    <w:rsid w:val="00654C2C"/>
    <w:rsid w:val="00666F44"/>
    <w:rsid w:val="0067703C"/>
    <w:rsid w:val="006770D5"/>
    <w:rsid w:val="00680DC8"/>
    <w:rsid w:val="0068671D"/>
    <w:rsid w:val="006875CB"/>
    <w:rsid w:val="006A0794"/>
    <w:rsid w:val="006A342D"/>
    <w:rsid w:val="006B4EDD"/>
    <w:rsid w:val="006D3DA3"/>
    <w:rsid w:val="006D51B2"/>
    <w:rsid w:val="006E1777"/>
    <w:rsid w:val="006F3C39"/>
    <w:rsid w:val="006F4B58"/>
    <w:rsid w:val="006F5E79"/>
    <w:rsid w:val="00700CD2"/>
    <w:rsid w:val="00702691"/>
    <w:rsid w:val="00710AC9"/>
    <w:rsid w:val="00710ED9"/>
    <w:rsid w:val="00726FAD"/>
    <w:rsid w:val="00727B2C"/>
    <w:rsid w:val="0073723E"/>
    <w:rsid w:val="007403F6"/>
    <w:rsid w:val="00746661"/>
    <w:rsid w:val="00752797"/>
    <w:rsid w:val="00753CBF"/>
    <w:rsid w:val="00755908"/>
    <w:rsid w:val="00762CD8"/>
    <w:rsid w:val="00773D41"/>
    <w:rsid w:val="00780CC4"/>
    <w:rsid w:val="00794396"/>
    <w:rsid w:val="007B1A94"/>
    <w:rsid w:val="007B4773"/>
    <w:rsid w:val="007C1664"/>
    <w:rsid w:val="007C4BEE"/>
    <w:rsid w:val="007C770B"/>
    <w:rsid w:val="007D4F6D"/>
    <w:rsid w:val="007F497B"/>
    <w:rsid w:val="007F5360"/>
    <w:rsid w:val="007F58C1"/>
    <w:rsid w:val="007F67A7"/>
    <w:rsid w:val="00806330"/>
    <w:rsid w:val="00810289"/>
    <w:rsid w:val="00816872"/>
    <w:rsid w:val="00816CEA"/>
    <w:rsid w:val="00830F3E"/>
    <w:rsid w:val="00835E0B"/>
    <w:rsid w:val="00836A23"/>
    <w:rsid w:val="00850505"/>
    <w:rsid w:val="008523D5"/>
    <w:rsid w:val="00854E38"/>
    <w:rsid w:val="00855226"/>
    <w:rsid w:val="00870B8C"/>
    <w:rsid w:val="00877D4F"/>
    <w:rsid w:val="00885E40"/>
    <w:rsid w:val="00886AD4"/>
    <w:rsid w:val="0088761E"/>
    <w:rsid w:val="00887FDC"/>
    <w:rsid w:val="008A0BB2"/>
    <w:rsid w:val="008A7A34"/>
    <w:rsid w:val="008B47CA"/>
    <w:rsid w:val="008C29FE"/>
    <w:rsid w:val="008C7B4E"/>
    <w:rsid w:val="008D4093"/>
    <w:rsid w:val="008E0543"/>
    <w:rsid w:val="008E14E4"/>
    <w:rsid w:val="008E5E77"/>
    <w:rsid w:val="008E6514"/>
    <w:rsid w:val="008F2E9C"/>
    <w:rsid w:val="008F31D1"/>
    <w:rsid w:val="008F6F24"/>
    <w:rsid w:val="00905DED"/>
    <w:rsid w:val="0091116B"/>
    <w:rsid w:val="00914BE2"/>
    <w:rsid w:val="00920FE6"/>
    <w:rsid w:val="0092138A"/>
    <w:rsid w:val="00921CE0"/>
    <w:rsid w:val="00936D99"/>
    <w:rsid w:val="00941B9C"/>
    <w:rsid w:val="00944179"/>
    <w:rsid w:val="00953BD1"/>
    <w:rsid w:val="009547C3"/>
    <w:rsid w:val="00963BF5"/>
    <w:rsid w:val="009676AD"/>
    <w:rsid w:val="00971736"/>
    <w:rsid w:val="00973148"/>
    <w:rsid w:val="009A754D"/>
    <w:rsid w:val="009B1F37"/>
    <w:rsid w:val="009B40D0"/>
    <w:rsid w:val="009C7073"/>
    <w:rsid w:val="009C74CC"/>
    <w:rsid w:val="009D0BAC"/>
    <w:rsid w:val="009D13A4"/>
    <w:rsid w:val="009D4DD5"/>
    <w:rsid w:val="009E267B"/>
    <w:rsid w:val="009F0F05"/>
    <w:rsid w:val="009F466D"/>
    <w:rsid w:val="009F5D06"/>
    <w:rsid w:val="00A00B36"/>
    <w:rsid w:val="00A023FA"/>
    <w:rsid w:val="00A20AC7"/>
    <w:rsid w:val="00A22294"/>
    <w:rsid w:val="00A27EAE"/>
    <w:rsid w:val="00A35E59"/>
    <w:rsid w:val="00A51701"/>
    <w:rsid w:val="00A53478"/>
    <w:rsid w:val="00A561FF"/>
    <w:rsid w:val="00A75354"/>
    <w:rsid w:val="00A82159"/>
    <w:rsid w:val="00A90972"/>
    <w:rsid w:val="00AA0DEB"/>
    <w:rsid w:val="00AA3C46"/>
    <w:rsid w:val="00AA445D"/>
    <w:rsid w:val="00AD02EE"/>
    <w:rsid w:val="00AF22A7"/>
    <w:rsid w:val="00B002EA"/>
    <w:rsid w:val="00B016A6"/>
    <w:rsid w:val="00B1113A"/>
    <w:rsid w:val="00B11199"/>
    <w:rsid w:val="00B2210E"/>
    <w:rsid w:val="00B30AC9"/>
    <w:rsid w:val="00B320A9"/>
    <w:rsid w:val="00B36AD8"/>
    <w:rsid w:val="00B422C4"/>
    <w:rsid w:val="00B5177C"/>
    <w:rsid w:val="00B55BBD"/>
    <w:rsid w:val="00B66635"/>
    <w:rsid w:val="00B66DF7"/>
    <w:rsid w:val="00B72D06"/>
    <w:rsid w:val="00B730C4"/>
    <w:rsid w:val="00B74C8B"/>
    <w:rsid w:val="00B80F13"/>
    <w:rsid w:val="00B96C67"/>
    <w:rsid w:val="00BD3169"/>
    <w:rsid w:val="00BD66C4"/>
    <w:rsid w:val="00BD7D24"/>
    <w:rsid w:val="00BE360A"/>
    <w:rsid w:val="00BE7AF6"/>
    <w:rsid w:val="00BF5E45"/>
    <w:rsid w:val="00BF7B8E"/>
    <w:rsid w:val="00C0277C"/>
    <w:rsid w:val="00C300D5"/>
    <w:rsid w:val="00C30A1D"/>
    <w:rsid w:val="00C36E40"/>
    <w:rsid w:val="00C4489F"/>
    <w:rsid w:val="00C52B07"/>
    <w:rsid w:val="00C53CDE"/>
    <w:rsid w:val="00C55709"/>
    <w:rsid w:val="00C66AF0"/>
    <w:rsid w:val="00C75F36"/>
    <w:rsid w:val="00C854C0"/>
    <w:rsid w:val="00C906F6"/>
    <w:rsid w:val="00C9610E"/>
    <w:rsid w:val="00CA6327"/>
    <w:rsid w:val="00CB0197"/>
    <w:rsid w:val="00CB490C"/>
    <w:rsid w:val="00CC0789"/>
    <w:rsid w:val="00CD1C06"/>
    <w:rsid w:val="00CD2A11"/>
    <w:rsid w:val="00CD2BF0"/>
    <w:rsid w:val="00CD4A08"/>
    <w:rsid w:val="00CE3143"/>
    <w:rsid w:val="00CE33A3"/>
    <w:rsid w:val="00CE51A5"/>
    <w:rsid w:val="00CE7C75"/>
    <w:rsid w:val="00CF6CE2"/>
    <w:rsid w:val="00D13DB7"/>
    <w:rsid w:val="00D14199"/>
    <w:rsid w:val="00D14FD4"/>
    <w:rsid w:val="00D204D5"/>
    <w:rsid w:val="00D24A45"/>
    <w:rsid w:val="00D26D24"/>
    <w:rsid w:val="00D34BEE"/>
    <w:rsid w:val="00D36DFD"/>
    <w:rsid w:val="00D50CA1"/>
    <w:rsid w:val="00D7565B"/>
    <w:rsid w:val="00D75D0D"/>
    <w:rsid w:val="00D77060"/>
    <w:rsid w:val="00D83BF5"/>
    <w:rsid w:val="00D96BB2"/>
    <w:rsid w:val="00DA71C2"/>
    <w:rsid w:val="00DB3FA3"/>
    <w:rsid w:val="00DC353A"/>
    <w:rsid w:val="00DC3A19"/>
    <w:rsid w:val="00DC68A1"/>
    <w:rsid w:val="00DD5D61"/>
    <w:rsid w:val="00DE5785"/>
    <w:rsid w:val="00DF2C53"/>
    <w:rsid w:val="00E029FC"/>
    <w:rsid w:val="00E031A0"/>
    <w:rsid w:val="00E052B4"/>
    <w:rsid w:val="00E13F99"/>
    <w:rsid w:val="00E15A23"/>
    <w:rsid w:val="00E16705"/>
    <w:rsid w:val="00E2431D"/>
    <w:rsid w:val="00E320EF"/>
    <w:rsid w:val="00E41BFC"/>
    <w:rsid w:val="00E43798"/>
    <w:rsid w:val="00E43BCC"/>
    <w:rsid w:val="00E44AE6"/>
    <w:rsid w:val="00E475B8"/>
    <w:rsid w:val="00E64B21"/>
    <w:rsid w:val="00E6553F"/>
    <w:rsid w:val="00E70E13"/>
    <w:rsid w:val="00E71117"/>
    <w:rsid w:val="00E77B40"/>
    <w:rsid w:val="00E82BF7"/>
    <w:rsid w:val="00E90CB1"/>
    <w:rsid w:val="00E93382"/>
    <w:rsid w:val="00E942E9"/>
    <w:rsid w:val="00EA3E45"/>
    <w:rsid w:val="00EB47EC"/>
    <w:rsid w:val="00EC1B99"/>
    <w:rsid w:val="00EC39B1"/>
    <w:rsid w:val="00ED2944"/>
    <w:rsid w:val="00EE3616"/>
    <w:rsid w:val="00EF054A"/>
    <w:rsid w:val="00EF214D"/>
    <w:rsid w:val="00EF35E6"/>
    <w:rsid w:val="00F019BF"/>
    <w:rsid w:val="00F066D9"/>
    <w:rsid w:val="00F20ADF"/>
    <w:rsid w:val="00F242E8"/>
    <w:rsid w:val="00F37430"/>
    <w:rsid w:val="00F54C95"/>
    <w:rsid w:val="00F56428"/>
    <w:rsid w:val="00F64F83"/>
    <w:rsid w:val="00F65BBF"/>
    <w:rsid w:val="00F729CA"/>
    <w:rsid w:val="00F75FDC"/>
    <w:rsid w:val="00F81FC3"/>
    <w:rsid w:val="00F843FA"/>
    <w:rsid w:val="00F8522A"/>
    <w:rsid w:val="00F900DD"/>
    <w:rsid w:val="00FA5E0E"/>
    <w:rsid w:val="00FA7354"/>
    <w:rsid w:val="00FA7489"/>
    <w:rsid w:val="00FB25E3"/>
    <w:rsid w:val="00FC4B57"/>
    <w:rsid w:val="00FD4662"/>
    <w:rsid w:val="00FD7BFA"/>
    <w:rsid w:val="00FF76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12D67AB-F462-4AEB-93F7-A2C1A733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147E8"/>
    <w:pPr>
      <w:spacing w:after="200" w:line="276" w:lineRule="auto"/>
    </w:pPr>
    <w:rPr>
      <w:sz w:val="22"/>
      <w:szCs w:val="22"/>
      <w:lang w:eastAsia="en-US"/>
    </w:rPr>
  </w:style>
  <w:style w:type="paragraph" w:styleId="Otsikko1">
    <w:name w:val="heading 1"/>
    <w:basedOn w:val="Normaali"/>
    <w:next w:val="Normaali"/>
    <w:link w:val="Otsikko1Char"/>
    <w:uiPriority w:val="9"/>
    <w:rsid w:val="007C770B"/>
    <w:pPr>
      <w:keepNext/>
      <w:keepLines/>
      <w:spacing w:before="480" w:after="0"/>
      <w:outlineLvl w:val="0"/>
    </w:pPr>
    <w:rPr>
      <w:rFonts w:eastAsia="Times New Roman"/>
      <w:b/>
      <w:bCs/>
      <w:color w:val="002962"/>
      <w:sz w:val="28"/>
      <w:szCs w:val="28"/>
    </w:rPr>
  </w:style>
  <w:style w:type="paragraph" w:styleId="Otsikko2">
    <w:name w:val="heading 2"/>
    <w:basedOn w:val="Normaali"/>
    <w:next w:val="Normaali"/>
    <w:link w:val="Otsikko2Char"/>
    <w:uiPriority w:val="9"/>
    <w:semiHidden/>
    <w:unhideWhenUsed/>
    <w:rsid w:val="007C770B"/>
    <w:pPr>
      <w:keepNext/>
      <w:keepLines/>
      <w:spacing w:before="200" w:after="0"/>
      <w:outlineLvl w:val="1"/>
    </w:pPr>
    <w:rPr>
      <w:rFonts w:eastAsia="Times New Roman"/>
      <w:b/>
      <w:bCs/>
      <w:color w:val="4460A5"/>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
    <w:basedOn w:val="Normaali"/>
    <w:link w:val="YltunnisteChar"/>
    <w:uiPriority w:val="99"/>
    <w:unhideWhenUsed/>
    <w:qFormat/>
    <w:rsid w:val="000D6D96"/>
    <w:pPr>
      <w:tabs>
        <w:tab w:val="center" w:pos="4819"/>
        <w:tab w:val="right" w:pos="9638"/>
      </w:tabs>
      <w:spacing w:after="0" w:line="240" w:lineRule="auto"/>
    </w:pPr>
  </w:style>
  <w:style w:type="character" w:customStyle="1" w:styleId="YltunnisteChar">
    <w:name w:val="Ylätunniste Char"/>
    <w:aliases w:val="AVI ja ELY_Ylätunniste Char"/>
    <w:basedOn w:val="Kappaleenoletusfontti"/>
    <w:link w:val="Yltunniste"/>
    <w:uiPriority w:val="99"/>
    <w:rsid w:val="000D6D96"/>
  </w:style>
  <w:style w:type="paragraph" w:styleId="Alatunniste">
    <w:name w:val="footer"/>
    <w:basedOn w:val="Normaali"/>
    <w:link w:val="AlatunnisteChar"/>
    <w:unhideWhenUsed/>
    <w:rsid w:val="00E2431D"/>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E2431D"/>
    <w:rPr>
      <w:rFonts w:ascii="Arial" w:eastAsia="Arial" w:hAnsi="Arial" w:cs="Times New Roman"/>
      <w:b/>
      <w:sz w:val="18"/>
      <w:szCs w:val="18"/>
      <w:lang w:eastAsia="en-US"/>
    </w:rPr>
  </w:style>
  <w:style w:type="paragraph" w:customStyle="1" w:styleId="ELYYltunniste">
    <w:name w:val="ELY_Ylätunniste"/>
    <w:rsid w:val="00300FBB"/>
    <w:pPr>
      <w:tabs>
        <w:tab w:val="left" w:pos="1304"/>
        <w:tab w:val="left" w:pos="2608"/>
        <w:tab w:val="left" w:pos="3912"/>
        <w:tab w:val="left" w:pos="5216"/>
        <w:tab w:val="left" w:pos="6521"/>
        <w:tab w:val="left" w:pos="7825"/>
        <w:tab w:val="left" w:pos="9129"/>
      </w:tabs>
    </w:pPr>
    <w:rPr>
      <w:rFonts w:eastAsia="Times New Roman"/>
      <w:sz w:val="24"/>
      <w:szCs w:val="24"/>
    </w:rPr>
  </w:style>
  <w:style w:type="paragraph" w:customStyle="1" w:styleId="AVIjaELYRiippuva">
    <w:name w:val="AVI ja ELY_Riippuva"/>
    <w:basedOn w:val="AVIjaELYleipteksti"/>
    <w:next w:val="AVIjaELYleipteksti"/>
    <w:qFormat/>
    <w:rsid w:val="007C770B"/>
    <w:pPr>
      <w:ind w:right="305"/>
    </w:pPr>
    <w:rPr>
      <w:rFonts w:cs="Arial"/>
      <w:szCs w:val="22"/>
    </w:rPr>
  </w:style>
  <w:style w:type="paragraph" w:customStyle="1" w:styleId="AVIjaELYNormaaliSisentmtn">
    <w:name w:val="AVI ja ELY_Normaali_Sisentämätön"/>
    <w:link w:val="AVIjaELYNormaaliSisentmtnChar"/>
    <w:qFormat/>
    <w:rsid w:val="00424AD6"/>
    <w:rPr>
      <w:rFonts w:eastAsia="Times New Roman"/>
      <w:sz w:val="22"/>
      <w:szCs w:val="22"/>
    </w:rPr>
  </w:style>
  <w:style w:type="paragraph" w:customStyle="1" w:styleId="AVIjaELYleipteksti">
    <w:name w:val="AVI ja ELY_leipäteksti"/>
    <w:basedOn w:val="AVIjaELYNormaaliSisentmtn"/>
    <w:qFormat/>
    <w:rsid w:val="00D24A45"/>
    <w:pPr>
      <w:spacing w:after="200" w:line="276" w:lineRule="auto"/>
      <w:ind w:left="2608"/>
    </w:pPr>
    <w:rPr>
      <w:szCs w:val="24"/>
    </w:rPr>
  </w:style>
  <w:style w:type="paragraph" w:customStyle="1" w:styleId="AVIjaELYOtsikko1">
    <w:name w:val="AVI ja ELY_Otsikko 1"/>
    <w:next w:val="Normaali"/>
    <w:qFormat/>
    <w:rsid w:val="00424AD6"/>
    <w:pPr>
      <w:keepNext/>
      <w:spacing w:before="320" w:after="200"/>
      <w:ind w:right="305"/>
      <w:outlineLvl w:val="0"/>
    </w:pPr>
    <w:rPr>
      <w:rFonts w:eastAsia="Times New Roman" w:cs="Arial"/>
      <w:b/>
      <w:bCs/>
      <w:kern w:val="32"/>
      <w:sz w:val="26"/>
      <w:szCs w:val="26"/>
    </w:rPr>
  </w:style>
  <w:style w:type="character" w:customStyle="1" w:styleId="Otsikko1Char">
    <w:name w:val="Otsikko 1 Char"/>
    <w:basedOn w:val="Kappaleenoletusfontti"/>
    <w:link w:val="Otsikko1"/>
    <w:uiPriority w:val="9"/>
    <w:rsid w:val="007C770B"/>
    <w:rPr>
      <w:rFonts w:ascii="Arial" w:eastAsia="Times New Roman" w:hAnsi="Arial" w:cs="Times New Roman"/>
      <w:b/>
      <w:bCs/>
      <w:color w:val="002962"/>
      <w:sz w:val="28"/>
      <w:szCs w:val="28"/>
    </w:rPr>
  </w:style>
  <w:style w:type="character" w:customStyle="1" w:styleId="Otsikko2Char">
    <w:name w:val="Otsikko 2 Char"/>
    <w:basedOn w:val="Kappaleenoletusfontti"/>
    <w:link w:val="Otsikko2"/>
    <w:uiPriority w:val="9"/>
    <w:semiHidden/>
    <w:rsid w:val="007C770B"/>
    <w:rPr>
      <w:rFonts w:ascii="Arial" w:eastAsia="Times New Roman" w:hAnsi="Arial" w:cs="Times New Roman"/>
      <w:b/>
      <w:bCs/>
      <w:color w:val="4460A5"/>
      <w:sz w:val="26"/>
      <w:szCs w:val="26"/>
    </w:rPr>
  </w:style>
  <w:style w:type="paragraph" w:styleId="Otsikko">
    <w:name w:val="Title"/>
    <w:basedOn w:val="Normaali"/>
    <w:next w:val="Normaali"/>
    <w:link w:val="OtsikkoChar"/>
    <w:uiPriority w:val="10"/>
    <w:rsid w:val="007C770B"/>
    <w:pPr>
      <w:pBdr>
        <w:bottom w:val="single" w:sz="8" w:space="4" w:color="D9640C"/>
      </w:pBdr>
      <w:spacing w:after="300" w:line="240" w:lineRule="auto"/>
      <w:contextualSpacing/>
    </w:pPr>
    <w:rPr>
      <w:rFonts w:eastAsia="Times New Roman"/>
      <w:color w:val="003883"/>
      <w:spacing w:val="5"/>
      <w:kern w:val="28"/>
      <w:sz w:val="52"/>
      <w:szCs w:val="52"/>
    </w:rPr>
  </w:style>
  <w:style w:type="character" w:customStyle="1" w:styleId="OtsikkoChar">
    <w:name w:val="Otsikko Char"/>
    <w:basedOn w:val="Kappaleenoletusfontti"/>
    <w:link w:val="Otsikko"/>
    <w:uiPriority w:val="10"/>
    <w:rsid w:val="007C770B"/>
    <w:rPr>
      <w:rFonts w:ascii="Arial" w:eastAsia="Times New Roman" w:hAnsi="Arial" w:cs="Times New Roman"/>
      <w:color w:val="003883"/>
      <w:spacing w:val="5"/>
      <w:kern w:val="28"/>
      <w:sz w:val="52"/>
      <w:szCs w:val="52"/>
    </w:rPr>
  </w:style>
  <w:style w:type="paragraph" w:styleId="Alaotsikko">
    <w:name w:val="Subtitle"/>
    <w:basedOn w:val="Normaali"/>
    <w:next w:val="Normaali"/>
    <w:link w:val="AlaotsikkoChar"/>
    <w:uiPriority w:val="11"/>
    <w:rsid w:val="007C770B"/>
    <w:pPr>
      <w:numPr>
        <w:ilvl w:val="1"/>
      </w:numPr>
    </w:pPr>
    <w:rPr>
      <w:rFonts w:eastAsia="Times New Roman"/>
      <w:i/>
      <w:iCs/>
      <w:color w:val="000000"/>
      <w:spacing w:val="15"/>
      <w:sz w:val="24"/>
      <w:szCs w:val="24"/>
    </w:rPr>
  </w:style>
  <w:style w:type="character" w:customStyle="1" w:styleId="AlaotsikkoChar">
    <w:name w:val="Alaotsikko Char"/>
    <w:basedOn w:val="Kappaleenoletusfontti"/>
    <w:link w:val="Alaotsikko"/>
    <w:uiPriority w:val="11"/>
    <w:rsid w:val="007C770B"/>
    <w:rPr>
      <w:rFonts w:ascii="Arial" w:eastAsia="Times New Roman" w:hAnsi="Arial" w:cs="Times New Roman"/>
      <w:i/>
      <w:iCs/>
      <w:color w:val="000000"/>
      <w:spacing w:val="15"/>
      <w:sz w:val="24"/>
      <w:szCs w:val="24"/>
    </w:rPr>
  </w:style>
  <w:style w:type="character" w:styleId="Hienovarainenkorostus">
    <w:name w:val="Subtle Emphasis"/>
    <w:basedOn w:val="Kappaleenoletusfontti"/>
    <w:uiPriority w:val="19"/>
    <w:rsid w:val="007C770B"/>
    <w:rPr>
      <w:i/>
      <w:iCs/>
      <w:color w:val="808080"/>
    </w:rPr>
  </w:style>
  <w:style w:type="character" w:styleId="Korostus">
    <w:name w:val="Emphasis"/>
    <w:basedOn w:val="Kappaleenoletusfontti"/>
    <w:uiPriority w:val="20"/>
    <w:rsid w:val="007C770B"/>
    <w:rPr>
      <w:i/>
      <w:iCs/>
    </w:rPr>
  </w:style>
  <w:style w:type="character" w:styleId="Hyperlinkki">
    <w:name w:val="Hyperlink"/>
    <w:basedOn w:val="Kappaleenoletusfontti"/>
    <w:uiPriority w:val="99"/>
    <w:unhideWhenUsed/>
    <w:rsid w:val="00E2431D"/>
    <w:rPr>
      <w:color w:val="0000FF"/>
      <w:u w:val="single"/>
    </w:rPr>
  </w:style>
  <w:style w:type="paragraph" w:styleId="Seliteteksti">
    <w:name w:val="Balloon Text"/>
    <w:basedOn w:val="Normaali"/>
    <w:link w:val="SelitetekstiChar"/>
    <w:uiPriority w:val="99"/>
    <w:semiHidden/>
    <w:unhideWhenUsed/>
    <w:rsid w:val="001F2E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F2EAF"/>
    <w:rPr>
      <w:rFonts w:ascii="Tahoma" w:hAnsi="Tahoma" w:cs="Tahoma"/>
      <w:sz w:val="16"/>
      <w:szCs w:val="16"/>
      <w:lang w:eastAsia="en-US"/>
    </w:rPr>
  </w:style>
  <w:style w:type="paragraph" w:styleId="Asiakirjanrakenneruutu">
    <w:name w:val="Document Map"/>
    <w:basedOn w:val="Normaali"/>
    <w:link w:val="AsiakirjanrakenneruutuChar"/>
    <w:uiPriority w:val="99"/>
    <w:semiHidden/>
    <w:unhideWhenUsed/>
    <w:rsid w:val="008523D5"/>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8523D5"/>
    <w:rPr>
      <w:rFonts w:ascii="Tahoma" w:hAnsi="Tahoma" w:cs="Tahoma"/>
      <w:sz w:val="16"/>
      <w:szCs w:val="16"/>
      <w:lang w:eastAsia="en-US"/>
    </w:rPr>
  </w:style>
  <w:style w:type="table" w:styleId="TaulukkoRuudukko">
    <w:name w:val="Table Grid"/>
    <w:basedOn w:val="Normaalitaulukko"/>
    <w:uiPriority w:val="59"/>
    <w:rsid w:val="00C66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VIalatunniste">
    <w:name w:val="AVI alatunniste"/>
    <w:basedOn w:val="AVIjaELYNormaaliSisentmtn"/>
    <w:link w:val="AVIalatunnisteChar"/>
    <w:qFormat/>
    <w:rsid w:val="005715E4"/>
    <w:pPr>
      <w:tabs>
        <w:tab w:val="left" w:pos="3969"/>
        <w:tab w:val="left" w:pos="6521"/>
      </w:tabs>
    </w:pPr>
    <w:rPr>
      <w:rFonts w:cs="Arial"/>
      <w:color w:val="003883"/>
      <w:sz w:val="18"/>
      <w:szCs w:val="20"/>
    </w:rPr>
  </w:style>
  <w:style w:type="character" w:customStyle="1" w:styleId="AVIjaELYNormaaliSisentmtnChar">
    <w:name w:val="AVI ja ELY_Normaali_Sisentämätön Char"/>
    <w:basedOn w:val="Kappaleenoletusfontti"/>
    <w:link w:val="AVIjaELYNormaaliSisentmtn"/>
    <w:rsid w:val="00C0277C"/>
    <w:rPr>
      <w:rFonts w:eastAsia="Times New Roman"/>
      <w:sz w:val="22"/>
      <w:szCs w:val="22"/>
      <w:lang w:val="fi-FI" w:eastAsia="fi-FI" w:bidi="ar-SA"/>
    </w:rPr>
  </w:style>
  <w:style w:type="character" w:customStyle="1" w:styleId="AVIalatunnisteChar">
    <w:name w:val="AVI alatunniste Char"/>
    <w:basedOn w:val="AVIjaELYNormaaliSisentmtnChar"/>
    <w:link w:val="AVIalatunniste"/>
    <w:rsid w:val="005715E4"/>
    <w:rPr>
      <w:rFonts w:eastAsia="Times New Roman" w:cs="Arial"/>
      <w:color w:val="003883"/>
      <w:sz w:val="18"/>
      <w:szCs w:val="22"/>
      <w:lang w:val="fi-FI" w:eastAsia="fi-FI" w:bidi="ar-SA"/>
    </w:rPr>
  </w:style>
  <w:style w:type="paragraph" w:styleId="Vaintekstin">
    <w:name w:val="Plain Text"/>
    <w:basedOn w:val="Normaali"/>
    <w:link w:val="VaintekstinChar"/>
    <w:uiPriority w:val="99"/>
    <w:unhideWhenUsed/>
    <w:rsid w:val="00FA7354"/>
    <w:pPr>
      <w:spacing w:after="0" w:line="240" w:lineRule="auto"/>
    </w:pPr>
    <w:rPr>
      <w:rFonts w:ascii="Consolas" w:eastAsia="Calibri" w:hAnsi="Consolas"/>
      <w:sz w:val="21"/>
      <w:szCs w:val="21"/>
    </w:rPr>
  </w:style>
  <w:style w:type="character" w:customStyle="1" w:styleId="VaintekstinChar">
    <w:name w:val="Vain tekstinä Char"/>
    <w:basedOn w:val="Kappaleenoletusfontti"/>
    <w:link w:val="Vaintekstin"/>
    <w:uiPriority w:val="99"/>
    <w:rsid w:val="00FA7354"/>
    <w:rPr>
      <w:rFonts w:ascii="Consolas" w:eastAsia="Calibri" w:hAnsi="Consolas"/>
      <w:sz w:val="21"/>
      <w:szCs w:val="21"/>
      <w:lang w:eastAsia="en-US"/>
    </w:rPr>
  </w:style>
  <w:style w:type="paragraph" w:customStyle="1" w:styleId="Default">
    <w:name w:val="Default"/>
    <w:basedOn w:val="Normaali"/>
    <w:uiPriority w:val="99"/>
    <w:rsid w:val="00B1113A"/>
    <w:pPr>
      <w:autoSpaceDE w:val="0"/>
      <w:autoSpaceDN w:val="0"/>
      <w:spacing w:after="0" w:line="240" w:lineRule="auto"/>
    </w:pPr>
    <w:rPr>
      <w:rFonts w:ascii="Times New Roman" w:eastAsia="Calibri" w:hAnsi="Times New Roman"/>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953">
      <w:bodyDiv w:val="1"/>
      <w:marLeft w:val="0"/>
      <w:marRight w:val="0"/>
      <w:marTop w:val="0"/>
      <w:marBottom w:val="0"/>
      <w:divBdr>
        <w:top w:val="none" w:sz="0" w:space="0" w:color="auto"/>
        <w:left w:val="none" w:sz="0" w:space="0" w:color="auto"/>
        <w:bottom w:val="none" w:sz="0" w:space="0" w:color="auto"/>
        <w:right w:val="none" w:sz="0" w:space="0" w:color="auto"/>
      </w:divBdr>
    </w:div>
    <w:div w:id="493183970">
      <w:bodyDiv w:val="1"/>
      <w:marLeft w:val="0"/>
      <w:marRight w:val="0"/>
      <w:marTop w:val="0"/>
      <w:marBottom w:val="0"/>
      <w:divBdr>
        <w:top w:val="none" w:sz="0" w:space="0" w:color="auto"/>
        <w:left w:val="none" w:sz="0" w:space="0" w:color="auto"/>
        <w:bottom w:val="none" w:sz="0" w:space="0" w:color="auto"/>
        <w:right w:val="none" w:sz="0" w:space="0" w:color="auto"/>
      </w:divBdr>
    </w:div>
    <w:div w:id="539971790">
      <w:bodyDiv w:val="1"/>
      <w:marLeft w:val="0"/>
      <w:marRight w:val="0"/>
      <w:marTop w:val="0"/>
      <w:marBottom w:val="0"/>
      <w:divBdr>
        <w:top w:val="none" w:sz="0" w:space="0" w:color="auto"/>
        <w:left w:val="none" w:sz="0" w:space="0" w:color="auto"/>
        <w:bottom w:val="none" w:sz="0" w:space="0" w:color="auto"/>
        <w:right w:val="none" w:sz="0" w:space="0" w:color="auto"/>
      </w:divBdr>
    </w:div>
    <w:div w:id="620452276">
      <w:bodyDiv w:val="1"/>
      <w:marLeft w:val="0"/>
      <w:marRight w:val="0"/>
      <w:marTop w:val="0"/>
      <w:marBottom w:val="0"/>
      <w:divBdr>
        <w:top w:val="none" w:sz="0" w:space="0" w:color="auto"/>
        <w:left w:val="none" w:sz="0" w:space="0" w:color="auto"/>
        <w:bottom w:val="none" w:sz="0" w:space="0" w:color="auto"/>
        <w:right w:val="none" w:sz="0" w:space="0" w:color="auto"/>
      </w:divBdr>
    </w:div>
    <w:div w:id="1529566689">
      <w:bodyDiv w:val="1"/>
      <w:marLeft w:val="0"/>
      <w:marRight w:val="0"/>
      <w:marTop w:val="0"/>
      <w:marBottom w:val="0"/>
      <w:divBdr>
        <w:top w:val="none" w:sz="0" w:space="0" w:color="auto"/>
        <w:left w:val="none" w:sz="0" w:space="0" w:color="auto"/>
        <w:bottom w:val="none" w:sz="0" w:space="0" w:color="auto"/>
        <w:right w:val="none" w:sz="0" w:space="0" w:color="auto"/>
      </w:divBdr>
    </w:div>
    <w:div w:id="15810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lh.pekkola.vesa\My%20Documents\ESAVI_Kirjelomake_suom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ulkaisija2 xmlns="4a1d6e0c-7557-46da-a33c-995433f3b5ce"/>
    <Organisaatio xmlns="4a1d6e0c-7557-46da-a33c-995433f3b5ce" xsi:nil="true"/>
    <Varsinainen_x0020_tekijä xmlns="4a1d6e0c-7557-46da-a33c-995433f3b5ce" xsi:nil="true"/>
    <Aihealue xmlns="4a1d6e0c-7557-46da-a33c-995433f3b5ce">Henkilöstö</Aihealue>
    <Dokumenttityyppi xmlns="4a1d6e0c-7557-46da-a33c-995433f3b5ce">Asettamiskirje</Dokumenttityyppi>
    <Ty_x00f6_ryhm_x00e4_0 xmlns="1a2de63a-beec-401c-8894-fdad6f4235b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05D6628ECF47148B5F067B542B3045E" ma:contentTypeVersion="9" ma:contentTypeDescription="Luo uusi asiakirja." ma:contentTypeScope="" ma:versionID="b7bceed570ef1cc603b33b04e1df7ca2">
  <xsd:schema xmlns:xsd="http://www.w3.org/2001/XMLSchema" xmlns:p="http://schemas.microsoft.com/office/2006/metadata/properties" xmlns:ns2="4a1d6e0c-7557-46da-a33c-995433f3b5ce" xmlns:ns3="1a2de63a-beec-401c-8894-fdad6f4235b0" targetNamespace="http://schemas.microsoft.com/office/2006/metadata/properties" ma:root="true" ma:fieldsID="8bcdfa305cf3abafcbeca1751b68c15b" ns2:_="" ns3:_="">
    <xsd:import namespace="4a1d6e0c-7557-46da-a33c-995433f3b5ce"/>
    <xsd:import namespace="1a2de63a-beec-401c-8894-fdad6f4235b0"/>
    <xsd:element name="properties">
      <xsd:complexType>
        <xsd:sequence>
          <xsd:element name="documentManagement">
            <xsd:complexType>
              <xsd:all>
                <xsd:element ref="ns2:Dokumenttityyppi"/>
                <xsd:element ref="ns2:Julkaisija2" minOccurs="0"/>
                <xsd:element ref="ns2:Organisaatio" minOccurs="0"/>
                <xsd:element ref="ns2:Varsinainen_x0020_tekijä" minOccurs="0"/>
                <xsd:element ref="ns2:Aihealue" minOccurs="0"/>
                <xsd:element ref="ns3:Ty_x00f6_ryhm_x00e4_0" minOccurs="0"/>
              </xsd:all>
            </xsd:complexType>
          </xsd:element>
        </xsd:sequence>
      </xsd:complexType>
    </xsd:element>
  </xsd:schema>
  <xsd:schema xmlns:xsd="http://www.w3.org/2001/XMLSchema" xmlns:dms="http://schemas.microsoft.com/office/2006/documentManagement/types" targetNamespace="4a1d6e0c-7557-46da-a33c-995433f3b5ce" elementFormDefault="qualified">
    <xsd:import namespace="http://schemas.microsoft.com/office/2006/documentManagement/types"/>
    <xsd:element name="Dokumenttityyppi" ma:index="8" ma:displayName="Dokumenttityyppi" ma:default="Asettamiskirje" ma:format="Dropdown" ma:internalName="Dokumenttityyppi">
      <xsd:simpleType>
        <xsd:restriction base="dms:Choice">
          <xsd:enumeration value="Asettamiskirje"/>
          <xsd:enumeration value="Esite"/>
          <xsd:enumeration value="Esityslista"/>
          <xsd:enumeration value="Esitysmateriaali"/>
          <xsd:enumeration value="Julkaisu"/>
          <xsd:enumeration value="Kartta"/>
          <xsd:enumeration value="Kirje"/>
          <xsd:enumeration value="Kutsu"/>
          <xsd:enumeration value="Kuva"/>
          <xsd:enumeration value="Lausunto"/>
          <xsd:enumeration value="Lausuntopyyntö"/>
          <xsd:enumeration value="Liite"/>
          <xsd:enumeration value="Lomake"/>
          <xsd:enumeration value="Luokittelematon"/>
          <xsd:enumeration value="Muistio"/>
          <xsd:enumeration value="Määräys"/>
          <xsd:enumeration value="Ohje"/>
          <xsd:enumeration value="Päätös"/>
          <xsd:enumeration value="Pöytäkirja"/>
          <xsd:enumeration value="Raportti"/>
          <xsd:enumeration value="Tiedote"/>
          <xsd:enumeration value="Tilasto"/>
          <xsd:enumeration value="Uutinen"/>
        </xsd:restriction>
      </xsd:simpleType>
    </xsd:element>
    <xsd:element name="Julkaisija2" ma:index="9" nillable="true" ma:displayName="Julkaisija organisaatio" ma:default="" ma:internalName="Julkaisija2">
      <xsd:complexType>
        <xsd:complexContent>
          <xsd:extension base="dms:MultiChoice">
            <xsd:sequence>
              <xsd:element name="Value" maxOccurs="unbounded" minOccurs="0" nillable="true">
                <xsd:simpleType>
                  <xsd:restriction base="dms:Choice">
                    <xsd:enumeration value="LVM"/>
                    <xsd:enumeration value="MMM"/>
                    <xsd:enumeration value="OM"/>
                    <xsd:enumeration value="OPM"/>
                    <xsd:enumeration value="SM"/>
                    <xsd:enumeration value="STM"/>
                    <xsd:enumeration value="TEM"/>
                    <xsd:enumeration value="VM"/>
                    <xsd:enumeration value="YM"/>
                    <xsd:enumeration value="E-S AVI"/>
                    <xsd:enumeration value="I-S AVI"/>
                    <xsd:enumeration value="L-AVI"/>
                    <xsd:enumeration value="L-S AVI"/>
                    <xsd:enumeration value="L-S-S AVI"/>
                    <xsd:enumeration value="P-S AVI"/>
                    <xsd:enumeration value="E-P ELY"/>
                    <xsd:enumeration value="E-S ELY"/>
                    <xsd:enumeration value="H-ELY"/>
                    <xsd:enumeration value="KA-S ELY"/>
                    <xsd:enumeration value="K-ELY"/>
                    <xsd:enumeration value="KE-S ELY"/>
                    <xsd:enumeration value="L-ELY"/>
                    <xsd:enumeration value="PI-ELY"/>
                    <xsd:enumeration value="PO-ELY"/>
                    <xsd:enumeration value="P-K ELY"/>
                    <xsd:enumeration value="P-P ELY"/>
                    <xsd:enumeration value="P-S ELY"/>
                    <xsd:enumeration value="S-ELY"/>
                    <xsd:enumeration value="U-ELY"/>
                    <xsd:enumeration value="V-S ELY"/>
                  </xsd:restriction>
                </xsd:simpleType>
              </xsd:element>
            </xsd:sequence>
          </xsd:extension>
        </xsd:complexContent>
      </xsd:complexType>
    </xsd:element>
    <xsd:element name="Organisaatio" ma:index="10" nillable="true" ma:displayName="Organisaatio" ma:internalName="Organisaatio">
      <xsd:simpleType>
        <xsd:restriction base="dms:Text">
          <xsd:maxLength value="255"/>
        </xsd:restriction>
      </xsd:simpleType>
    </xsd:element>
    <xsd:element name="Varsinainen_x0020_tekijä" ma:index="11" nillable="true" ma:displayName="Varsinainen tekijä" ma:default="" ma:internalName="Varsinainen_x0020_tekij_x00e4_">
      <xsd:simpleType>
        <xsd:restriction base="dms:Text">
          <xsd:maxLength value="255"/>
        </xsd:restriction>
      </xsd:simpleType>
    </xsd:element>
    <xsd:element name="Aihealue" ma:index="12" nillable="true" ma:displayName="Aihealue" ma:default="Henkilöstö" ma:format="Dropdown" ma:internalName="Aihealue">
      <xsd:simpleType>
        <xsd:restriction base="dms:Choice">
          <xsd:enumeration value="Henkilöstö"/>
          <xsd:enumeration value="Talous"/>
          <xsd:enumeration value="Viestintä"/>
          <xsd:enumeration value="Tietohallinto"/>
          <xsd:enumeration value="Toimitilat"/>
          <xsd:enumeration value="Ympäristöluvat"/>
          <xsd:enumeration value="EU-asiat"/>
          <xsd:enumeration value="Työsuojelu"/>
          <xsd:enumeration value="Organisaatio ja ohjaus"/>
          <xsd:enumeration value="Toiminnan suunnittelu"/>
          <xsd:enumeration value="Muu"/>
        </xsd:restriction>
      </xsd:simpleType>
    </xsd:element>
  </xsd:schema>
  <xsd:schema xmlns:xsd="http://www.w3.org/2001/XMLSchema" xmlns:dms="http://schemas.microsoft.com/office/2006/documentManagement/types" targetNamespace="1a2de63a-beec-401c-8894-fdad6f4235b0" elementFormDefault="qualified">
    <xsd:import namespace="http://schemas.microsoft.com/office/2006/documentManagement/types"/>
    <xsd:element name="Ty_x00f6_ryhm_x00e4_0" ma:index="13" nillable="true" ma:displayName="Työryhmä" ma:description="ELYn tai AVIn työryhmä" ma:list="{c485ea29-4ae6-416a-a5a6-d5e561a8a64a}" ma:internalName="Ty_x00f6_ryhm_x00e4_0"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64202-DEC4-498F-A493-CF03D3EFF4E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1a2de63a-beec-401c-8894-fdad6f4235b0"/>
    <ds:schemaRef ds:uri="4a1d6e0c-7557-46da-a33c-995433f3b5ce"/>
    <ds:schemaRef ds:uri="http://www.w3.org/XML/1998/namespace"/>
    <ds:schemaRef ds:uri="http://purl.org/dc/dcmitype/"/>
  </ds:schemaRefs>
</ds:datastoreItem>
</file>

<file path=customXml/itemProps2.xml><?xml version="1.0" encoding="utf-8"?>
<ds:datastoreItem xmlns:ds="http://schemas.openxmlformats.org/officeDocument/2006/customXml" ds:itemID="{867B302A-ABD5-431F-93E5-3720FF01789C}">
  <ds:schemaRefs>
    <ds:schemaRef ds:uri="http://schemas.microsoft.com/sharepoint/v3/contenttype/forms"/>
  </ds:schemaRefs>
</ds:datastoreItem>
</file>

<file path=customXml/itemProps3.xml><?xml version="1.0" encoding="utf-8"?>
<ds:datastoreItem xmlns:ds="http://schemas.openxmlformats.org/officeDocument/2006/customXml" ds:itemID="{CB9278F6-F4DB-4831-88B6-712B77F9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d6e0c-7557-46da-a33c-995433f3b5ce"/>
    <ds:schemaRef ds:uri="1a2de63a-beec-401c-8894-fdad6f4235b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2552FC-F603-4FB7-8CE5-176E82BF19D8}">
  <ds:schemaRefs>
    <ds:schemaRef ds:uri="http://schemas.microsoft.com/office/2006/metadata/longProperties"/>
  </ds:schemaRefs>
</ds:datastoreItem>
</file>

<file path=customXml/itemProps5.xml><?xml version="1.0" encoding="utf-8"?>
<ds:datastoreItem xmlns:ds="http://schemas.openxmlformats.org/officeDocument/2006/customXml" ds:itemID="{A5BBF6BF-4343-4FE5-B222-EDD60398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ESAVI_Kirjelomake_suomi.dotx</Template>
  <TotalTime>0</TotalTime>
  <Pages>6</Pages>
  <Words>1805</Words>
  <Characters>14624</Characters>
  <Application>Microsoft Office Word</Application>
  <DocSecurity>4</DocSecurity>
  <Lines>121</Lines>
  <Paragraphs>32</Paragraphs>
  <ScaleCrop>false</ScaleCrop>
  <HeadingPairs>
    <vt:vector size="2" baseType="variant">
      <vt:variant>
        <vt:lpstr>Otsikko</vt:lpstr>
      </vt:variant>
      <vt:variant>
        <vt:i4>1</vt:i4>
      </vt:variant>
    </vt:vector>
  </HeadingPairs>
  <TitlesOfParts>
    <vt:vector size="1" baseType="lpstr">
      <vt:lpstr>Kirjelomake</vt:lpstr>
    </vt:vector>
  </TitlesOfParts>
  <Company>Aluehallinto</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Kirjelomake</dc:title>
  <dc:creator>eslh.pekkola.vesa</dc:creator>
  <cp:lastModifiedBy>EXT Ala-Piirto Anni</cp:lastModifiedBy>
  <cp:revision>2</cp:revision>
  <cp:lastPrinted>2013-11-21T10:14:00Z</cp:lastPrinted>
  <dcterms:created xsi:type="dcterms:W3CDTF">2018-08-20T08:59:00Z</dcterms:created>
  <dcterms:modified xsi:type="dcterms:W3CDTF">2018-08-20T08:59:00Z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Asiakirja</vt:lpwstr>
  </property>
</Properties>
</file>