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A2" w:rsidRDefault="00776502">
      <w:bookmarkStart w:id="0" w:name="_GoBack"/>
      <w:bookmarkEnd w:id="0"/>
    </w:p>
    <w:p w:rsidR="002A6CD5" w:rsidRDefault="00776502"/>
    <w:p w:rsidR="002A6CD5" w:rsidRDefault="00776502" w:rsidP="0035265B">
      <w:pPr>
        <w:pStyle w:val="Vastaanottajatiedot"/>
      </w:pPr>
      <w:r>
        <w:t>Maa- ja metsätalousministeriö</w:t>
      </w:r>
    </w:p>
    <w:p w:rsidR="002A6CD5" w:rsidRDefault="00776502" w:rsidP="0035265B">
      <w:pPr>
        <w:pStyle w:val="Vastaanottajatiedot"/>
      </w:pPr>
    </w:p>
    <w:p w:rsidR="008C5E06" w:rsidRDefault="00776502"/>
    <w:p w:rsidR="002A6CD5" w:rsidRDefault="00776502" w:rsidP="0035265B">
      <w:pPr>
        <w:pStyle w:val="Vastaanottajatiedot"/>
      </w:pPr>
    </w:p>
    <w:p w:rsidR="002A6CD5" w:rsidRDefault="00776502" w:rsidP="0035265B">
      <w:pPr>
        <w:pStyle w:val="Vastaanottajatiedot"/>
      </w:pPr>
    </w:p>
    <w:p w:rsidR="002A6CD5" w:rsidRDefault="00776502"/>
    <w:p w:rsidR="00F874C0" w:rsidRDefault="00776502"/>
    <w:p w:rsidR="002A6CD5" w:rsidRDefault="00776502">
      <w:r>
        <w:t>MMM lausuntopyyntö 21.6.2018 (MMM025:00/2016</w:t>
      </w:r>
      <w:r>
        <w:t>)</w:t>
      </w:r>
    </w:p>
    <w:p w:rsidR="002A6CD5" w:rsidRDefault="00776502"/>
    <w:p w:rsidR="002A6CD5" w:rsidRDefault="00776502" w:rsidP="0013714C">
      <w:pPr>
        <w:pStyle w:val="Otsikko"/>
        <w:tabs>
          <w:tab w:val="left" w:pos="7797"/>
        </w:tabs>
        <w:ind w:right="424"/>
      </w:pPr>
      <w:r>
        <w:fldChar w:fldCharType="begin"/>
      </w:r>
      <w:r>
        <w:instrText xml:space="preserve"> DOCPROPERTY  sm_otsikko  \* MERGEFORMAT </w:instrText>
      </w:r>
      <w:r>
        <w:fldChar w:fldCharType="separate"/>
      </w:r>
      <w:r>
        <w:t>Sisäministeriön lausunto hallituksen esityksestä elintarvikelaiksi sekä eräiden lakien muuttamiseksi</w:t>
      </w:r>
      <w:r>
        <w:fldChar w:fldCharType="end"/>
      </w:r>
    </w:p>
    <w:p w:rsidR="002A6CD5" w:rsidRDefault="00776502" w:rsidP="002A6CD5">
      <w:pPr>
        <w:pStyle w:val="Leipteksti"/>
      </w:pPr>
      <w:r>
        <w:t xml:space="preserve">Maa- ja </w:t>
      </w:r>
      <w:r>
        <w:t>metsätalousministeriö on pyytänyt sisäministeriöltä lausuntoa hallituksen esityksestä elintarvikelaiksi sekä eräiden lakien muuttamiseksi. Pyydettynä lausuntona sisäministeriö toteaa seuraavaa:</w:t>
      </w:r>
    </w:p>
    <w:p w:rsidR="009A728F" w:rsidRDefault="00776502" w:rsidP="009A728F">
      <w:pPr>
        <w:pStyle w:val="Leipteksti"/>
      </w:pPr>
      <w:r>
        <w:t>Ruokapolitiikasta annetussa valtioneuvoston selonteossa Ruoka2</w:t>
      </w:r>
      <w:r>
        <w:t>030 (VNS 2/2017 vp) asetetaan tavoitteeksi varmistaa, että Suomen viranomaisjärjestelmä kykenee vastaamaan valvonnallisiin haasteisiin ja että meillä on valmius tehokkaasti tunnistaa, hoitaa, ehkäistä ennalta ja torjua sekä uusia että jo tunnettuja elintar</w:t>
      </w:r>
      <w:r>
        <w:t xml:space="preserve">viketurvallisuuteen liittyviä uhkia. </w:t>
      </w:r>
    </w:p>
    <w:p w:rsidR="009A728F" w:rsidRDefault="00776502" w:rsidP="009A728F">
      <w:pPr>
        <w:pStyle w:val="Leipteksti"/>
      </w:pPr>
      <w:r>
        <w:t>Kansainvälisten tutkimusten ja muista jäsenmaista saatujen käytännön kokemusten perusteella tiedetään, että elintarvikesektori on erityisen altis petokselliselle toiminnalle: kiinnijäämisriski on pieni, voitot ovat use</w:t>
      </w:r>
      <w:r>
        <w:t>in suuria ja rangaistukset tehdyistä rikoksista ovat usein vaatimattomia.</w:t>
      </w:r>
    </w:p>
    <w:p w:rsidR="009A728F" w:rsidRDefault="00776502" w:rsidP="009A728F">
      <w:pPr>
        <w:pStyle w:val="Leipteksti"/>
        <w:ind w:left="0"/>
      </w:pPr>
      <w:r w:rsidRPr="009A728F">
        <w:rPr>
          <w:b/>
        </w:rPr>
        <w:t>Valvontamaksut</w:t>
      </w:r>
    </w:p>
    <w:p w:rsidR="009A728F" w:rsidRDefault="00776502" w:rsidP="009A728F">
      <w:pPr>
        <w:pStyle w:val="Leipteksti"/>
      </w:pPr>
      <w:r>
        <w:t>Esityksessä on pohdittu erilaisten valvontamaksujen määräytymistä ja niiden oikeudenmukaisuutta ja tasapuolisuutta. Jatkossa valvontamaksut tulisivat maksettavaksi kai</w:t>
      </w:r>
      <w:r>
        <w:t>kille alan toimijoille eikä vain niille, joihin on kohdistunut tarkastus. Perustoiminnassa valvontamaksujen tulee kattaa ainakin osittain valvonnan kulut. Joissakin tapauksissa valvontaan ja tarkastuksiin joudutaan kuitenkin käyttämään huomattavasti enemmä</w:t>
      </w:r>
      <w:r>
        <w:t>n aikaa, jolloin myös maksuperusteen pitäisi muuttua edellytettyä viranomaistoimintaa vastaavaksi. Vasta tällöin voidaan puhua valvontamaksujen osalta oikeudenmukaisuudesta ja tasapuolisuudesta.</w:t>
      </w:r>
    </w:p>
    <w:p w:rsidR="009A728F" w:rsidRPr="009A728F" w:rsidRDefault="00776502" w:rsidP="009A728F">
      <w:pPr>
        <w:pStyle w:val="Leipteksti"/>
        <w:ind w:left="0"/>
        <w:rPr>
          <w:b/>
        </w:rPr>
      </w:pPr>
      <w:r w:rsidRPr="009A728F">
        <w:rPr>
          <w:b/>
        </w:rPr>
        <w:t>Tarkastukset kotirauhan piiriin</w:t>
      </w:r>
    </w:p>
    <w:p w:rsidR="009A728F" w:rsidRDefault="00776502" w:rsidP="009A728F">
      <w:pPr>
        <w:pStyle w:val="Leipteksti"/>
      </w:pPr>
      <w:r>
        <w:t>Huoneistot, joissa elintarvik</w:t>
      </w:r>
      <w:r>
        <w:t xml:space="preserve">etoimintaa harjoitetaan, voivat sijaita yksityiseen asumiseen käytettävissä tiloissa toimijan kotona. Esityksessä on todettu, että tarkastusten salliminen tietyissä tapauksissa myös pysyväisluonteiseen asumiseen käytettävissä tiloissa on tarpeellinen. </w:t>
      </w:r>
      <w:r>
        <w:t>Sisä</w:t>
      </w:r>
      <w:r>
        <w:t>ministeriö</w:t>
      </w:r>
      <w:r>
        <w:t xml:space="preserve"> pitää säännöstä perusteltuna. </w:t>
      </w:r>
    </w:p>
    <w:p w:rsidR="009A728F" w:rsidRDefault="00776502" w:rsidP="009A728F">
      <w:pPr>
        <w:pStyle w:val="Leipteksti"/>
      </w:pPr>
      <w:r>
        <w:t>Perustuslaissa turvattu kotirauhan piiri kattaa lähtökohtaisesti kaikenlaiset pysyväisluonteiseen asumiseen käytetyt tilat. Perustuslakivaliokunta on katsonut, että kotirauhan piiriin kohdistuvat tarkastusvaltuudet</w:t>
      </w:r>
      <w:r>
        <w:t xml:space="preserve"> merkitsevät oikeutta puuttua merkittävällä tavalla perustuslaissa jokaiselle turvattuun kotirauhan suojaan. Tarkastusoikeudesta ja siihen liittyvistä muotoseikoista tulee säätää tarkemmin, jotta tarkastuksentekijöiden ja tarkastuksenkohteen oikeusturva vo</w:t>
      </w:r>
      <w:r>
        <w:t>idaan varmistaa. Tarkastuksella saaduista todisteista voi lisäksi syntyä myöhemmin esitutkinnan käynnistyttyä hyödyntämiskielto-ongelma, jota joudutaan pohtimaan esitutkinnassa, syyteharkinnassa ja oikeudenkäynnissä. Ennen tällaisiin tarkastuksiin ryhtymis</w:t>
      </w:r>
      <w:r>
        <w:t>tä tulee miettiä tarkoin, onko jo syytä epäillä rikosta, jolloin ylittyy esitutkintakynnys. Kynnyksen ylittyessä poliisilla on toimivalta suorittaa etsintä, ottaa haltuun ja oikeus takavarikoida todisteena käytettävää materiaalia.</w:t>
      </w:r>
    </w:p>
    <w:p w:rsidR="009A728F" w:rsidRPr="009A728F" w:rsidRDefault="00776502" w:rsidP="009A728F">
      <w:pPr>
        <w:pStyle w:val="Leipteksti"/>
        <w:ind w:left="0"/>
        <w:rPr>
          <w:b/>
        </w:rPr>
      </w:pPr>
      <w:r w:rsidRPr="009A728F">
        <w:rPr>
          <w:b/>
        </w:rPr>
        <w:lastRenderedPageBreak/>
        <w:t>Virka-apu</w:t>
      </w:r>
    </w:p>
    <w:p w:rsidR="009A728F" w:rsidRDefault="00776502" w:rsidP="009A728F">
      <w:pPr>
        <w:pStyle w:val="Leipteksti"/>
      </w:pPr>
      <w:r>
        <w:t>Virka-avun anta</w:t>
      </w:r>
      <w:r>
        <w:t>misesta on säädetty lain 81 §:ssä. Poliisille on annettu useissa eri laeissa velvollisuus avustaa muita viranomaisia. Yleensä laki mahdollistaa poliisin pyytämisen avuksi silloin, kun on tehtävä tarkastus tai katsastus johonkin tilaan. Virka-avussa on kysy</w:t>
      </w:r>
      <w:r>
        <w:t>mys nimenomaan toisen toimivaltaisen viranomaisen avustamisesta ja virka-avun pyytäjä, sekä antaja, vastaavat toiminnan lainmukaisuudesta. Kotirauhan piiriin suoritettavan tarkastuksen yhteydessä poliisille voi syntyä mahdollinen toimivaltaongelma, koska e</w:t>
      </w:r>
      <w:r>
        <w:t>situtkintalaissa on säädetty kotirauhan piiriin tehtävistä etsinnöistä huomattavasti tarkemmin kuin hallituksen esityksessä elintarvikelaiksi.</w:t>
      </w:r>
    </w:p>
    <w:p w:rsidR="009A728F" w:rsidRPr="009A728F" w:rsidRDefault="00776502" w:rsidP="009A728F">
      <w:pPr>
        <w:pStyle w:val="Leipteksti"/>
        <w:ind w:left="0"/>
        <w:rPr>
          <w:b/>
        </w:rPr>
      </w:pPr>
      <w:r w:rsidRPr="009A728F">
        <w:rPr>
          <w:b/>
        </w:rPr>
        <w:t>Ruokaviraston lausunto esitutkinnan yhteydessä</w:t>
      </w:r>
    </w:p>
    <w:p w:rsidR="009A728F" w:rsidRDefault="00776502" w:rsidP="009A728F">
      <w:pPr>
        <w:pStyle w:val="Leipteksti"/>
      </w:pPr>
      <w:r>
        <w:t>Hallituksen esitykseen elintarvikelaiksi olisi tärkeää säätää Ruok</w:t>
      </w:r>
      <w:r>
        <w:t>aviraston oikeudesta antaa yleisen edun nimissä lausunto esitutkinnan tarpeeseen vastaavalla tavalla kuin työrikosten ja ympäristörikosten tutkinnassa toimitaan. Lakiin tulee kirjoittaa velvoite kuulla Ruokavirastoa esitutkinnassa. Ruokaviraston lausunto a</w:t>
      </w:r>
      <w:r>
        <w:t>ntaisi oikeudellista näkemystä ja tukea syyttäjälle syyteharkintaan, sekä mahdolliseen oikeuskäsittelyyn.</w:t>
      </w:r>
    </w:p>
    <w:p w:rsidR="009A728F" w:rsidRPr="009A728F" w:rsidRDefault="00776502" w:rsidP="009A728F">
      <w:pPr>
        <w:pStyle w:val="Leipteksti"/>
        <w:ind w:left="0"/>
        <w:rPr>
          <w:b/>
        </w:rPr>
      </w:pPr>
      <w:r w:rsidRPr="009A728F">
        <w:rPr>
          <w:b/>
        </w:rPr>
        <w:t>Oikeushenkilön rangaistusvastuu</w:t>
      </w:r>
    </w:p>
    <w:p w:rsidR="009A728F" w:rsidRDefault="00776502" w:rsidP="009A728F">
      <w:pPr>
        <w:pStyle w:val="Leipteksti"/>
      </w:pPr>
      <w:r>
        <w:t xml:space="preserve">Oikeushenkilön rangaistusvastuun laajentamista tulee harkita myös elintarvikelainsäännöksien osalta rikoslakiin. </w:t>
      </w:r>
      <w:r>
        <w:t>Organisaatiorikoksissa ei yksittäisen työntekijän rangaistusta ole pidettävä riittävänä. Rikosvastuun toteutuminen ja sen oikea kohdentaminen on yksi rikosoikeuden perusperiaatteista ja sillä on vaikutusta ennaltaehkäisevästi.</w:t>
      </w:r>
    </w:p>
    <w:p w:rsidR="009A728F" w:rsidRPr="003B2EEB" w:rsidRDefault="00776502" w:rsidP="003B2EEB">
      <w:pPr>
        <w:pStyle w:val="Leipteksti"/>
        <w:ind w:left="0"/>
        <w:rPr>
          <w:b/>
        </w:rPr>
      </w:pPr>
      <w:r w:rsidRPr="003B2EEB">
        <w:rPr>
          <w:b/>
        </w:rPr>
        <w:t>Muita huomioita</w:t>
      </w:r>
    </w:p>
    <w:p w:rsidR="0013714C" w:rsidRDefault="00776502" w:rsidP="0013714C">
      <w:pPr>
        <w:pStyle w:val="Leipteksti"/>
      </w:pPr>
      <w:r>
        <w:t>Uusi elintarv</w:t>
      </w:r>
      <w:r>
        <w:t xml:space="preserve">ikelaki ja sen nojalla annettavat maa- ja metsätalousministeriön </w:t>
      </w:r>
      <w:r w:rsidRPr="003B2EEB">
        <w:t>asetukset liittyvät Rajavartiolaitokseen siltä osin, kun kysymys on Rajavartiolaitoksen pelastautumisharjoituksessa annettavan selviytymiskoulutuksen yhteydessä</w:t>
      </w:r>
      <w:r>
        <w:t xml:space="preserve"> tapahtuvasta eläinten teurastu</w:t>
      </w:r>
      <w:r>
        <w:t>ksesta tai lihan käsittelystä. Tällä hetkellä tästä säädetään valtioneuvoston eräistä elintarviketurvallisuusriskeiltään vähäisistä toiminnoista antamassa asetuksessa (1258/2011). Tämän asetuksen 4 §:n mukaan siipikarjan, poron, lampaan, tarhatun kanin, lu</w:t>
      </w:r>
      <w:r>
        <w:t>onnonvaraisten jänisten, kanien, lintujen ja hirvieläinten teurastus ja lihan käsittely edellä kuvatussa harjoituksessa jää eläimistä saatavien elintarvikkeiden hygienia-asetuksen (EY N:o 853/2004) soveltamisalan ulkopuolelle.</w:t>
      </w:r>
    </w:p>
    <w:p w:rsidR="0013714C" w:rsidRDefault="00776502" w:rsidP="0013714C">
      <w:pPr>
        <w:pStyle w:val="Leipteksti"/>
      </w:pPr>
      <w:r>
        <w:t>Sisäministeriö toteaa, että m</w:t>
      </w:r>
      <w:r>
        <w:t>aa- ja metsätalousministeriön elintarvikehygieniasta antaman asetusluonnoksen 24 § (jäljempänä asetusluonnos) on kieliasultaan ja merkityssisällöltään merkittävästi epätäsmällisempi kuin voimassa oleva säädös. Erityisesti maininta "EU-lainsäädännöstä saadu</w:t>
      </w:r>
      <w:r>
        <w:t>n mukautuksen mukaan --" on epäselvä, eikä selvennä, minkä säännöksen perusteella mukautus on saatu ja mitä velvoitteita koskien.</w:t>
      </w:r>
    </w:p>
    <w:p w:rsidR="0013714C" w:rsidRDefault="00776502" w:rsidP="0013714C">
      <w:pPr>
        <w:pStyle w:val="Leipteksti"/>
      </w:pPr>
      <w:r>
        <w:t>Sisäministeriö kiinnittää huomiota siihen, että asetusehdotuksen toteamus "-- sovelletaan asetusta (EY) N:o 852/2004" (yleinen</w:t>
      </w:r>
      <w:r>
        <w:t xml:space="preserve"> elintarvikehygienia-asetus) on ilmeisen virheellinen, koska voimassa olevan asetuksen 4 §:ssä viitataan asetukseen 853/2004, joka koskee eläimistä saatavien elintarvikkeiden hygienia-asetusta. Asetusluonnoksessa, joka annetaan uuden elintarvikelain nojall</w:t>
      </w:r>
      <w:r>
        <w:t>a, viitataan</w:t>
      </w:r>
      <w:r>
        <w:t xml:space="preserve"> </w:t>
      </w:r>
      <w:r>
        <w:t>uuden elintarvikelain 6 § 2 momenttiin, jonka 1 kohdassa on myös viittaus</w:t>
      </w:r>
      <w:r>
        <w:t xml:space="preserve"> </w:t>
      </w:r>
      <w:r>
        <w:t>asetukseen 853/2004.</w:t>
      </w:r>
    </w:p>
    <w:p w:rsidR="0013714C" w:rsidRDefault="00776502" w:rsidP="0013714C">
      <w:pPr>
        <w:pStyle w:val="Leipteksti"/>
      </w:pPr>
      <w:r>
        <w:t>Sisäministeriön mukaan asiassa on myös huomattava, että voimassa</w:t>
      </w:r>
      <w:r>
        <w:t xml:space="preserve"> </w:t>
      </w:r>
      <w:r>
        <w:t>olevassa asetuksessa määritetään toiminta, johon kyseistä EU-asetusta ei</w:t>
      </w:r>
      <w:r>
        <w:t xml:space="preserve"> </w:t>
      </w:r>
      <w:r>
        <w:t>sovelleta.</w:t>
      </w:r>
      <w:r>
        <w:t xml:space="preserve"> Asetusluonnoksen perusteella tällaista päätelmää ei ole mahdollista</w:t>
      </w:r>
      <w:r>
        <w:t xml:space="preserve"> </w:t>
      </w:r>
      <w:r>
        <w:t>tehdä. Luonnoksessa nämä tarpeelliset</w:t>
      </w:r>
      <w:r>
        <w:t xml:space="preserve"> </w:t>
      </w:r>
      <w:r>
        <w:t>viittaukset EU-asetukseen on poistettu, mikä vaikeuttaa luonnoksen</w:t>
      </w:r>
      <w:r>
        <w:t xml:space="preserve"> </w:t>
      </w:r>
      <w:r>
        <w:t>ymmärtämistä huomattavasti sekä voi aiheuttaa ongelmia sen soveltamisessa</w:t>
      </w:r>
      <w:r>
        <w:t xml:space="preserve"> </w:t>
      </w:r>
      <w:r>
        <w:t>mikäli s</w:t>
      </w:r>
      <w:r>
        <w:t>itä ei tarkisteta.</w:t>
      </w:r>
    </w:p>
    <w:p w:rsidR="0013714C" w:rsidRDefault="00776502" w:rsidP="0013714C">
      <w:pPr>
        <w:pStyle w:val="Leipteksti"/>
      </w:pPr>
      <w:r w:rsidRPr="00FB055E">
        <w:t>Sisäministeriö toteaa lopuksi, että Rajavartiolaitos on kirjoitettu Kotimaisten</w:t>
      </w:r>
      <w:r w:rsidRPr="00FB055E">
        <w:t xml:space="preserve"> </w:t>
      </w:r>
      <w:r w:rsidRPr="00FB055E">
        <w:t>kielten</w:t>
      </w:r>
      <w:r>
        <w:t xml:space="preserve"> keskuksen kielioppisääntöjen vastaisesti pienellä alkukirjaimella</w:t>
      </w:r>
      <w:r>
        <w:t xml:space="preserve"> </w:t>
      </w:r>
      <w:r>
        <w:t xml:space="preserve">asetusluonnoksen 24 </w:t>
      </w:r>
      <w:r>
        <w:lastRenderedPageBreak/>
        <w:t>§:ssä.</w:t>
      </w:r>
      <w:r>
        <w:t xml:space="preserve"> </w:t>
      </w:r>
      <w:r>
        <w:t>Sisäministeriö</w:t>
      </w:r>
      <w:r>
        <w:t xml:space="preserve"> toivoo, että asetusluonnoksen 24 §:ää selvennetään</w:t>
      </w:r>
      <w:r>
        <w:t xml:space="preserve"> </w:t>
      </w:r>
      <w:r>
        <w:t>jatkovalmistelussa siten, että se täsmällisesti viittaisi EU-lainsäädäntöön.</w:t>
      </w:r>
      <w:r>
        <w:t xml:space="preserve"> </w:t>
      </w:r>
      <w:r>
        <w:t>Sisäministeriön näkemyksen mukaan asetusluonnoksen 24 §:ssä</w:t>
      </w:r>
      <w:r>
        <w:t xml:space="preserve"> </w:t>
      </w:r>
      <w:r>
        <w:t>tarkoitetun toiminnan tulisi olla mahdollisimman kevyesti säännelty</w:t>
      </w:r>
      <w:r>
        <w:t>ä, sillä siinä</w:t>
      </w:r>
      <w:r>
        <w:t xml:space="preserve"> </w:t>
      </w:r>
      <w:r>
        <w:t>on tarkoitus harjoitella sotilaalliseen maanpuolustukseen liittyvää</w:t>
      </w:r>
      <w:r>
        <w:t xml:space="preserve"> </w:t>
      </w:r>
      <w:r>
        <w:t>poikkeuksellista toimintaa.</w:t>
      </w:r>
    </w:p>
    <w:p w:rsidR="00CF11FD" w:rsidRDefault="00776502" w:rsidP="002A6CD5">
      <w:pPr>
        <w:pStyle w:val="Leipteksti"/>
      </w:pPr>
    </w:p>
    <w:p w:rsidR="00CF11FD" w:rsidRDefault="00776502" w:rsidP="002A6CD5">
      <w:pPr>
        <w:pStyle w:val="Leipteksti"/>
      </w:pPr>
    </w:p>
    <w:p w:rsidR="00CF11FD" w:rsidRDefault="00776502" w:rsidP="002A6CD5">
      <w:pPr>
        <w:pStyle w:val="Leipteksti"/>
      </w:pPr>
      <w:r>
        <w:t>Kansliapäällikkö</w:t>
      </w:r>
      <w:r>
        <w:tab/>
      </w:r>
      <w:r>
        <w:t>Ilkka Salmi</w:t>
      </w:r>
    </w:p>
    <w:p w:rsidR="00CF11FD" w:rsidRDefault="00776502" w:rsidP="00CF11FD">
      <w:pPr>
        <w:pStyle w:val="Leipteksti"/>
      </w:pPr>
    </w:p>
    <w:p w:rsidR="00CF11FD" w:rsidRDefault="00776502" w:rsidP="00CF11FD">
      <w:pPr>
        <w:pStyle w:val="Leipteksti"/>
      </w:pPr>
      <w:r>
        <w:t>Erityisasiantuntija</w:t>
      </w:r>
      <w:r>
        <w:tab/>
      </w:r>
      <w:r>
        <w:t>Miia Lehmus-Niemi</w:t>
      </w:r>
    </w:p>
    <w:p w:rsidR="008C5E06" w:rsidRDefault="00776502" w:rsidP="00CF11FD">
      <w:pPr>
        <w:pStyle w:val="Leipteksti"/>
      </w:pPr>
    </w:p>
    <w:p w:rsidR="00CF11FD" w:rsidRDefault="00776502" w:rsidP="00CF11FD">
      <w:pPr>
        <w:pStyle w:val="Leipteksti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>Asiakirja on sähköise</w:t>
      </w:r>
      <w:r>
        <w:t>sti allekirjoitettu asianhallintajärjestelmässä. Sisäministeriö 10.08.2018 klo 08:42. Allekirjoituksen oikeellisuuden voi todentaa kirjaamosta.</w:t>
      </w:r>
      <w:r>
        <w:fldChar w:fldCharType="end"/>
      </w:r>
    </w:p>
    <w:p w:rsidR="00CF11FD" w:rsidRDefault="00776502" w:rsidP="00F874C0">
      <w:pPr>
        <w:pStyle w:val="Leipteksti"/>
      </w:pPr>
    </w:p>
    <w:p w:rsidR="008C5E06" w:rsidRDefault="00776502" w:rsidP="00F874C0">
      <w:pPr>
        <w:pStyle w:val="Leipteksti"/>
      </w:pPr>
    </w:p>
    <w:tbl>
      <w:tblPr>
        <w:tblStyle w:val="Eireunaviivaa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7761"/>
      </w:tblGrid>
      <w:tr w:rsidR="004D58F6" w:rsidTr="00CF11FD">
        <w:trPr>
          <w:trHeight w:val="556"/>
        </w:trPr>
        <w:tc>
          <w:tcPr>
            <w:tcW w:w="2608" w:type="dxa"/>
          </w:tcPr>
          <w:p w:rsidR="00CF11FD" w:rsidRPr="00242B73" w:rsidRDefault="00776502" w:rsidP="00CF11FD">
            <w:pPr>
              <w:rPr>
                <w:sz w:val="20"/>
                <w:szCs w:val="20"/>
              </w:rPr>
            </w:pPr>
          </w:p>
        </w:tc>
        <w:tc>
          <w:tcPr>
            <w:tcW w:w="7761" w:type="dxa"/>
          </w:tcPr>
          <w:p w:rsidR="00CF11FD" w:rsidRPr="00242B73" w:rsidRDefault="00776502" w:rsidP="00CF11FD">
            <w:pPr>
              <w:rPr>
                <w:sz w:val="20"/>
                <w:szCs w:val="20"/>
              </w:rPr>
            </w:pPr>
          </w:p>
        </w:tc>
      </w:tr>
      <w:tr w:rsidR="004D58F6" w:rsidTr="00CF11FD">
        <w:trPr>
          <w:trHeight w:val="556"/>
        </w:trPr>
        <w:tc>
          <w:tcPr>
            <w:tcW w:w="2608" w:type="dxa"/>
          </w:tcPr>
          <w:p w:rsidR="00CF11FD" w:rsidRPr="00242B73" w:rsidRDefault="00776502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Jakelu</w:t>
            </w:r>
          </w:p>
        </w:tc>
        <w:tc>
          <w:tcPr>
            <w:tcW w:w="7761" w:type="dxa"/>
          </w:tcPr>
          <w:p w:rsidR="00CF11FD" w:rsidRPr="00242B73" w:rsidRDefault="00776502" w:rsidP="00CF11FD">
            <w:pPr>
              <w:rPr>
                <w:sz w:val="20"/>
                <w:szCs w:val="20"/>
              </w:rPr>
            </w:pPr>
            <w:r>
              <w:t>Maa- ja metsätalousministeriö</w:t>
            </w:r>
          </w:p>
        </w:tc>
      </w:tr>
      <w:tr w:rsidR="004D58F6" w:rsidTr="00CF11FD">
        <w:trPr>
          <w:trHeight w:val="556"/>
        </w:trPr>
        <w:tc>
          <w:tcPr>
            <w:tcW w:w="2608" w:type="dxa"/>
          </w:tcPr>
          <w:p w:rsidR="00CF11FD" w:rsidRPr="00242B73" w:rsidRDefault="00776502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Tiedoksi</w:t>
            </w:r>
          </w:p>
        </w:tc>
        <w:tc>
          <w:tcPr>
            <w:tcW w:w="7761" w:type="dxa"/>
          </w:tcPr>
          <w:p w:rsidR="00CF11FD" w:rsidRDefault="00776502" w:rsidP="00CF11FD">
            <w:r>
              <w:t>Sisäministeri Mykkänen</w:t>
            </w:r>
          </w:p>
          <w:p w:rsidR="00C16BB9" w:rsidRDefault="00776502" w:rsidP="00CF11FD">
            <w:r>
              <w:t>Erityisavustajat Andersson-Bohren,</w:t>
            </w:r>
            <w:r>
              <w:t xml:space="preserve"> Rautanen</w:t>
            </w:r>
          </w:p>
          <w:p w:rsidR="00C16BB9" w:rsidRDefault="00776502" w:rsidP="00CF11FD">
            <w:r>
              <w:t>Poliisiosasto</w:t>
            </w:r>
          </w:p>
          <w:p w:rsidR="00C16BB9" w:rsidRPr="00242B73" w:rsidRDefault="00776502" w:rsidP="00CF11FD">
            <w:pPr>
              <w:rPr>
                <w:sz w:val="20"/>
                <w:szCs w:val="20"/>
              </w:rPr>
            </w:pPr>
            <w:r>
              <w:t>Rajavartio-osasto</w:t>
            </w:r>
          </w:p>
        </w:tc>
      </w:tr>
    </w:tbl>
    <w:p w:rsidR="00162585" w:rsidRDefault="00776502" w:rsidP="00162585"/>
    <w:p w:rsidR="00D76923" w:rsidRDefault="00776502"/>
    <w:p w:rsidR="0035265B" w:rsidRDefault="00776502"/>
    <w:p w:rsidR="008C5E06" w:rsidRPr="00162585" w:rsidRDefault="00776502" w:rsidP="00D76923"/>
    <w:sectPr w:rsidR="008C5E06" w:rsidRPr="00162585" w:rsidSect="002208F1">
      <w:headerReference w:type="default" r:id="rId7"/>
      <w:headerReference w:type="first" r:id="rId8"/>
      <w:footerReference w:type="first" r:id="rId9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02" w:rsidRDefault="00776502">
      <w:r>
        <w:separator/>
      </w:r>
    </w:p>
  </w:endnote>
  <w:endnote w:type="continuationSeparator" w:id="0">
    <w:p w:rsidR="00776502" w:rsidRDefault="0077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275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586"/>
      <w:gridCol w:w="1809"/>
      <w:gridCol w:w="2126"/>
      <w:gridCol w:w="1843"/>
      <w:gridCol w:w="1911"/>
    </w:tblGrid>
    <w:tr w:rsidR="004D58F6" w:rsidTr="001811CD">
      <w:tc>
        <w:tcPr>
          <w:tcW w:w="2586" w:type="dxa"/>
          <w:tcBorders>
            <w:bottom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RDefault="00776502" w:rsidP="001811CD">
          <w:pPr>
            <w:pStyle w:val="Alatunniste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RDefault="00776502" w:rsidP="001811CD">
          <w:pPr>
            <w:pStyle w:val="Alatunniste"/>
          </w:pPr>
        </w:p>
      </w:tc>
    </w:tr>
    <w:tr w:rsidR="004D58F6" w:rsidTr="001811CD">
      <w:tc>
        <w:tcPr>
          <w:tcW w:w="2586" w:type="dxa"/>
          <w:tcBorders>
            <w:top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RDefault="00776502" w:rsidP="001811CD">
          <w:pPr>
            <w:pStyle w:val="Alatunniste"/>
          </w:pPr>
        </w:p>
      </w:tc>
    </w:tr>
    <w:tr w:rsidR="004D58F6" w:rsidTr="001811CD">
      <w:tc>
        <w:tcPr>
          <w:tcW w:w="258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76502" w:rsidP="001811CD">
          <w:pPr>
            <w:pStyle w:val="Alatunniste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RDefault="00776502" w:rsidP="001811CD">
          <w:pPr>
            <w:pStyle w:val="Alatunniste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RDefault="00776502" w:rsidP="001811CD">
          <w:pPr>
            <w:pStyle w:val="Alatunniste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RDefault="00776502" w:rsidP="001811CD">
          <w:pPr>
            <w:pStyle w:val="Alatunniste"/>
          </w:pPr>
          <w:r w:rsidRPr="00755304">
            <w:rPr>
              <w:color w:val="59B5A4"/>
            </w:rPr>
            <w:t>Virkasähköpostiosoite:</w:t>
          </w:r>
        </w:p>
      </w:tc>
    </w:tr>
    <w:tr w:rsidR="004D58F6" w:rsidTr="001811CD">
      <w:tc>
        <w:tcPr>
          <w:tcW w:w="258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76502" w:rsidP="001811CD">
          <w:pPr>
            <w:pStyle w:val="Alatunniste"/>
          </w:pPr>
          <w:r>
            <w:t>Sisäministeriö</w:t>
          </w:r>
        </w:p>
      </w:tc>
      <w:tc>
        <w:tcPr>
          <w:tcW w:w="2126" w:type="dxa"/>
        </w:tcPr>
        <w:p w:rsidR="00C32D98" w:rsidRPr="00EF222F" w:rsidRDefault="00776502" w:rsidP="006A5C73">
          <w:pPr>
            <w:pStyle w:val="Alatunniste"/>
          </w:pPr>
          <w:r>
            <w:t>Kirkkokatu 12</w:t>
          </w:r>
        </w:p>
      </w:tc>
      <w:tc>
        <w:tcPr>
          <w:tcW w:w="1843" w:type="dxa"/>
        </w:tcPr>
        <w:p w:rsidR="00C32D98" w:rsidRPr="00EF222F" w:rsidRDefault="00776502" w:rsidP="001811CD">
          <w:pPr>
            <w:pStyle w:val="Alatunniste"/>
          </w:pPr>
          <w:r>
            <w:t xml:space="preserve">Vaihde </w:t>
          </w:r>
        </w:p>
      </w:tc>
      <w:tc>
        <w:tcPr>
          <w:tcW w:w="1911" w:type="dxa"/>
        </w:tcPr>
        <w:p w:rsidR="00C32D98" w:rsidRDefault="00776502" w:rsidP="001811CD">
          <w:pPr>
            <w:pStyle w:val="Alatunniste"/>
          </w:pPr>
          <w:r>
            <w:t>kirjaamo@intermin.fi</w:t>
          </w:r>
        </w:p>
      </w:tc>
    </w:tr>
    <w:tr w:rsidR="004D58F6" w:rsidTr="001811CD">
      <w:tc>
        <w:tcPr>
          <w:tcW w:w="258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76502" w:rsidP="001811CD">
          <w:pPr>
            <w:pStyle w:val="Alatunniste"/>
          </w:pPr>
          <w:r>
            <w:t>PL 26</w:t>
          </w:r>
        </w:p>
      </w:tc>
      <w:tc>
        <w:tcPr>
          <w:tcW w:w="2126" w:type="dxa"/>
        </w:tcPr>
        <w:p w:rsidR="00C32D98" w:rsidRPr="00EF222F" w:rsidRDefault="00776502" w:rsidP="001811CD">
          <w:pPr>
            <w:pStyle w:val="Alatunniste"/>
          </w:pPr>
          <w:r>
            <w:t>Helsinki</w:t>
          </w:r>
        </w:p>
      </w:tc>
      <w:tc>
        <w:tcPr>
          <w:tcW w:w="1843" w:type="dxa"/>
        </w:tcPr>
        <w:p w:rsidR="00C32D98" w:rsidRPr="00EF222F" w:rsidRDefault="00776502" w:rsidP="001811CD">
          <w:pPr>
            <w:pStyle w:val="Alatunniste"/>
          </w:pPr>
          <w:r w:rsidRPr="006536B0">
            <w:t>0295 480 171</w:t>
          </w:r>
        </w:p>
      </w:tc>
      <w:tc>
        <w:tcPr>
          <w:tcW w:w="1911" w:type="dxa"/>
        </w:tcPr>
        <w:p w:rsidR="00C32D98" w:rsidRDefault="00776502" w:rsidP="001811CD">
          <w:pPr>
            <w:pStyle w:val="Alatunniste"/>
          </w:pPr>
          <w:r>
            <w:t>www.intermin.fi</w:t>
          </w:r>
        </w:p>
      </w:tc>
    </w:tr>
    <w:tr w:rsidR="004D58F6" w:rsidTr="001811CD">
      <w:tc>
        <w:tcPr>
          <w:tcW w:w="258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776502" w:rsidP="001811CD">
          <w:pPr>
            <w:pStyle w:val="Alatunniste"/>
          </w:pPr>
          <w:r>
            <w:t>00023 Valtioneuvosto</w:t>
          </w:r>
        </w:p>
      </w:tc>
      <w:tc>
        <w:tcPr>
          <w:tcW w:w="212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43" w:type="dxa"/>
        </w:tcPr>
        <w:p w:rsidR="00C32D98" w:rsidRPr="00EF222F" w:rsidRDefault="00776502" w:rsidP="001811CD">
          <w:pPr>
            <w:pStyle w:val="Alatunniste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RDefault="00776502" w:rsidP="001811CD">
          <w:pPr>
            <w:pStyle w:val="Alatunniste"/>
          </w:pPr>
        </w:p>
      </w:tc>
    </w:tr>
    <w:tr w:rsidR="004D58F6" w:rsidTr="001811CD">
      <w:tc>
        <w:tcPr>
          <w:tcW w:w="258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09" w:type="dxa"/>
        </w:tcPr>
        <w:p w:rsidR="00C32D98" w:rsidRDefault="00776502" w:rsidP="001811CD">
          <w:pPr>
            <w:pStyle w:val="Alatunniste"/>
          </w:pPr>
        </w:p>
      </w:tc>
      <w:tc>
        <w:tcPr>
          <w:tcW w:w="2126" w:type="dxa"/>
        </w:tcPr>
        <w:p w:rsidR="00C32D98" w:rsidRPr="00EF222F" w:rsidRDefault="00776502" w:rsidP="001811CD">
          <w:pPr>
            <w:pStyle w:val="Alatunniste"/>
          </w:pPr>
        </w:p>
      </w:tc>
      <w:tc>
        <w:tcPr>
          <w:tcW w:w="1843" w:type="dxa"/>
        </w:tcPr>
        <w:p w:rsidR="00C32D98" w:rsidRDefault="00776502" w:rsidP="002752F1">
          <w:pPr>
            <w:pStyle w:val="Alatunniste"/>
          </w:pPr>
          <w:r>
            <w:t xml:space="preserve">09 1604 </w:t>
          </w:r>
          <w:r w:rsidRPr="00703C49">
            <w:rPr>
              <w:rFonts w:cs="Arial"/>
              <w:szCs w:val="16"/>
            </w:rPr>
            <w:t>4635</w:t>
          </w:r>
        </w:p>
      </w:tc>
      <w:tc>
        <w:tcPr>
          <w:tcW w:w="1911" w:type="dxa"/>
        </w:tcPr>
        <w:p w:rsidR="00C32D98" w:rsidRDefault="00776502" w:rsidP="001811CD">
          <w:pPr>
            <w:pStyle w:val="Alatunniste"/>
          </w:pPr>
        </w:p>
      </w:tc>
    </w:tr>
  </w:tbl>
  <w:p w:rsidR="00EF222F" w:rsidRDefault="00776502" w:rsidP="00EF22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02" w:rsidRDefault="00776502">
      <w:r>
        <w:separator/>
      </w:r>
    </w:p>
  </w:footnote>
  <w:footnote w:type="continuationSeparator" w:id="0">
    <w:p w:rsidR="00776502" w:rsidRDefault="0077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347" w:type="dxa"/>
      <w:tblLayout w:type="fixed"/>
      <w:tblLook w:val="04A0" w:firstRow="1" w:lastRow="0" w:firstColumn="1" w:lastColumn="0" w:noHBand="0" w:noVBand="1"/>
    </w:tblPr>
    <w:tblGrid>
      <w:gridCol w:w="5222"/>
      <w:gridCol w:w="2608"/>
      <w:gridCol w:w="1463"/>
      <w:gridCol w:w="1054"/>
    </w:tblGrid>
    <w:tr w:rsidR="004D58F6" w:rsidTr="005E4795">
      <w:tc>
        <w:tcPr>
          <w:tcW w:w="5222" w:type="dxa"/>
        </w:tcPr>
        <w:p w:rsidR="0035265B" w:rsidRPr="00770045" w:rsidRDefault="00776502" w:rsidP="005E4795">
          <w:pPr>
            <w:pStyle w:val="Yltunniste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RDefault="00776502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RDefault="00776502" w:rsidP="005E4795">
          <w:pPr>
            <w:pStyle w:val="Yltunniste"/>
          </w:pPr>
        </w:p>
      </w:tc>
      <w:tc>
        <w:tcPr>
          <w:tcW w:w="1054" w:type="dxa"/>
        </w:tcPr>
        <w:p w:rsidR="0035265B" w:rsidRDefault="00776502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239C">
            <w:t>3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3B239C">
            <w:t>3</w:t>
          </w:r>
          <w:r>
            <w:fldChar w:fldCharType="end"/>
          </w:r>
          <w:r>
            <w:t>)</w:t>
          </w:r>
        </w:p>
      </w:tc>
    </w:tr>
    <w:tr w:rsidR="004D58F6" w:rsidTr="005E4795">
      <w:trPr>
        <w:trHeight w:val="272"/>
      </w:trPr>
      <w:tc>
        <w:tcPr>
          <w:tcW w:w="5222" w:type="dxa"/>
        </w:tcPr>
        <w:p w:rsidR="0035265B" w:rsidRPr="002A6CD5" w:rsidRDefault="00776502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</w:tcPr>
        <w:p w:rsidR="0035265B" w:rsidRDefault="00776502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776502" w:rsidP="005E4795">
          <w:pPr>
            <w:pStyle w:val="Yltunniste"/>
          </w:pPr>
        </w:p>
      </w:tc>
    </w:tr>
    <w:tr w:rsidR="004D58F6" w:rsidTr="005E4795">
      <w:trPr>
        <w:trHeight w:val="272"/>
      </w:trPr>
      <w:tc>
        <w:tcPr>
          <w:tcW w:w="5222" w:type="dxa"/>
        </w:tcPr>
        <w:p w:rsidR="0035265B" w:rsidRDefault="00776502" w:rsidP="005E4795">
          <w:pPr>
            <w:pStyle w:val="Yltunniste"/>
          </w:pPr>
        </w:p>
      </w:tc>
      <w:tc>
        <w:tcPr>
          <w:tcW w:w="2608" w:type="dxa"/>
        </w:tcPr>
        <w:p w:rsidR="0035265B" w:rsidRDefault="00776502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776502" w:rsidP="005E4795">
          <w:pPr>
            <w:pStyle w:val="Yltunniste"/>
          </w:pPr>
        </w:p>
      </w:tc>
    </w:tr>
    <w:tr w:rsidR="004D58F6" w:rsidTr="005E4795">
      <w:trPr>
        <w:trHeight w:val="272"/>
      </w:trPr>
      <w:tc>
        <w:tcPr>
          <w:tcW w:w="5222" w:type="dxa"/>
        </w:tcPr>
        <w:p w:rsidR="0035265B" w:rsidRDefault="00776502" w:rsidP="005E4795">
          <w:pPr>
            <w:pStyle w:val="Yltunniste"/>
          </w:pPr>
        </w:p>
      </w:tc>
      <w:tc>
        <w:tcPr>
          <w:tcW w:w="2608" w:type="dxa"/>
        </w:tcPr>
        <w:p w:rsidR="0035265B" w:rsidRDefault="00776502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10.08.2018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RDefault="00776502" w:rsidP="005E4795">
          <w:pPr>
            <w:pStyle w:val="Yltunniste"/>
          </w:pPr>
        </w:p>
      </w:tc>
    </w:tr>
  </w:tbl>
  <w:p w:rsidR="00D64AB2" w:rsidRDefault="0077650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948" w:type="dxa"/>
      <w:tblInd w:w="-567" w:type="dxa"/>
      <w:tblLayout w:type="fixed"/>
      <w:tblLook w:val="04A0" w:firstRow="1" w:lastRow="0" w:firstColumn="1" w:lastColumn="0" w:noHBand="0" w:noVBand="1"/>
    </w:tblPr>
    <w:tblGrid>
      <w:gridCol w:w="5823"/>
      <w:gridCol w:w="2608"/>
      <w:gridCol w:w="1463"/>
      <w:gridCol w:w="1054"/>
    </w:tblGrid>
    <w:tr w:rsidR="004D58F6" w:rsidTr="005E4795">
      <w:tc>
        <w:tcPr>
          <w:tcW w:w="5823" w:type="dxa"/>
          <w:vMerge w:val="restart"/>
          <w:tcMar>
            <w:left w:w="0" w:type="dxa"/>
          </w:tcMar>
        </w:tcPr>
        <w:p w:rsidR="0035265B" w:rsidRPr="00F063F8" w:rsidRDefault="00776502" w:rsidP="005E4795">
          <w:pPr>
            <w:pStyle w:val="Yltunniste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RDefault="00776502" w:rsidP="005E4795">
          <w:pPr>
            <w:pStyle w:val="Yltunniste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RDefault="00776502" w:rsidP="005E4795">
          <w:pPr>
            <w:pStyle w:val="Yltunniste"/>
          </w:pPr>
        </w:p>
      </w:tc>
      <w:tc>
        <w:tcPr>
          <w:tcW w:w="1054" w:type="dxa"/>
          <w:tcMar>
            <w:left w:w="0" w:type="dxa"/>
          </w:tcMar>
        </w:tcPr>
        <w:p w:rsidR="0035265B" w:rsidRDefault="00776502" w:rsidP="005E4795">
          <w:pPr>
            <w:pStyle w:val="Yltunniste"/>
            <w:jc w:val="center"/>
          </w:pPr>
        </w:p>
      </w:tc>
    </w:tr>
    <w:tr w:rsidR="004D58F6" w:rsidTr="005E4795">
      <w:tc>
        <w:tcPr>
          <w:tcW w:w="5823" w:type="dxa"/>
          <w:vMerge/>
          <w:tcMar>
            <w:left w:w="0" w:type="dxa"/>
          </w:tcMar>
        </w:tcPr>
        <w:p w:rsidR="0035265B" w:rsidRPr="009779D7" w:rsidRDefault="00776502" w:rsidP="005E4795">
          <w:pPr>
            <w:pStyle w:val="Yltunniste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RDefault="00776502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RDefault="00776502" w:rsidP="005E4795">
          <w:pPr>
            <w:pStyle w:val="Yltunniste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SM1824078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RDefault="00776502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239C"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3B239C">
            <w:t>3</w:t>
          </w:r>
          <w:r>
            <w:fldChar w:fldCharType="end"/>
          </w:r>
          <w:r>
            <w:t>)</w:t>
          </w:r>
        </w:p>
      </w:tc>
    </w:tr>
    <w:tr w:rsidR="004D58F6" w:rsidTr="005E4795">
      <w:tc>
        <w:tcPr>
          <w:tcW w:w="5823" w:type="dxa"/>
          <w:vMerge/>
          <w:tcMar>
            <w:left w:w="0" w:type="dxa"/>
          </w:tcMar>
        </w:tcPr>
        <w:p w:rsidR="0035265B" w:rsidRPr="002A6CD5" w:rsidRDefault="00776502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Default="00776502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776502" w:rsidP="005E4795">
          <w:pPr>
            <w:pStyle w:val="Yltunniste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00.02.04</w:t>
          </w:r>
          <w:r>
            <w:fldChar w:fldCharType="end"/>
          </w:r>
        </w:p>
      </w:tc>
    </w:tr>
    <w:tr w:rsidR="004D58F6" w:rsidTr="005E4795">
      <w:tc>
        <w:tcPr>
          <w:tcW w:w="5823" w:type="dxa"/>
          <w:vMerge/>
          <w:tcMar>
            <w:left w:w="0" w:type="dxa"/>
          </w:tcMar>
        </w:tcPr>
        <w:p w:rsidR="0035265B" w:rsidRDefault="00776502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776502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776502" w:rsidP="005E4795">
          <w:pPr>
            <w:pStyle w:val="Yltunniste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SMDno-2018-1322</w:t>
          </w:r>
          <w:r>
            <w:fldChar w:fldCharType="end"/>
          </w:r>
        </w:p>
      </w:tc>
    </w:tr>
    <w:tr w:rsidR="004D58F6" w:rsidTr="005E4795">
      <w:tc>
        <w:tcPr>
          <w:tcW w:w="5823" w:type="dxa"/>
          <w:tcMar>
            <w:left w:w="0" w:type="dxa"/>
          </w:tcMar>
        </w:tcPr>
        <w:p w:rsidR="0035265B" w:rsidRDefault="00776502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776502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10.08.2018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776502" w:rsidP="005E4795">
          <w:pPr>
            <w:pStyle w:val="Yltunniste"/>
          </w:pPr>
        </w:p>
      </w:tc>
    </w:tr>
  </w:tbl>
  <w:p w:rsidR="002723D0" w:rsidRDefault="0077650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B476EE"/>
    <w:multiLevelType w:val="multilevel"/>
    <w:tmpl w:val="5BD42AB8"/>
    <w:numStyleLink w:val="Numeroituotsikointi"/>
  </w:abstractNum>
  <w:abstractNum w:abstractNumId="3" w15:restartNumberingAfterBreak="0">
    <w:nsid w:val="11C27B62"/>
    <w:multiLevelType w:val="multilevel"/>
    <w:tmpl w:val="5BD42AB8"/>
    <w:numStyleLink w:val="Numeroituotsikointi"/>
  </w:abstractNum>
  <w:abstractNum w:abstractNumId="4" w15:restartNumberingAfterBreak="0">
    <w:nsid w:val="320C2E79"/>
    <w:multiLevelType w:val="multilevel"/>
    <w:tmpl w:val="5BD42AB8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3BD151C"/>
    <w:multiLevelType w:val="multilevel"/>
    <w:tmpl w:val="9348AA1E"/>
    <w:styleLink w:val="Luettelonumerot"/>
    <w:lvl w:ilvl="0">
      <w:start w:val="1"/>
      <w:numFmt w:val="decimal"/>
      <w:pStyle w:val="Numeroituluettelo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 w15:restartNumberingAfterBreak="0">
    <w:nsid w:val="37E74F7B"/>
    <w:multiLevelType w:val="multilevel"/>
    <w:tmpl w:val="4DDEB5B2"/>
    <w:styleLink w:val="Luettelomerkit"/>
    <w:lvl w:ilvl="0">
      <w:start w:val="1"/>
      <w:numFmt w:val="bullet"/>
      <w:pStyle w:val="Merkittyluettelo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6"/>
    <w:rsid w:val="003B239C"/>
    <w:rsid w:val="004D58F6"/>
    <w:rsid w:val="007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BE06A-BECB-48F2-81FD-B37092CD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rFonts w:ascii="Arial" w:hAnsi="Arial"/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rFonts w:ascii="Arial" w:hAnsi="Arial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Theme="majorHAnsi" w:eastAsiaTheme="majorEastAsia" w:hAnsiTheme="majorHAnsi" w:cstheme="majorBidi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rFonts w:asciiTheme="majorHAnsi" w:eastAsiaTheme="majorEastAsia" w:hAnsiTheme="majorHAnsi" w:cstheme="majorBidi"/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Theme="majorHAnsi" w:eastAsiaTheme="majorEastAsia" w:hAnsiTheme="majorHAnsi" w:cstheme="majorHAnsi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Theme="majorHAnsi" w:eastAsiaTheme="majorEastAsia" w:hAnsiTheme="majorHAnsi" w:cstheme="majorBidi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Theme="majorHAnsi" w:eastAsiaTheme="majorEastAsia" w:hAnsiTheme="majorHAnsi" w:cstheme="majorBidi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Theme="majorHAnsi" w:eastAsiaTheme="majorEastAsia" w:hAnsiTheme="majorHAnsi" w:cstheme="majorBidi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Theme="majorHAnsi" w:eastAsiaTheme="majorEastAsia" w:hAnsiTheme="majorHAnsi" w:cstheme="majorBidi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Theme="majorHAnsi" w:eastAsiaTheme="majorEastAsia" w:hAnsiTheme="majorHAnsi" w:cstheme="majorBidi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EXT Ala-Piirto Anni</cp:lastModifiedBy>
  <cp:revision>2</cp:revision>
  <dcterms:created xsi:type="dcterms:W3CDTF">2018-08-20T07:14:00Z</dcterms:created>
  <dcterms:modified xsi:type="dcterms:W3CDTF">2018-08-20T07:14:00Z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10.08.2018 klo 08:42. Allekirjoituksen oikeellisuuden voi todentaa kirjaamosta.</vt:lpwstr>
  </property>
  <property fmtid="{D5CDD505-2E9C-101B-9397-08002B2CF9AE}" pid="3" name="sm_asiakirjatyyppi">
    <vt:lpwstr>Lausunto</vt:lpwstr>
  </property>
  <property fmtid="{D5CDD505-2E9C-101B-9397-08002B2CF9AE}" pid="4" name="sm_asiaryhmä">
    <vt:lpwstr>00.02.04</vt:lpwstr>
  </property>
  <property fmtid="{D5CDD505-2E9C-101B-9397-08002B2CF9AE}" pid="5" name="sm_diaarinro">
    <vt:lpwstr>SMDno-2018-1322</vt:lpwstr>
  </property>
  <property fmtid="{D5CDD505-2E9C-101B-9397-08002B2CF9AE}" pid="6" name="sm_id">
    <vt:lpwstr>SM1824078</vt:lpwstr>
  </property>
  <property fmtid="{D5CDD505-2E9C-101B-9397-08002B2CF9AE}" pid="7" name="sm_käsittelyluokka">
    <vt:lpwstr/>
  </property>
  <property fmtid="{D5CDD505-2E9C-101B-9397-08002B2CF9AE}" pid="8" name="sm_laatija">
    <vt:lpwstr>Miia Lehmus-Niemi</vt:lpwstr>
  </property>
  <property fmtid="{D5CDD505-2E9C-101B-9397-08002B2CF9AE}" pid="9" name="sm_laatimispvm">
    <vt:lpwstr>09.08.2018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Hallinto- ja kehittämisosasto</vt:lpwstr>
  </property>
  <property fmtid="{D5CDD505-2E9C-101B-9397-08002B2CF9AE}" pid="14" name="sm_otsikko">
    <vt:lpwstr>Sisäministeriön lausunto hallituksen esityksestä elintarvikelaiksi sekä eräiden lakien muuttamiseksi</vt:lpwstr>
  </property>
  <property fmtid="{D5CDD505-2E9C-101B-9397-08002B2CF9AE}" pid="15" name="sm_pvm">
    <vt:lpwstr>10.08.2018</vt:lpwstr>
  </property>
  <property fmtid="{D5CDD505-2E9C-101B-9397-08002B2CF9AE}" pid="16" name="sm_salassapitoperuste">
    <vt:lpwstr/>
  </property>
  <property fmtid="{D5CDD505-2E9C-101B-9397-08002B2CF9AE}" pid="17" name="sm_tila">
    <vt:lpwstr>Allekirjoitettu</vt:lpwstr>
  </property>
  <property fmtid="{D5CDD505-2E9C-101B-9397-08002B2CF9AE}" pid="18" name="sm_turvallisuusluokka">
    <vt:lpwstr/>
  </property>
  <property fmtid="{D5CDD505-2E9C-101B-9397-08002B2CF9AE}" pid="19" name="sm_turvallisuusperuste">
    <vt:lpwstr/>
  </property>
  <property fmtid="{D5CDD505-2E9C-101B-9397-08002B2CF9AE}" pid="20" name="sm_vastaanottaja">
    <vt:lpwstr>Vastaanottaja</vt:lpwstr>
  </property>
</Properties>
</file>