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34" w:rsidRPr="00B56472" w:rsidRDefault="0028441D" w:rsidP="00886E21">
      <w:pPr>
        <w:pStyle w:val="AVIjaELYNormaaliSisentmtn"/>
      </w:pPr>
      <w:bookmarkStart w:id="0" w:name="_GoBack"/>
      <w:bookmarkEnd w:id="0"/>
      <w:r w:rsidRPr="00B56472">
        <w:t>Ympäristöministeriö</w:t>
      </w:r>
      <w:r w:rsidR="00593E26" w:rsidRPr="00B56472">
        <w:tab/>
      </w:r>
      <w:r w:rsidR="00593E26" w:rsidRPr="00B56472">
        <w:tab/>
      </w:r>
      <w:r w:rsidR="00593E26" w:rsidRPr="00B56472">
        <w:tab/>
      </w:r>
    </w:p>
    <w:p w:rsidR="00CC2F34" w:rsidRPr="00B56472" w:rsidRDefault="0028441D" w:rsidP="00886E21">
      <w:pPr>
        <w:pStyle w:val="AVIjaELYNormaaliSisentmtn"/>
      </w:pPr>
      <w:r w:rsidRPr="00B56472">
        <w:t>Kirjaamo</w:t>
      </w:r>
    </w:p>
    <w:p w:rsidR="00CC2F34" w:rsidRPr="00B56472" w:rsidRDefault="00CC2F34" w:rsidP="00886E21">
      <w:pPr>
        <w:pStyle w:val="AVIjaELYNormaaliSisentmtn"/>
        <w:ind w:right="305"/>
        <w:rPr>
          <w:rFonts w:cs="Arial"/>
        </w:rPr>
      </w:pPr>
    </w:p>
    <w:p w:rsidR="00D03B0C" w:rsidRPr="00B56472" w:rsidRDefault="00D03B0C" w:rsidP="00886E21">
      <w:pPr>
        <w:pStyle w:val="AVIjaELYNormaaliSisentmtn"/>
      </w:pPr>
    </w:p>
    <w:p w:rsidR="00CC2F34" w:rsidRPr="00B56472" w:rsidRDefault="00A37832" w:rsidP="00886E21">
      <w:pPr>
        <w:pStyle w:val="AVIjaELYNormaaliSisentmtn"/>
      </w:pPr>
      <w:r w:rsidRPr="00B56472">
        <w:t xml:space="preserve">Ympäristöministeriön lausuntopyyntö </w:t>
      </w:r>
      <w:r w:rsidR="00D56795">
        <w:t>27.2.2014</w:t>
      </w:r>
      <w:r w:rsidRPr="00B56472">
        <w:t>, dnro YM</w:t>
      </w:r>
      <w:r w:rsidR="00D56795">
        <w:t>038:00/2011</w:t>
      </w:r>
    </w:p>
    <w:p w:rsidR="00886E21" w:rsidRPr="00B56472" w:rsidRDefault="0028441D" w:rsidP="00CC14C6">
      <w:pPr>
        <w:pStyle w:val="AVIjaELYOtsikko1"/>
        <w:rPr>
          <w:sz w:val="24"/>
          <w:szCs w:val="24"/>
        </w:rPr>
      </w:pPr>
      <w:r w:rsidRPr="00B56472">
        <w:rPr>
          <w:sz w:val="24"/>
          <w:szCs w:val="24"/>
        </w:rPr>
        <w:t xml:space="preserve">ETELÄ-SUOMEN ALUEHALLINTOVIRASTON YMPÄRISTÖLUPAVASTUUALUEEN </w:t>
      </w:r>
      <w:r w:rsidR="004B5535" w:rsidRPr="00B56472">
        <w:rPr>
          <w:sz w:val="24"/>
          <w:szCs w:val="24"/>
        </w:rPr>
        <w:t>L</w:t>
      </w:r>
      <w:r w:rsidR="00850CB3" w:rsidRPr="00B56472">
        <w:rPr>
          <w:sz w:val="24"/>
          <w:szCs w:val="24"/>
        </w:rPr>
        <w:t xml:space="preserve">AUSUNTO LUONNOKSESTA </w:t>
      </w:r>
      <w:r w:rsidR="000D7900">
        <w:rPr>
          <w:sz w:val="24"/>
          <w:szCs w:val="24"/>
        </w:rPr>
        <w:t>VALTIONEUVOSTON ASETUKSEKSI YMPÄRI</w:t>
      </w:r>
      <w:r w:rsidR="000D7900">
        <w:rPr>
          <w:sz w:val="24"/>
          <w:szCs w:val="24"/>
        </w:rPr>
        <w:t>S</w:t>
      </w:r>
      <w:r w:rsidR="000D7900">
        <w:rPr>
          <w:sz w:val="24"/>
          <w:szCs w:val="24"/>
        </w:rPr>
        <w:t>TÖNSUOJELUSTA JA YMPÄRISTÖMISNISTERIÖN ASETUKSEKSI PIENESTÄ YRITYKSESTÄ</w:t>
      </w:r>
    </w:p>
    <w:p w:rsidR="0028441D" w:rsidRPr="00B56472" w:rsidRDefault="0028441D" w:rsidP="006C5FB0">
      <w:pPr>
        <w:ind w:left="1304"/>
        <w:jc w:val="both"/>
        <w:rPr>
          <w:rFonts w:cs="Arial"/>
        </w:rPr>
      </w:pPr>
    </w:p>
    <w:p w:rsidR="001A5E48" w:rsidRDefault="00886E21" w:rsidP="006C5FB0">
      <w:pPr>
        <w:ind w:left="1304"/>
        <w:jc w:val="both"/>
        <w:rPr>
          <w:rFonts w:cs="Arial"/>
        </w:rPr>
      </w:pPr>
      <w:r w:rsidRPr="00B56472">
        <w:rPr>
          <w:rFonts w:cs="Arial"/>
        </w:rPr>
        <w:t xml:space="preserve">Ympäristöministeriö pyytää lausuntoa </w:t>
      </w:r>
      <w:r w:rsidR="001A5E48" w:rsidRPr="00B56472">
        <w:rPr>
          <w:rFonts w:cs="Arial"/>
        </w:rPr>
        <w:t>luonnoks</w:t>
      </w:r>
      <w:r w:rsidR="00850CB3" w:rsidRPr="00B56472">
        <w:rPr>
          <w:rFonts w:cs="Arial"/>
        </w:rPr>
        <w:t>e</w:t>
      </w:r>
      <w:r w:rsidR="001A5E48" w:rsidRPr="00B56472">
        <w:rPr>
          <w:rFonts w:cs="Arial"/>
        </w:rPr>
        <w:t xml:space="preserve">sta </w:t>
      </w:r>
      <w:r w:rsidR="000D7900">
        <w:rPr>
          <w:rFonts w:cs="Arial"/>
        </w:rPr>
        <w:t>valtioneuvoston asetukseksi y</w:t>
      </w:r>
      <w:r w:rsidR="000D7900">
        <w:rPr>
          <w:rFonts w:cs="Arial"/>
        </w:rPr>
        <w:t>m</w:t>
      </w:r>
      <w:r w:rsidR="000D7900">
        <w:rPr>
          <w:rFonts w:cs="Arial"/>
        </w:rPr>
        <w:t>päristönsuojelusta ja ympäristöministeriön asetukseksi pienestä yrityksestä.</w:t>
      </w:r>
    </w:p>
    <w:p w:rsidR="000D7900" w:rsidRDefault="000D7900" w:rsidP="006C5FB0">
      <w:pPr>
        <w:ind w:left="1304"/>
        <w:jc w:val="both"/>
        <w:rPr>
          <w:rFonts w:cs="Arial"/>
        </w:rPr>
      </w:pPr>
      <w:r>
        <w:rPr>
          <w:rFonts w:cs="Arial"/>
        </w:rPr>
        <w:t>Asetus ympäristönsuojelusta korvaisi ympäristönsuojeluasetuksen (169/2000) ja se tulisi voimaan samanaikaisesti uuden ympäristönsuojelulain (HE/214/2013) kanssa. Asetuksella pantaisiin omalta osaltaan täytäntöön teollisuuspäästödirektiivin sää</w:t>
      </w:r>
      <w:r>
        <w:rPr>
          <w:rFonts w:cs="Arial"/>
        </w:rPr>
        <w:t>n</w:t>
      </w:r>
      <w:r>
        <w:rPr>
          <w:rFonts w:cs="Arial"/>
        </w:rPr>
        <w:t>nökset lupamenettelystä ja luvanvaraisten toimintojen valvonnasta. Pitkälti nykyiseen asetukseen pohjautuva teksti päivitettäisiin pykäläviittausten ja sanamuotojen osalta uutta lainsäädäntöä vastaavaksi. Aluehallintoviraston ja kunnan ympäristönsuojeluv</w:t>
      </w:r>
      <w:r>
        <w:rPr>
          <w:rFonts w:cs="Arial"/>
        </w:rPr>
        <w:t>i</w:t>
      </w:r>
      <w:r>
        <w:rPr>
          <w:rFonts w:cs="Arial"/>
        </w:rPr>
        <w:t>ranomaisten toimivaltaa lupa-asioiden ratkaisemisessa muutettaisiin joidenkin toim</w:t>
      </w:r>
      <w:r>
        <w:rPr>
          <w:rFonts w:cs="Arial"/>
        </w:rPr>
        <w:t>i</w:t>
      </w:r>
      <w:r>
        <w:rPr>
          <w:rFonts w:cs="Arial"/>
        </w:rPr>
        <w:t>alojen osalta.</w:t>
      </w:r>
    </w:p>
    <w:p w:rsidR="000D7900" w:rsidRPr="00B56472" w:rsidRDefault="000D7900" w:rsidP="006C5FB0">
      <w:pPr>
        <w:ind w:left="1304"/>
        <w:jc w:val="both"/>
        <w:rPr>
          <w:rFonts w:cs="Arial"/>
        </w:rPr>
      </w:pPr>
      <w:r>
        <w:rPr>
          <w:rFonts w:cs="Arial"/>
        </w:rPr>
        <w:t>Asetus pienestä yrityksestä liittyisi pienten yritysten valvontamaksujen kohtuullistam</w:t>
      </w:r>
      <w:r>
        <w:rPr>
          <w:rFonts w:cs="Arial"/>
        </w:rPr>
        <w:t>i</w:t>
      </w:r>
      <w:r>
        <w:rPr>
          <w:rFonts w:cs="Arial"/>
        </w:rPr>
        <w:t>seen.</w:t>
      </w:r>
    </w:p>
    <w:p w:rsidR="006C5FB0" w:rsidRPr="00B56472" w:rsidRDefault="003139B6" w:rsidP="006C5FB0">
      <w:pPr>
        <w:jc w:val="both"/>
        <w:rPr>
          <w:rFonts w:cs="Arial"/>
          <w:b/>
        </w:rPr>
      </w:pPr>
      <w:r w:rsidRPr="00B56472">
        <w:rPr>
          <w:rFonts w:cs="Arial"/>
          <w:b/>
        </w:rPr>
        <w:t>Lausunto</w:t>
      </w:r>
      <w:r w:rsidR="00182AB8" w:rsidRPr="00B56472">
        <w:rPr>
          <w:rFonts w:cs="Arial"/>
          <w:b/>
        </w:rPr>
        <w:tab/>
      </w:r>
      <w:r w:rsidR="009E0DAC" w:rsidRPr="00B56472">
        <w:rPr>
          <w:rFonts w:cs="Arial"/>
          <w:b/>
        </w:rPr>
        <w:tab/>
      </w:r>
    </w:p>
    <w:p w:rsidR="003139B6" w:rsidRDefault="00182AB8" w:rsidP="006C5FB0">
      <w:pPr>
        <w:ind w:left="1304"/>
        <w:jc w:val="both"/>
        <w:rPr>
          <w:rFonts w:cs="Arial"/>
        </w:rPr>
      </w:pPr>
      <w:r w:rsidRPr="008D68E2">
        <w:rPr>
          <w:rFonts w:cs="Arial"/>
        </w:rPr>
        <w:t>Etelä-Suomen aluehallintoviraston ympäristölu</w:t>
      </w:r>
      <w:r w:rsidR="0028441D" w:rsidRPr="008D68E2">
        <w:rPr>
          <w:rFonts w:cs="Arial"/>
        </w:rPr>
        <w:t>vat</w:t>
      </w:r>
      <w:r w:rsidR="00F80BD1">
        <w:rPr>
          <w:rFonts w:cs="Arial"/>
        </w:rPr>
        <w:t xml:space="preserve"> -</w:t>
      </w:r>
      <w:r w:rsidR="0028441D" w:rsidRPr="008D68E2">
        <w:rPr>
          <w:rFonts w:cs="Arial"/>
        </w:rPr>
        <w:t xml:space="preserve"> </w:t>
      </w:r>
      <w:r w:rsidRPr="008D68E2">
        <w:rPr>
          <w:rFonts w:cs="Arial"/>
        </w:rPr>
        <w:t>vastuualue esittää lausuntonaan seuraavaa:</w:t>
      </w:r>
    </w:p>
    <w:p w:rsidR="00860342" w:rsidRDefault="00860342" w:rsidP="006C5FB0">
      <w:pPr>
        <w:ind w:left="1304"/>
        <w:jc w:val="both"/>
        <w:rPr>
          <w:rFonts w:cs="Arial"/>
        </w:rPr>
      </w:pPr>
      <w:r>
        <w:rPr>
          <w:rFonts w:cs="Arial"/>
        </w:rPr>
        <w:t>Ehdotukseen ympäristöministeriön asetukseksi pienestä yrityksestä Etelä-Suomen aluehallintoviraston ympäristölupavastuualueella ei ole lausuttavaa.</w:t>
      </w:r>
    </w:p>
    <w:p w:rsidR="00C12027" w:rsidRDefault="002E7800" w:rsidP="006C5FB0">
      <w:pPr>
        <w:ind w:left="1304"/>
        <w:jc w:val="both"/>
        <w:rPr>
          <w:rFonts w:cs="Arial"/>
        </w:rPr>
      </w:pPr>
      <w:r>
        <w:rPr>
          <w:rFonts w:cs="Arial"/>
        </w:rPr>
        <w:t>Asetusluonnoksessa valtioneuvoston asetukseksi ympäristönsuojelusta</w:t>
      </w:r>
      <w:r w:rsidR="00C12027">
        <w:rPr>
          <w:rFonts w:cs="Arial"/>
        </w:rPr>
        <w:t xml:space="preserve"> säädettäisiin teollisuuspäästödirektiivin toimeenpanon vuoksi tarpeellisista, tarkemmista säännö</w:t>
      </w:r>
      <w:r w:rsidR="00C12027">
        <w:rPr>
          <w:rFonts w:cs="Arial"/>
        </w:rPr>
        <w:t>k</w:t>
      </w:r>
      <w:r w:rsidR="00C12027">
        <w:rPr>
          <w:rFonts w:cs="Arial"/>
        </w:rPr>
        <w:t>sistä, jotka koskevat lupa</w:t>
      </w:r>
      <w:r w:rsidR="00092AE6">
        <w:rPr>
          <w:rFonts w:cs="Arial"/>
        </w:rPr>
        <w:t>menettelyä ja valvontaa. A</w:t>
      </w:r>
      <w:r w:rsidR="00C12027">
        <w:rPr>
          <w:rFonts w:cs="Arial"/>
        </w:rPr>
        <w:t>setusluonnoksessa on vähe</w:t>
      </w:r>
      <w:r w:rsidR="00C12027">
        <w:rPr>
          <w:rFonts w:cs="Arial"/>
        </w:rPr>
        <w:t>m</w:t>
      </w:r>
      <w:r w:rsidR="00C12027">
        <w:rPr>
          <w:rFonts w:cs="Arial"/>
        </w:rPr>
        <w:t>män mainintoja sellaisista hallintoasioiden käsittelyä tai päätösten sisältöä koskevista yleisistä vaatimuksista, joista säädetään riittävästi</w:t>
      </w:r>
      <w:r w:rsidR="00B50678">
        <w:rPr>
          <w:rFonts w:cs="Arial"/>
        </w:rPr>
        <w:t xml:space="preserve"> perustuslaissa ja hallintolaissa. Yleisön osallistumisoikeus ympäristöasioiden käsittelyyn on otettu huomioon säät</w:t>
      </w:r>
      <w:r w:rsidR="00B50678">
        <w:rPr>
          <w:rFonts w:cs="Arial"/>
        </w:rPr>
        <w:t>ä</w:t>
      </w:r>
      <w:r w:rsidR="00B50678">
        <w:rPr>
          <w:rFonts w:cs="Arial"/>
        </w:rPr>
        <w:t>mällä seikkaperäisemmin muun muassa lupapäätösten perusteluiden sisällöstä. Näi</w:t>
      </w:r>
      <w:r w:rsidR="00B50678">
        <w:rPr>
          <w:rFonts w:cs="Arial"/>
        </w:rPr>
        <w:t>l</w:t>
      </w:r>
      <w:r w:rsidR="00B50678">
        <w:rPr>
          <w:rFonts w:cs="Arial"/>
        </w:rPr>
        <w:lastRenderedPageBreak/>
        <w:t>tä osin asetusluonnosta voidaan pitää pääosin onnistuneena.</w:t>
      </w:r>
      <w:r w:rsidR="00CB2F84">
        <w:rPr>
          <w:rFonts w:cs="Arial"/>
        </w:rPr>
        <w:t xml:space="preserve"> Tässä yhteydessä on kuitenkin</w:t>
      </w:r>
      <w:r w:rsidR="00092AE6">
        <w:rPr>
          <w:rFonts w:cs="Arial"/>
        </w:rPr>
        <w:t xml:space="preserve"> vesilainsäädäntöä muuttamalla</w:t>
      </w:r>
      <w:r w:rsidR="00CB2F84">
        <w:rPr>
          <w:rFonts w:cs="Arial"/>
        </w:rPr>
        <w:t xml:space="preserve"> varmistettava, että ympäristölupien käsitt</w:t>
      </w:r>
      <w:r w:rsidR="00CB2F84">
        <w:rPr>
          <w:rFonts w:cs="Arial"/>
        </w:rPr>
        <w:t>e</w:t>
      </w:r>
      <w:r w:rsidR="00CB2F84">
        <w:rPr>
          <w:rFonts w:cs="Arial"/>
        </w:rPr>
        <w:t>lyä koskevat menettelysäännökset ovat yhdenmukaisia vesilain mukaisten lupien k</w:t>
      </w:r>
      <w:r w:rsidR="00CB2F84">
        <w:rPr>
          <w:rFonts w:cs="Arial"/>
        </w:rPr>
        <w:t>ä</w:t>
      </w:r>
      <w:r w:rsidR="00CB2F84">
        <w:rPr>
          <w:rFonts w:cs="Arial"/>
        </w:rPr>
        <w:t>sittelyä koskevien säännösten kanssa.</w:t>
      </w:r>
    </w:p>
    <w:p w:rsidR="00B50678" w:rsidRDefault="00B50678" w:rsidP="006C5FB0">
      <w:pPr>
        <w:ind w:left="1304"/>
        <w:jc w:val="both"/>
        <w:rPr>
          <w:rFonts w:cs="Arial"/>
        </w:rPr>
      </w:pPr>
      <w:r>
        <w:rPr>
          <w:rFonts w:cs="Arial"/>
        </w:rPr>
        <w:t>Asetuksen perusteluosassa on esitetty, että toimivaltamuutosten seurauksena noin 175 nykyisin aluehallintovirastojen lup</w:t>
      </w:r>
      <w:r w:rsidR="00A774D2">
        <w:rPr>
          <w:rFonts w:cs="Arial"/>
        </w:rPr>
        <w:t>atoimivaltaan kuuluvaa autopurk</w:t>
      </w:r>
      <w:r>
        <w:rPr>
          <w:rFonts w:cs="Arial"/>
        </w:rPr>
        <w:t>amoa siirtyisi kuntien lupatoimivaltaan ja arviolta vähintään 190 kuntien toimivaltaan kuuluvaa s</w:t>
      </w:r>
      <w:r>
        <w:rPr>
          <w:rFonts w:cs="Arial"/>
        </w:rPr>
        <w:t>a</w:t>
      </w:r>
      <w:r>
        <w:rPr>
          <w:rFonts w:cs="Arial"/>
        </w:rPr>
        <w:t>halaitosta ja viilutehdasta siirtyisi puolestaan valtion ympäristölupaviranomaisen to</w:t>
      </w:r>
      <w:r>
        <w:rPr>
          <w:rFonts w:cs="Arial"/>
        </w:rPr>
        <w:t>i</w:t>
      </w:r>
      <w:r w:rsidR="00CA27E9">
        <w:rPr>
          <w:rFonts w:cs="Arial"/>
        </w:rPr>
        <w:t>mivaltaan. Aluehallintovirastojen lupavastuualueiden työmäärä lisääntyisi, mitä ei vo</w:t>
      </w:r>
      <w:r w:rsidR="00CA27E9">
        <w:rPr>
          <w:rFonts w:cs="Arial"/>
        </w:rPr>
        <w:t>i</w:t>
      </w:r>
      <w:r w:rsidR="00CA27E9">
        <w:rPr>
          <w:rFonts w:cs="Arial"/>
        </w:rPr>
        <w:t>da pitää nykyresurssit huomioon ottaen toivottavana.</w:t>
      </w:r>
    </w:p>
    <w:p w:rsidR="00152F28" w:rsidRDefault="00CA27E9" w:rsidP="006C5FB0">
      <w:pPr>
        <w:ind w:left="1304"/>
        <w:jc w:val="both"/>
        <w:rPr>
          <w:rFonts w:cs="Arial"/>
        </w:rPr>
      </w:pPr>
      <w:r>
        <w:rPr>
          <w:rFonts w:cs="Arial"/>
        </w:rPr>
        <w:t>Etelä-Suomen aluehallintovirasto haluaa tässä yhteydessä viitata ympäristönsuojel</w:t>
      </w:r>
      <w:r>
        <w:rPr>
          <w:rFonts w:cs="Arial"/>
        </w:rPr>
        <w:t>u</w:t>
      </w:r>
      <w:r>
        <w:rPr>
          <w:rFonts w:cs="Arial"/>
        </w:rPr>
        <w:t>lain valmistelun yhteydessä antamaansa lausuntoon, jonka mukaan</w:t>
      </w:r>
      <w:r w:rsidR="00FB4C31">
        <w:rPr>
          <w:rFonts w:cs="Arial"/>
        </w:rPr>
        <w:t xml:space="preserve"> lupatoimivallan jakoa koskeva lähtökohdan tulisi olla se, että uudistetun ympäristönsuojelulain liitteen taulukon 1 mukaiset toiminnot luvitettaisiin aluehallintovirastoissa ja taulukon 2 m</w:t>
      </w:r>
      <w:r w:rsidR="00FB4C31">
        <w:rPr>
          <w:rFonts w:cs="Arial"/>
        </w:rPr>
        <w:t>u</w:t>
      </w:r>
      <w:r w:rsidR="00152F28">
        <w:rPr>
          <w:rFonts w:cs="Arial"/>
        </w:rPr>
        <w:t>kaiset toiminnot kunnissa, poikkeuksena vesien pilaantumista aiheuttava toiminta (k</w:t>
      </w:r>
      <w:r w:rsidR="00152F28">
        <w:rPr>
          <w:rFonts w:cs="Arial"/>
        </w:rPr>
        <w:t>a</w:t>
      </w:r>
      <w:r w:rsidR="00152F28">
        <w:rPr>
          <w:rFonts w:cs="Arial"/>
        </w:rPr>
        <w:t>lankasvatus, turvetuotanto, suuret jäteveden puhdistamot ja teollisuuden jätevede</w:t>
      </w:r>
      <w:r w:rsidR="00152F28">
        <w:rPr>
          <w:rFonts w:cs="Arial"/>
        </w:rPr>
        <w:t>n</w:t>
      </w:r>
      <w:r w:rsidR="00152F28">
        <w:rPr>
          <w:rFonts w:cs="Arial"/>
        </w:rPr>
        <w:t>puhdistamot, joilla on vaarallisten aineiden päästöjä).</w:t>
      </w:r>
    </w:p>
    <w:p w:rsidR="00CA27E9" w:rsidRDefault="00FB4C31" w:rsidP="006C5FB0">
      <w:pPr>
        <w:ind w:left="1304"/>
        <w:jc w:val="both"/>
        <w:rPr>
          <w:rFonts w:cs="Arial"/>
        </w:rPr>
      </w:pPr>
      <w:r>
        <w:rPr>
          <w:rFonts w:cs="Arial"/>
        </w:rPr>
        <w:t>A</w:t>
      </w:r>
      <w:r w:rsidR="00873C86">
        <w:rPr>
          <w:rFonts w:cs="Arial"/>
        </w:rPr>
        <w:t>luehallintovirastojen ja kuntien ympäristölupien käsittelystä aiheutuvaa työmäärää tulisi vähentää siirtämällä rekisteröinnin tai muun hallinnollisen menettelyn piiriin erä</w:t>
      </w:r>
      <w:r w:rsidR="00873C86">
        <w:rPr>
          <w:rFonts w:cs="Arial"/>
        </w:rPr>
        <w:t>i</w:t>
      </w:r>
      <w:r w:rsidR="00873C86">
        <w:rPr>
          <w:rFonts w:cs="Arial"/>
        </w:rPr>
        <w:t>tä to</w:t>
      </w:r>
      <w:r w:rsidR="00A774D2">
        <w:rPr>
          <w:rFonts w:cs="Arial"/>
        </w:rPr>
        <w:t>imintoja, kuten pienet autopurk</w:t>
      </w:r>
      <w:r w:rsidR="00873C86">
        <w:rPr>
          <w:rFonts w:cs="Arial"/>
        </w:rPr>
        <w:t>amot, pienet jäteveden puhdistamot ja tärkeiden pohjavesialueiden ulkopuolella sijaitsevat erilliset kemikaalivarasto</w:t>
      </w:r>
      <w:r w:rsidR="00CB2F84">
        <w:rPr>
          <w:rFonts w:cs="Arial"/>
        </w:rPr>
        <w:t>t. Jätteenkäsittelyn luvanvaraisuudelle ei ole asetettu kynnysrajoja. Laitosmaisuuden ja ammattimaisu</w:t>
      </w:r>
      <w:r w:rsidR="00CB2F84">
        <w:rPr>
          <w:rFonts w:cs="Arial"/>
        </w:rPr>
        <w:t>u</w:t>
      </w:r>
      <w:r w:rsidR="00CB2F84">
        <w:rPr>
          <w:rFonts w:cs="Arial"/>
        </w:rPr>
        <w:t>den määrittelystä huolimatta ympäristövaikutuksiltaan vähäisiä toimintoja tulee</w:t>
      </w:r>
      <w:r w:rsidR="00092AE6">
        <w:rPr>
          <w:rFonts w:cs="Arial"/>
        </w:rPr>
        <w:t xml:space="preserve"> ta</w:t>
      </w:r>
      <w:r w:rsidR="00092AE6">
        <w:rPr>
          <w:rFonts w:cs="Arial"/>
        </w:rPr>
        <w:t>r</w:t>
      </w:r>
      <w:r w:rsidR="00092AE6">
        <w:rPr>
          <w:rFonts w:cs="Arial"/>
        </w:rPr>
        <w:t>peettomasti luvituksen</w:t>
      </w:r>
      <w:r w:rsidR="00CB2F84">
        <w:rPr>
          <w:rFonts w:cs="Arial"/>
        </w:rPr>
        <w:t xml:space="preserve"> piiriin.</w:t>
      </w:r>
    </w:p>
    <w:p w:rsidR="00CB2F84" w:rsidRDefault="00844224" w:rsidP="006C5FB0">
      <w:pPr>
        <w:ind w:left="1304"/>
        <w:jc w:val="both"/>
        <w:rPr>
          <w:rFonts w:cs="Arial"/>
        </w:rPr>
      </w:pPr>
      <w:r>
        <w:rPr>
          <w:rFonts w:cs="Arial"/>
        </w:rPr>
        <w:t>Asetusluonnoksen 22§:n mukaiset direktiivilaitosten lupien tarkistamisen käsittelyä koskevat määräajat ovat ongelmallisia ja käytännössä mahdottomia toteuttaa nyk</w:t>
      </w:r>
      <w:r>
        <w:rPr>
          <w:rFonts w:cs="Arial"/>
        </w:rPr>
        <w:t>y</w:t>
      </w:r>
      <w:r>
        <w:rPr>
          <w:rFonts w:cs="Arial"/>
        </w:rPr>
        <w:t>resurssein. Määräaikojen noudattamatta jättäminen voi johtaa hallintoa tarpeettoma</w:t>
      </w:r>
      <w:r>
        <w:rPr>
          <w:rFonts w:cs="Arial"/>
        </w:rPr>
        <w:t>s</w:t>
      </w:r>
      <w:r>
        <w:rPr>
          <w:rFonts w:cs="Arial"/>
        </w:rPr>
        <w:t>ti kuormittaviin lisäselvityksiin sekä kan</w:t>
      </w:r>
      <w:r w:rsidR="003F0542">
        <w:rPr>
          <w:rFonts w:cs="Arial"/>
        </w:rPr>
        <w:t>sallisella että EU-tasolla. Määräaikojen no</w:t>
      </w:r>
      <w:r w:rsidR="003F0542">
        <w:rPr>
          <w:rFonts w:cs="Arial"/>
        </w:rPr>
        <w:t>u</w:t>
      </w:r>
      <w:r w:rsidR="003F0542">
        <w:rPr>
          <w:rFonts w:cs="Arial"/>
        </w:rPr>
        <w:t>dattaminen johtaa vääjäämättä siihen, e</w:t>
      </w:r>
      <w:r w:rsidR="009D307F">
        <w:rPr>
          <w:rFonts w:cs="Arial"/>
        </w:rPr>
        <w:t>ttä uusia investointeja koskevien ympärist</w:t>
      </w:r>
      <w:r w:rsidR="009D307F">
        <w:rPr>
          <w:rFonts w:cs="Arial"/>
        </w:rPr>
        <w:t>ö</w:t>
      </w:r>
      <w:r w:rsidR="009D307F">
        <w:rPr>
          <w:rFonts w:cs="Arial"/>
        </w:rPr>
        <w:t>lupahakemusten</w:t>
      </w:r>
      <w:r w:rsidR="003F0542">
        <w:rPr>
          <w:rFonts w:cs="Arial"/>
        </w:rPr>
        <w:t xml:space="preserve"> käsittely </w:t>
      </w:r>
      <w:r w:rsidR="004525CB">
        <w:rPr>
          <w:rFonts w:cs="Arial"/>
        </w:rPr>
        <w:t xml:space="preserve">aluehallintovirastoissa </w:t>
      </w:r>
      <w:r w:rsidR="003F0542">
        <w:rPr>
          <w:rFonts w:cs="Arial"/>
        </w:rPr>
        <w:t>lykkääntyy perusteettomasti.</w:t>
      </w:r>
    </w:p>
    <w:p w:rsidR="00FB4C31" w:rsidRDefault="00FB4C31" w:rsidP="006C5FB0">
      <w:pPr>
        <w:ind w:left="1304"/>
        <w:jc w:val="both"/>
        <w:rPr>
          <w:rFonts w:cs="Arial"/>
        </w:rPr>
      </w:pPr>
      <w:r>
        <w:rPr>
          <w:rFonts w:cs="Arial"/>
        </w:rPr>
        <w:t>Hakemuksen täydennykselle asetettava määräaika ei saa estää myöhempiä täyde</w:t>
      </w:r>
      <w:r>
        <w:rPr>
          <w:rFonts w:cs="Arial"/>
        </w:rPr>
        <w:t>n</w:t>
      </w:r>
      <w:r>
        <w:rPr>
          <w:rFonts w:cs="Arial"/>
        </w:rPr>
        <w:t>nyksiä, joiden tarve huomataan vasta hakemuksen tarkemassa käsittelyssä</w:t>
      </w:r>
      <w:r w:rsidR="00152F28">
        <w:rPr>
          <w:rFonts w:cs="Arial"/>
        </w:rPr>
        <w:t>. Täyde</w:t>
      </w:r>
      <w:r w:rsidR="00152F28">
        <w:rPr>
          <w:rFonts w:cs="Arial"/>
        </w:rPr>
        <w:t>n</w:t>
      </w:r>
      <w:r w:rsidR="00152F28">
        <w:rPr>
          <w:rFonts w:cs="Arial"/>
        </w:rPr>
        <w:t>nyskielto saattaa johtaa turhiin valituksiin.</w:t>
      </w:r>
    </w:p>
    <w:p w:rsidR="003F0542" w:rsidRDefault="003F0542" w:rsidP="006C5FB0">
      <w:pPr>
        <w:ind w:left="1304"/>
        <w:jc w:val="both"/>
        <w:rPr>
          <w:rFonts w:cs="Arial"/>
        </w:rPr>
      </w:pPr>
      <w:r>
        <w:rPr>
          <w:rFonts w:cs="Arial"/>
        </w:rPr>
        <w:t>Direktiivilaitosten lupien käsittely</w:t>
      </w:r>
      <w:r w:rsidR="00265177">
        <w:rPr>
          <w:rFonts w:cs="Arial"/>
        </w:rPr>
        <w:t>n aikatauluun aluehallintoviranomaisessa</w:t>
      </w:r>
      <w:r w:rsidR="002E7800">
        <w:rPr>
          <w:rFonts w:cs="Arial"/>
        </w:rPr>
        <w:t xml:space="preserve"> ottaen huomioon IED:n mukainen määräaika</w:t>
      </w:r>
      <w:r w:rsidR="00265177">
        <w:rPr>
          <w:rFonts w:cs="Arial"/>
        </w:rPr>
        <w:t xml:space="preserve"> tuo haasteensa myös käsittelyn vaiheittaisuus (valvontaviranomainen - avi), mikä sinänsä on perusteltua. Ympäristönsuojelulakia koskevan hallituksen esityksen 80 § 2 momentin mukaan valvontaviranomainen voi antaa toiminnanharjoittajalle lisäaikaa luvan tarkistamisen tarvetta koskevaan selv</w:t>
      </w:r>
      <w:r w:rsidR="00265177">
        <w:rPr>
          <w:rFonts w:cs="Arial"/>
        </w:rPr>
        <w:t>i</w:t>
      </w:r>
      <w:r w:rsidR="00265177">
        <w:rPr>
          <w:rFonts w:cs="Arial"/>
        </w:rPr>
        <w:t>tyksen tekemiselle. Lisäksi asetusluonnoksen 34§:n 1 momentin mukainen valvont</w:t>
      </w:r>
      <w:r w:rsidR="00265177">
        <w:rPr>
          <w:rFonts w:cs="Arial"/>
        </w:rPr>
        <w:t>a</w:t>
      </w:r>
      <w:r w:rsidR="00265177">
        <w:rPr>
          <w:rFonts w:cs="Arial"/>
        </w:rPr>
        <w:t>viranomaisen määräystä luvan tarkistamiseksi koskeva aikataulu on joustava.</w:t>
      </w:r>
    </w:p>
    <w:p w:rsidR="00FB4C31" w:rsidRDefault="00FB4C31" w:rsidP="006C5FB0">
      <w:pPr>
        <w:ind w:left="1304"/>
        <w:jc w:val="both"/>
        <w:rPr>
          <w:rFonts w:cs="Arial"/>
        </w:rPr>
      </w:pPr>
    </w:p>
    <w:p w:rsidR="00860342" w:rsidRDefault="00860342" w:rsidP="007643B0">
      <w:pPr>
        <w:pStyle w:val="Eivli"/>
        <w:spacing w:line="276" w:lineRule="auto"/>
      </w:pPr>
    </w:p>
    <w:p w:rsidR="00F57FE5" w:rsidRDefault="00F57FE5" w:rsidP="007643B0">
      <w:pPr>
        <w:pStyle w:val="Eivli"/>
        <w:spacing w:line="276" w:lineRule="auto"/>
      </w:pPr>
    </w:p>
    <w:p w:rsidR="006C5FB0" w:rsidRPr="008D68E2" w:rsidRDefault="00621BC6" w:rsidP="007643B0">
      <w:pPr>
        <w:pStyle w:val="Eivli"/>
        <w:spacing w:line="276" w:lineRule="auto"/>
        <w:rPr>
          <w:color w:val="FF0000"/>
        </w:rPr>
      </w:pPr>
      <w:r w:rsidRPr="008D68E2">
        <w:t>Pykäläkohtaiset kommentit</w:t>
      </w:r>
    </w:p>
    <w:p w:rsidR="006C5FB0" w:rsidRPr="008D68E2" w:rsidRDefault="006C5FB0" w:rsidP="006C5FB0">
      <w:pPr>
        <w:pStyle w:val="Eivli"/>
        <w:spacing w:line="276" w:lineRule="auto"/>
        <w:ind w:left="1304"/>
      </w:pPr>
    </w:p>
    <w:p w:rsidR="00152F28" w:rsidRDefault="00152F28" w:rsidP="007643B0">
      <w:pPr>
        <w:pStyle w:val="Eivli"/>
        <w:spacing w:line="276" w:lineRule="auto"/>
        <w:ind w:left="720"/>
      </w:pPr>
      <w:r>
        <w:t>1§ kohta 1a)</w:t>
      </w:r>
    </w:p>
    <w:p w:rsidR="00AE069D" w:rsidRDefault="00AE069D" w:rsidP="007643B0">
      <w:pPr>
        <w:pStyle w:val="Eivli"/>
        <w:spacing w:line="276" w:lineRule="auto"/>
        <w:ind w:left="720"/>
      </w:pPr>
    </w:p>
    <w:p w:rsidR="00152F28" w:rsidRDefault="00AE069D" w:rsidP="00152F28">
      <w:pPr>
        <w:pStyle w:val="Eivli"/>
        <w:numPr>
          <w:ilvl w:val="0"/>
          <w:numId w:val="17"/>
        </w:numPr>
        <w:spacing w:line="276" w:lineRule="auto"/>
      </w:pPr>
      <w:r>
        <w:t>sahalaitos tulisi luvittaa aluehallintovirastoissa ainoastaan silloin, kun samalla kii</w:t>
      </w:r>
      <w:r>
        <w:t>n</w:t>
      </w:r>
      <w:r>
        <w:t>teistöllä on muitakin avin luvitettavaksi tulevia laitoksia (esim. kyllästämö).</w:t>
      </w:r>
    </w:p>
    <w:p w:rsidR="00AE069D" w:rsidRDefault="00AE069D" w:rsidP="00AE069D">
      <w:pPr>
        <w:pStyle w:val="Eivli"/>
        <w:spacing w:line="276" w:lineRule="auto"/>
        <w:ind w:left="1440"/>
      </w:pPr>
    </w:p>
    <w:p w:rsidR="004053FD" w:rsidRDefault="006E7A0A" w:rsidP="00152F28">
      <w:pPr>
        <w:pStyle w:val="Eivli"/>
        <w:spacing w:line="276" w:lineRule="auto"/>
        <w:ind w:firstLine="720"/>
      </w:pPr>
      <w:r>
        <w:t>1</w:t>
      </w:r>
      <w:r w:rsidR="004053FD" w:rsidRPr="008D68E2">
        <w:t xml:space="preserve"> § </w:t>
      </w:r>
      <w:r>
        <w:t>kohta 9b)</w:t>
      </w:r>
    </w:p>
    <w:p w:rsidR="00F80BD1" w:rsidRPr="008D68E2" w:rsidRDefault="00F80BD1" w:rsidP="007643B0">
      <w:pPr>
        <w:pStyle w:val="Eivli"/>
        <w:spacing w:line="276" w:lineRule="auto"/>
        <w:ind w:left="720"/>
      </w:pPr>
    </w:p>
    <w:p w:rsidR="004053FD" w:rsidRDefault="006E7A0A" w:rsidP="00B56472">
      <w:pPr>
        <w:pStyle w:val="Eivli"/>
        <w:numPr>
          <w:ilvl w:val="0"/>
          <w:numId w:val="17"/>
        </w:numPr>
        <w:spacing w:line="276" w:lineRule="auto"/>
        <w:jc w:val="both"/>
      </w:pPr>
      <w:r>
        <w:t>luvanvaraisena toimintana on maini</w:t>
      </w:r>
      <w:r w:rsidR="00A774D2">
        <w:t>ttu nahkatehdas tai turkismuokka</w:t>
      </w:r>
      <w:r>
        <w:t>amo. Lakiehd</w:t>
      </w:r>
      <w:r>
        <w:t>o</w:t>
      </w:r>
      <w:r>
        <w:t>tuksessa ao. kohdassa mainitaan poikkeuksena tuotteiden valmistus valmiiksi käs</w:t>
      </w:r>
      <w:r>
        <w:t>i</w:t>
      </w:r>
      <w:r>
        <w:t>tellyistä nahoista. Tämä poikkeus olisi johdonmukaisuuden vuoksi syytä olla myös asetuksessa.</w:t>
      </w:r>
    </w:p>
    <w:p w:rsidR="006E7A0A" w:rsidRDefault="006E7A0A" w:rsidP="006E7A0A">
      <w:pPr>
        <w:pStyle w:val="Eivli"/>
        <w:spacing w:line="276" w:lineRule="auto"/>
        <w:ind w:left="1440"/>
        <w:jc w:val="both"/>
      </w:pPr>
    </w:p>
    <w:p w:rsidR="00403E35" w:rsidRDefault="00403E35" w:rsidP="006E7A0A">
      <w:pPr>
        <w:pStyle w:val="Eivli"/>
        <w:spacing w:line="276" w:lineRule="auto"/>
        <w:ind w:left="720"/>
        <w:jc w:val="both"/>
      </w:pPr>
    </w:p>
    <w:p w:rsidR="006E7A0A" w:rsidRDefault="006E7A0A" w:rsidP="006E7A0A">
      <w:pPr>
        <w:pStyle w:val="Eivli"/>
        <w:spacing w:line="276" w:lineRule="auto"/>
        <w:ind w:left="720"/>
        <w:jc w:val="both"/>
      </w:pPr>
      <w:r>
        <w:t>1§ kohta 13e)</w:t>
      </w:r>
    </w:p>
    <w:p w:rsidR="00F80BD1" w:rsidRDefault="00F80BD1" w:rsidP="006E7A0A">
      <w:pPr>
        <w:pStyle w:val="Eivli"/>
        <w:spacing w:line="276" w:lineRule="auto"/>
        <w:ind w:left="720"/>
        <w:jc w:val="both"/>
      </w:pPr>
    </w:p>
    <w:p w:rsidR="006E7A0A" w:rsidRDefault="00857AE4" w:rsidP="006E7A0A">
      <w:pPr>
        <w:pStyle w:val="Eivli"/>
        <w:numPr>
          <w:ilvl w:val="0"/>
          <w:numId w:val="17"/>
        </w:numPr>
        <w:spacing w:line="276" w:lineRule="auto"/>
        <w:jc w:val="both"/>
      </w:pPr>
      <w:r>
        <w:t>Pykälän 1 momentissa säädetään, että valtion ympäristölupaviranomainen ratkaisee mm. ympäristönsuojelulain liitteen 1 taulukossa 2 tarkoitettujen toimintojen ympäri</w:t>
      </w:r>
      <w:r>
        <w:t>s</w:t>
      </w:r>
      <w:r>
        <w:t>tölupa-asiat. Maankaatopaikkoja ei ole mainittu kyseisessä taulukossa vai onko ta</w:t>
      </w:r>
      <w:r>
        <w:t>r</w:t>
      </w:r>
      <w:r>
        <w:t>koitus, että maankaatopaikkojen luvanvaraisuus johdetaan taulukon 1 kohdan 13g) kautta. Asetusluonnoksen kohta on tältä osin tulkinnanvarainen. Muun jätelain s</w:t>
      </w:r>
      <w:r>
        <w:t>o</w:t>
      </w:r>
      <w:r>
        <w:t>veltamisalaan kuuluvan jätteen käsittelystä on jäljempänä oma kohtansa.</w:t>
      </w:r>
    </w:p>
    <w:p w:rsidR="00CB3C7A" w:rsidRDefault="00CB3C7A" w:rsidP="00CB3C7A">
      <w:pPr>
        <w:pStyle w:val="Eivli"/>
        <w:spacing w:line="276" w:lineRule="auto"/>
        <w:ind w:left="720"/>
        <w:jc w:val="both"/>
      </w:pPr>
    </w:p>
    <w:p w:rsidR="00CB3C7A" w:rsidRDefault="00CB3C7A" w:rsidP="00CB3C7A">
      <w:pPr>
        <w:pStyle w:val="Eivli"/>
        <w:spacing w:line="276" w:lineRule="auto"/>
        <w:ind w:left="720"/>
        <w:jc w:val="both"/>
      </w:pPr>
      <w:r>
        <w:t>2§ kohta 6c)</w:t>
      </w:r>
    </w:p>
    <w:p w:rsidR="00F80BD1" w:rsidRDefault="00F80BD1" w:rsidP="00CB3C7A">
      <w:pPr>
        <w:pStyle w:val="Eivli"/>
        <w:spacing w:line="276" w:lineRule="auto"/>
        <w:ind w:left="720"/>
        <w:jc w:val="both"/>
      </w:pPr>
    </w:p>
    <w:p w:rsidR="00CB3C7A" w:rsidRPr="008D68E2" w:rsidRDefault="00CD413A" w:rsidP="00CB3C7A">
      <w:pPr>
        <w:pStyle w:val="Eivli"/>
        <w:numPr>
          <w:ilvl w:val="0"/>
          <w:numId w:val="17"/>
        </w:numPr>
        <w:spacing w:line="276" w:lineRule="auto"/>
        <w:jc w:val="both"/>
      </w:pPr>
      <w:r>
        <w:t>A</w:t>
      </w:r>
      <w:r w:rsidR="00CB3C7A">
        <w:t>setusluonnoksen ensimmäisessä lauseessa luvanvarainen on laitos, jossa käyt</w:t>
      </w:r>
      <w:r w:rsidR="00CB3C7A">
        <w:t>e</w:t>
      </w:r>
      <w:r w:rsidR="00CB3C7A">
        <w:t>tään haihtuvia orgaanisia yhdisteitä. Lakiehdotuksessa mainitaan tässä kohtaa la</w:t>
      </w:r>
      <w:r w:rsidR="00CB3C7A">
        <w:t>i</w:t>
      </w:r>
      <w:r w:rsidR="00CB3C7A">
        <w:t>tos, jossa käytetään orgaanisia liuottimia.</w:t>
      </w:r>
    </w:p>
    <w:p w:rsidR="004053FD" w:rsidRPr="008D68E2" w:rsidRDefault="004053FD" w:rsidP="007643B0">
      <w:pPr>
        <w:pStyle w:val="Eivli"/>
        <w:spacing w:line="276" w:lineRule="auto"/>
        <w:ind w:left="720"/>
      </w:pPr>
    </w:p>
    <w:p w:rsidR="006C5FB0" w:rsidRDefault="00956ADE" w:rsidP="007643B0">
      <w:pPr>
        <w:pStyle w:val="Eivli"/>
        <w:spacing w:line="276" w:lineRule="auto"/>
        <w:ind w:left="720"/>
      </w:pPr>
      <w:r>
        <w:t>2§ kohta 10m)</w:t>
      </w:r>
    </w:p>
    <w:p w:rsidR="00F80BD1" w:rsidRPr="008D68E2" w:rsidRDefault="00F80BD1" w:rsidP="007643B0">
      <w:pPr>
        <w:pStyle w:val="Eivli"/>
        <w:spacing w:line="276" w:lineRule="auto"/>
        <w:ind w:left="720"/>
      </w:pPr>
    </w:p>
    <w:p w:rsidR="006C5FB0" w:rsidRPr="005249E9" w:rsidRDefault="00956ADE" w:rsidP="007643B0">
      <w:pPr>
        <w:pStyle w:val="Eivli"/>
        <w:numPr>
          <w:ilvl w:val="0"/>
          <w:numId w:val="5"/>
        </w:numPr>
        <w:spacing w:line="276" w:lineRule="auto"/>
        <w:ind w:left="1418" w:hanging="425"/>
        <w:jc w:val="both"/>
        <w:rPr>
          <w:color w:val="FF0000"/>
        </w:rPr>
      </w:pPr>
      <w:r>
        <w:t>Kunnan ympäristölupaviranomaisen luvitettavaksi ehdotetaan laitosta, jossa va</w:t>
      </w:r>
      <w:r>
        <w:t>s</w:t>
      </w:r>
      <w:r>
        <w:t>taanotetun maidon määrä on vähintään 100 ja enintään 200 tonnia vuorokaudessa. Edellä (1§ kohta 10f) aluehallintoviraston luvitettavaksi ehdotetaan laitosta, jossa vastaanotetun maidon määrä on vähintään 200 tonnia vuorokaudessa. Tältä osin lupaviranomaisen toimivalta on päällekkäinen (200 tonnin laitos).</w:t>
      </w:r>
    </w:p>
    <w:p w:rsidR="00B56472" w:rsidRPr="008D68E2" w:rsidRDefault="00B56472" w:rsidP="007643B0">
      <w:pPr>
        <w:pStyle w:val="Eivli"/>
        <w:ind w:left="720"/>
      </w:pPr>
    </w:p>
    <w:p w:rsidR="00656BD3" w:rsidRDefault="00656BD3" w:rsidP="00656BD3">
      <w:pPr>
        <w:pStyle w:val="Eivli"/>
        <w:ind w:left="720"/>
      </w:pPr>
    </w:p>
    <w:p w:rsidR="00572F88" w:rsidRDefault="00CD413A" w:rsidP="00656BD3">
      <w:pPr>
        <w:pStyle w:val="Eivli"/>
        <w:ind w:left="720"/>
      </w:pPr>
      <w:r w:rsidRPr="00CD413A">
        <w:t>3§ 1 mom. kohta 4)</w:t>
      </w:r>
    </w:p>
    <w:p w:rsidR="00717C11" w:rsidRDefault="00717C11" w:rsidP="00656BD3">
      <w:pPr>
        <w:pStyle w:val="Eivli"/>
        <w:ind w:left="720"/>
      </w:pPr>
    </w:p>
    <w:p w:rsidR="00656BD3" w:rsidRDefault="00011B1F" w:rsidP="00656BD3">
      <w:pPr>
        <w:pStyle w:val="Eivli"/>
        <w:numPr>
          <w:ilvl w:val="0"/>
          <w:numId w:val="5"/>
        </w:numPr>
      </w:pPr>
      <w:r>
        <w:t>K</w:t>
      </w:r>
      <w:r w:rsidR="00656BD3">
        <w:t>ohdan mukaan lupahakemuksen tulee sisältää lupaharkinnan kannalta tarpeell</w:t>
      </w:r>
      <w:r w:rsidR="00656BD3">
        <w:t>i</w:t>
      </w:r>
      <w:r w:rsidR="00656BD3">
        <w:t>set tiedot toiminnan tuotannosta prosesseista, laitteistosta, rakenteista ja niiden sijainnista, tässä yhteydessä voitaisiin puhua myös laitoskokonaisuudesta.</w:t>
      </w:r>
    </w:p>
    <w:p w:rsidR="00AE069D" w:rsidRDefault="00AE069D" w:rsidP="00AE069D">
      <w:pPr>
        <w:pStyle w:val="Eivli"/>
        <w:ind w:left="1664"/>
      </w:pPr>
    </w:p>
    <w:p w:rsidR="00AE069D" w:rsidRPr="00656BD3" w:rsidRDefault="00AE069D" w:rsidP="00656BD3">
      <w:pPr>
        <w:pStyle w:val="Eivli"/>
        <w:numPr>
          <w:ilvl w:val="0"/>
          <w:numId w:val="5"/>
        </w:numPr>
      </w:pPr>
      <w:r>
        <w:t>Lupahakemukseen tulisi liittää myös tieto siitä, sovelletaanko hankkeeseen YVA</w:t>
      </w:r>
      <w:r w:rsidR="00581BAB">
        <w:t xml:space="preserve"> </w:t>
      </w:r>
      <w:r>
        <w:t>-menettelyä (vrt. 11§).</w:t>
      </w:r>
    </w:p>
    <w:p w:rsidR="00572F88" w:rsidRPr="008D68E2" w:rsidRDefault="00572F88" w:rsidP="007643B0">
      <w:pPr>
        <w:pStyle w:val="Eivli"/>
        <w:spacing w:line="276" w:lineRule="auto"/>
        <w:ind w:left="720"/>
      </w:pPr>
    </w:p>
    <w:p w:rsidR="006C5FB0" w:rsidRDefault="00656BD3" w:rsidP="007643B0">
      <w:pPr>
        <w:pStyle w:val="Eivli"/>
        <w:spacing w:line="276" w:lineRule="auto"/>
        <w:ind w:left="720"/>
      </w:pPr>
      <w:r>
        <w:lastRenderedPageBreak/>
        <w:t>3§ 2 mom.</w:t>
      </w:r>
    </w:p>
    <w:p w:rsidR="00717C11" w:rsidRDefault="00717C11" w:rsidP="007643B0">
      <w:pPr>
        <w:pStyle w:val="Eivli"/>
        <w:spacing w:line="276" w:lineRule="auto"/>
        <w:ind w:left="720"/>
      </w:pPr>
    </w:p>
    <w:p w:rsidR="006C5FB0" w:rsidRPr="008D68E2" w:rsidRDefault="00656BD3" w:rsidP="007643B0">
      <w:pPr>
        <w:pStyle w:val="Eivli"/>
        <w:numPr>
          <w:ilvl w:val="0"/>
          <w:numId w:val="5"/>
        </w:numPr>
        <w:spacing w:line="276" w:lineRule="auto"/>
        <w:ind w:left="1440"/>
        <w:jc w:val="both"/>
      </w:pPr>
      <w:r>
        <w:t xml:space="preserve">Esityksestä on poistettu lupaviranomaisen mahdollisuus vaatia lisäksi tarvittaessa muita tietoja ja asiakirjoja, jotka ovat tarpeen asian käsittelemiseksi (vrt. voimassa oleva YSA </w:t>
      </w:r>
      <w:r w:rsidR="00011B1F">
        <w:t>9§ 2 mom. kohta 13). Tämä kohta tulisi säilyttää myös uudessa asetu</w:t>
      </w:r>
      <w:r w:rsidR="00011B1F">
        <w:t>k</w:t>
      </w:r>
      <w:r w:rsidR="00011B1F">
        <w:t xml:space="preserve">sessa. </w:t>
      </w:r>
    </w:p>
    <w:p w:rsidR="00717C11" w:rsidRPr="008D68E2" w:rsidRDefault="00717C11" w:rsidP="007643B0">
      <w:pPr>
        <w:pStyle w:val="Eivli"/>
        <w:spacing w:line="276" w:lineRule="auto"/>
        <w:ind w:left="720"/>
      </w:pPr>
    </w:p>
    <w:p w:rsidR="00F80BD1" w:rsidRDefault="00F80BD1" w:rsidP="007643B0">
      <w:pPr>
        <w:pStyle w:val="Eivli"/>
        <w:spacing w:line="276" w:lineRule="auto"/>
        <w:ind w:left="720"/>
      </w:pPr>
    </w:p>
    <w:p w:rsidR="006C5FB0" w:rsidRDefault="00011B1F" w:rsidP="007643B0">
      <w:pPr>
        <w:pStyle w:val="Eivli"/>
        <w:spacing w:line="276" w:lineRule="auto"/>
        <w:ind w:left="720"/>
      </w:pPr>
      <w:r>
        <w:t>3§ 4 mom.</w:t>
      </w:r>
    </w:p>
    <w:p w:rsidR="00717C11" w:rsidRPr="008D68E2" w:rsidRDefault="00717C11" w:rsidP="007643B0">
      <w:pPr>
        <w:pStyle w:val="Eivli"/>
        <w:spacing w:line="276" w:lineRule="auto"/>
        <w:ind w:left="720"/>
      </w:pPr>
    </w:p>
    <w:p w:rsidR="009510B8" w:rsidRPr="00940AB9" w:rsidRDefault="00011B1F" w:rsidP="00722DA3">
      <w:pPr>
        <w:pStyle w:val="Eivli"/>
        <w:numPr>
          <w:ilvl w:val="0"/>
          <w:numId w:val="5"/>
        </w:numPr>
        <w:spacing w:line="276" w:lineRule="auto"/>
        <w:ind w:left="1440"/>
        <w:jc w:val="both"/>
        <w:rPr>
          <w:color w:val="FF0000"/>
        </w:rPr>
      </w:pPr>
      <w:r>
        <w:t>Momentin mukaan salassa pidettävät tiedot on mahdollisuuksien mukaan esitettävä erillisessä liitteessä. Asian käsittelyn, kuten kuulemisen helpottamiseksi salassa p</w:t>
      </w:r>
      <w:r>
        <w:t>i</w:t>
      </w:r>
      <w:r>
        <w:t xml:space="preserve">dettävät tiedot tulisi aina esittää erillisessä liitteessä. </w:t>
      </w:r>
    </w:p>
    <w:p w:rsidR="00F80BD1" w:rsidRDefault="00F80BD1" w:rsidP="007643B0">
      <w:pPr>
        <w:pStyle w:val="Eivli"/>
        <w:ind w:left="720"/>
      </w:pPr>
    </w:p>
    <w:p w:rsidR="00AE069D" w:rsidRDefault="00AE069D" w:rsidP="007643B0">
      <w:pPr>
        <w:pStyle w:val="Eivli"/>
        <w:ind w:left="720"/>
      </w:pPr>
      <w:r>
        <w:t>6§ 1mom. kohta 1)</w:t>
      </w:r>
    </w:p>
    <w:p w:rsidR="00AE069D" w:rsidRDefault="00AE069D" w:rsidP="007643B0">
      <w:pPr>
        <w:pStyle w:val="Eivli"/>
        <w:ind w:left="720"/>
      </w:pPr>
    </w:p>
    <w:p w:rsidR="00AE069D" w:rsidRPr="00940AB9" w:rsidRDefault="00AE069D" w:rsidP="00AE069D">
      <w:pPr>
        <w:pStyle w:val="Eivli"/>
        <w:numPr>
          <w:ilvl w:val="0"/>
          <w:numId w:val="5"/>
        </w:numPr>
        <w:spacing w:line="276" w:lineRule="auto"/>
        <w:ind w:left="1440"/>
        <w:jc w:val="both"/>
        <w:rPr>
          <w:color w:val="FF0000"/>
        </w:rPr>
      </w:pPr>
      <w:r>
        <w:t xml:space="preserve">Hyödynnettäväksi tai loppukäsiteltäväksi aiotun jätteen </w:t>
      </w:r>
      <w:r w:rsidR="007A7639">
        <w:t>laadun ja määrän lisäksi tul</w:t>
      </w:r>
      <w:r w:rsidR="007A7639">
        <w:t>i</w:t>
      </w:r>
      <w:r w:rsidR="007A7639">
        <w:t>si ilmoittaa myös jätteen alkuperä (mm. laitostyyppi ja toimiala). Tämä siksi, että jä</w:t>
      </w:r>
      <w:r w:rsidR="007A7639">
        <w:t>t</w:t>
      </w:r>
      <w:r w:rsidR="007A7639">
        <w:t>teen laadusta ilmoitetaan usein kaikki mahdolliset jätekoodit, jolloin toiminnan luo</w:t>
      </w:r>
      <w:r w:rsidR="007A7639">
        <w:t>n</w:t>
      </w:r>
      <w:r w:rsidR="007A7639">
        <w:t>ne ja vaikutukset saattavat jäädä todellisuudessa hakemusvaiheessa epäselväksi.</w:t>
      </w:r>
    </w:p>
    <w:p w:rsidR="00AE069D" w:rsidRDefault="00AE069D" w:rsidP="007643B0">
      <w:pPr>
        <w:pStyle w:val="Eivli"/>
        <w:ind w:left="720"/>
      </w:pPr>
    </w:p>
    <w:p w:rsidR="00AE069D" w:rsidRDefault="00AE069D" w:rsidP="00AE069D">
      <w:pPr>
        <w:pStyle w:val="Eivli"/>
        <w:ind w:left="1664"/>
      </w:pPr>
    </w:p>
    <w:p w:rsidR="00572F88" w:rsidRDefault="006D062D" w:rsidP="00AE069D">
      <w:pPr>
        <w:pStyle w:val="Eivli"/>
        <w:ind w:firstLine="720"/>
      </w:pPr>
      <w:r>
        <w:t>9§ ja 10§</w:t>
      </w:r>
    </w:p>
    <w:p w:rsidR="00717C11" w:rsidRPr="008D68E2" w:rsidRDefault="00717C11" w:rsidP="007643B0">
      <w:pPr>
        <w:pStyle w:val="Eivli"/>
        <w:ind w:left="720"/>
      </w:pPr>
    </w:p>
    <w:p w:rsidR="00572F88" w:rsidRPr="008D68E2" w:rsidRDefault="00717C11" w:rsidP="007643B0">
      <w:pPr>
        <w:pStyle w:val="Eivli"/>
        <w:numPr>
          <w:ilvl w:val="0"/>
          <w:numId w:val="8"/>
        </w:numPr>
        <w:spacing w:line="276" w:lineRule="auto"/>
        <w:ind w:left="1440"/>
        <w:jc w:val="both"/>
      </w:pPr>
      <w:r>
        <w:t>Lupamääräysten tarkistamista ja määräaikaisen luvan uudistamista koskevassa h</w:t>
      </w:r>
      <w:r>
        <w:t>a</w:t>
      </w:r>
      <w:r>
        <w:t>kemuksessa tulisi luonnoksessa esitetyn lisäksi kuvata edellisen luvan myöntäm</w:t>
      </w:r>
      <w:r>
        <w:t>i</w:t>
      </w:r>
      <w:r>
        <w:t>sen jälkeen toiminnassa tapahtuneet tuotannolliset ja ympäristönsuojelulliset mu</w:t>
      </w:r>
      <w:r>
        <w:t>u</w:t>
      </w:r>
      <w:r>
        <w:t>tokset.</w:t>
      </w:r>
    </w:p>
    <w:p w:rsidR="00572F88" w:rsidRPr="008D68E2" w:rsidRDefault="00572F88" w:rsidP="007643B0">
      <w:pPr>
        <w:pStyle w:val="Eivli"/>
        <w:spacing w:line="276" w:lineRule="auto"/>
        <w:ind w:left="720"/>
      </w:pPr>
    </w:p>
    <w:p w:rsidR="00940AB9" w:rsidRDefault="00940AB9" w:rsidP="00940AB9">
      <w:pPr>
        <w:pStyle w:val="Eivli"/>
        <w:ind w:left="720"/>
      </w:pPr>
      <w:r>
        <w:t>10§ 1 mom. kohta 2)</w:t>
      </w:r>
    </w:p>
    <w:p w:rsidR="00F80BD1" w:rsidRPr="008D68E2" w:rsidRDefault="00F80BD1" w:rsidP="00940AB9">
      <w:pPr>
        <w:pStyle w:val="Eivli"/>
        <w:ind w:left="720"/>
      </w:pPr>
    </w:p>
    <w:p w:rsidR="00265177" w:rsidRDefault="00940AB9" w:rsidP="00940AB9">
      <w:pPr>
        <w:pStyle w:val="Eivli"/>
        <w:numPr>
          <w:ilvl w:val="2"/>
          <w:numId w:val="4"/>
        </w:numPr>
        <w:spacing w:line="276" w:lineRule="auto"/>
        <w:ind w:left="1401" w:hanging="284"/>
        <w:jc w:val="both"/>
      </w:pPr>
      <w:r>
        <w:t>V</w:t>
      </w:r>
      <w:r w:rsidR="002E7800">
        <w:t>arsinkin pienempien direktiivilaitosten voi olla käytännössä vaikea noudattaa tätä kohtaa. BATC -osaamisen tulee olla lähtökohtaisesti viranomaisella.</w:t>
      </w:r>
    </w:p>
    <w:p w:rsidR="00265177" w:rsidRDefault="00265177" w:rsidP="007643B0">
      <w:pPr>
        <w:pStyle w:val="Eivli"/>
        <w:spacing w:line="276" w:lineRule="auto"/>
        <w:ind w:left="720"/>
      </w:pPr>
    </w:p>
    <w:p w:rsidR="006C5FB0" w:rsidRDefault="009E6335" w:rsidP="007643B0">
      <w:pPr>
        <w:pStyle w:val="Eivli"/>
        <w:spacing w:line="276" w:lineRule="auto"/>
        <w:ind w:left="720"/>
      </w:pPr>
      <w:r>
        <w:t>11§ 1 mom.</w:t>
      </w:r>
    </w:p>
    <w:p w:rsidR="00F80BD1" w:rsidRPr="008D68E2" w:rsidRDefault="00F80BD1" w:rsidP="007643B0">
      <w:pPr>
        <w:pStyle w:val="Eivli"/>
        <w:spacing w:line="276" w:lineRule="auto"/>
        <w:ind w:left="720"/>
      </w:pPr>
    </w:p>
    <w:p w:rsidR="006C5FB0" w:rsidRDefault="009E6335" w:rsidP="007643B0">
      <w:pPr>
        <w:pStyle w:val="Eivli"/>
        <w:numPr>
          <w:ilvl w:val="0"/>
          <w:numId w:val="5"/>
        </w:numPr>
        <w:spacing w:line="276" w:lineRule="auto"/>
        <w:ind w:left="1440"/>
        <w:jc w:val="both"/>
      </w:pPr>
      <w:r>
        <w:t>Kohta 1) päätöksen luonne, pitänee olla hakemuksen luonne.</w:t>
      </w:r>
      <w:r w:rsidR="007A7639">
        <w:t xml:space="preserve"> Kohta 9) tieto mahdo</w:t>
      </w:r>
      <w:r w:rsidR="007A7639">
        <w:t>l</w:t>
      </w:r>
      <w:r w:rsidR="007A7639">
        <w:t>lisesta julkisesta kuulemistilaisuudesta, julkinen kuulemistilaisuus on harvinainen poikkeus, esitetty muotoilu voi johtaa väärinkäsityksiin.</w:t>
      </w:r>
      <w:r>
        <w:t xml:space="preserve"> Kohta 11) tieto siitä, sovell</w:t>
      </w:r>
      <w:r>
        <w:t>e</w:t>
      </w:r>
      <w:r>
        <w:t>taanko hankkeeseen ympäristövaikutusten arviointimenettelyä. Riittävää on, että kuulutuksessa ilmoite</w:t>
      </w:r>
      <w:r w:rsidR="00A638B4">
        <w:t>taan, jos ympäristövaikutusten arviointimenettelyä</w:t>
      </w:r>
      <w:r>
        <w:t xml:space="preserve"> on sovelle</w:t>
      </w:r>
      <w:r>
        <w:t>t</w:t>
      </w:r>
      <w:r>
        <w:t>tu.</w:t>
      </w:r>
    </w:p>
    <w:p w:rsidR="00EB4387" w:rsidRPr="008D68E2" w:rsidRDefault="00EB4387" w:rsidP="007643B0">
      <w:pPr>
        <w:pStyle w:val="Eivli"/>
        <w:spacing w:line="276" w:lineRule="auto"/>
        <w:ind w:left="720"/>
      </w:pPr>
    </w:p>
    <w:p w:rsidR="006C5FB0" w:rsidRDefault="009E6335" w:rsidP="007643B0">
      <w:pPr>
        <w:pStyle w:val="Eivli"/>
        <w:spacing w:line="276" w:lineRule="auto"/>
        <w:ind w:left="720"/>
      </w:pPr>
      <w:r>
        <w:t>11§ 3 mom.</w:t>
      </w:r>
    </w:p>
    <w:p w:rsidR="00F80BD1" w:rsidRPr="008D68E2" w:rsidRDefault="00F80BD1" w:rsidP="007643B0">
      <w:pPr>
        <w:pStyle w:val="Eivli"/>
        <w:spacing w:line="276" w:lineRule="auto"/>
        <w:ind w:left="720"/>
      </w:pPr>
    </w:p>
    <w:p w:rsidR="0049548E" w:rsidRPr="008D68E2" w:rsidRDefault="009E6335" w:rsidP="007643B0">
      <w:pPr>
        <w:pStyle w:val="Eivli"/>
        <w:numPr>
          <w:ilvl w:val="0"/>
          <w:numId w:val="5"/>
        </w:numPr>
        <w:spacing w:line="276" w:lineRule="auto"/>
        <w:ind w:left="1440"/>
        <w:jc w:val="both"/>
      </w:pPr>
      <w:r>
        <w:t>Asiakirjojen toimittamiseen sähköisessä muodossa ei tarvittane kunnan suostumu</w:t>
      </w:r>
      <w:r>
        <w:t>s</w:t>
      </w:r>
      <w:r>
        <w:t>ta.</w:t>
      </w:r>
    </w:p>
    <w:p w:rsidR="006C5FB0" w:rsidRPr="008D68E2" w:rsidRDefault="006C5FB0" w:rsidP="007643B0">
      <w:pPr>
        <w:pStyle w:val="Eivli"/>
        <w:spacing w:line="276" w:lineRule="auto"/>
        <w:ind w:left="720"/>
        <w:jc w:val="both"/>
      </w:pPr>
    </w:p>
    <w:p w:rsidR="007A7639" w:rsidRDefault="007A7639" w:rsidP="007643B0">
      <w:pPr>
        <w:pStyle w:val="Eivli"/>
        <w:ind w:left="720"/>
      </w:pPr>
    </w:p>
    <w:p w:rsidR="007A7639" w:rsidRDefault="007A7639" w:rsidP="007643B0">
      <w:pPr>
        <w:pStyle w:val="Eivli"/>
        <w:ind w:left="720"/>
      </w:pPr>
    </w:p>
    <w:p w:rsidR="0049548E" w:rsidRPr="008D68E2" w:rsidRDefault="007A7639" w:rsidP="007643B0">
      <w:pPr>
        <w:pStyle w:val="Eivli"/>
        <w:ind w:left="720"/>
      </w:pPr>
      <w:r>
        <w:t>16§ 1 mom. kohta 3)</w:t>
      </w:r>
      <w:r w:rsidR="00675600">
        <w:t xml:space="preserve"> </w:t>
      </w:r>
    </w:p>
    <w:p w:rsidR="00F80BD1" w:rsidRDefault="00F80BD1" w:rsidP="00F80BD1">
      <w:pPr>
        <w:pStyle w:val="Eivli"/>
        <w:spacing w:line="276" w:lineRule="auto"/>
        <w:ind w:left="1440"/>
        <w:jc w:val="both"/>
      </w:pPr>
    </w:p>
    <w:p w:rsidR="0049548E" w:rsidRPr="008D68E2" w:rsidRDefault="005F201B" w:rsidP="007643B0">
      <w:pPr>
        <w:pStyle w:val="Eivli"/>
        <w:numPr>
          <w:ilvl w:val="0"/>
          <w:numId w:val="12"/>
        </w:numPr>
        <w:spacing w:line="276" w:lineRule="auto"/>
        <w:ind w:left="1440"/>
        <w:jc w:val="both"/>
      </w:pPr>
      <w:r>
        <w:t>Vaatimukset antaa määräyksiä kaatopaikalle sijoitettavan jätteen määrästä ovat jo</w:t>
      </w:r>
      <w:r>
        <w:t>h</w:t>
      </w:r>
      <w:r>
        <w:t>taneet hyvinkin tarkkaan yksilöityihin jätelajikohtaisiin määräyksiin (t/a). Varsinkin yhdyskuntajätteen kaatopaikoilla tämä on ongelmallista (vuosittainen määrä voi täy</w:t>
      </w:r>
      <w:r>
        <w:t>t</w:t>
      </w:r>
      <w:r>
        <w:t>tyä jo ennen vuoden loppua). Riittäisikö tässä yhteydessä viittaus hakemuksen m</w:t>
      </w:r>
      <w:r>
        <w:t>u</w:t>
      </w:r>
      <w:r>
        <w:t>kaisiin määriin, joka ei olisi niin sitova?</w:t>
      </w:r>
    </w:p>
    <w:p w:rsidR="006C5FB0" w:rsidRPr="008D68E2" w:rsidRDefault="006C5FB0" w:rsidP="007643B0">
      <w:pPr>
        <w:pStyle w:val="Eivli"/>
        <w:spacing w:line="276" w:lineRule="auto"/>
        <w:ind w:left="720"/>
      </w:pPr>
    </w:p>
    <w:p w:rsidR="006C5FB0" w:rsidRPr="008D68E2" w:rsidRDefault="00601CC4" w:rsidP="007643B0">
      <w:pPr>
        <w:pStyle w:val="Eivli"/>
        <w:spacing w:line="276" w:lineRule="auto"/>
        <w:ind w:left="720"/>
      </w:pPr>
      <w:r>
        <w:t>17§ 2 mom.</w:t>
      </w:r>
    </w:p>
    <w:p w:rsidR="00F80BD1" w:rsidRPr="00F80BD1" w:rsidRDefault="00F80BD1" w:rsidP="00F80BD1">
      <w:pPr>
        <w:pStyle w:val="Eivli"/>
        <w:spacing w:line="276" w:lineRule="auto"/>
        <w:ind w:left="1440"/>
        <w:jc w:val="both"/>
        <w:rPr>
          <w:b/>
        </w:rPr>
      </w:pPr>
    </w:p>
    <w:p w:rsidR="0049548E" w:rsidRPr="00AF7422" w:rsidRDefault="003E1791" w:rsidP="007643B0">
      <w:pPr>
        <w:pStyle w:val="Eivli"/>
        <w:numPr>
          <w:ilvl w:val="0"/>
          <w:numId w:val="4"/>
        </w:numPr>
        <w:spacing w:line="276" w:lineRule="auto"/>
        <w:ind w:left="1440"/>
        <w:jc w:val="both"/>
        <w:rPr>
          <w:b/>
        </w:rPr>
      </w:pPr>
      <w:r>
        <w:t>Momentin mukaista massavirtaa ja lämpöarvoa</w:t>
      </w:r>
      <w:r w:rsidR="00AF7422">
        <w:t xml:space="preserve"> sekä</w:t>
      </w:r>
      <w:r w:rsidR="00601CC4">
        <w:t xml:space="preserve"> epäpuhtauksien ainetasetta on hankala määritellä lupapäätöksessä. Etelä-Suomen aluehallintoviraston näkemy</w:t>
      </w:r>
      <w:r w:rsidR="00601CC4">
        <w:t>k</w:t>
      </w:r>
      <w:r w:rsidR="00601CC4">
        <w:t xml:space="preserve">sen mukaan epäpuhtauksille asetetut päästöraja-arvot ja niiden seuranta ovat </w:t>
      </w:r>
      <w:r w:rsidR="00AF7422">
        <w:t>ole</w:t>
      </w:r>
      <w:r w:rsidR="00AF7422">
        <w:t>n</w:t>
      </w:r>
      <w:r w:rsidR="00AF7422">
        <w:t>naista</w:t>
      </w:r>
      <w:r w:rsidR="00940AB9">
        <w:rPr>
          <w:b/>
        </w:rPr>
        <w:t>.</w:t>
      </w:r>
    </w:p>
    <w:p w:rsidR="006C5FB0" w:rsidRPr="008D68E2" w:rsidRDefault="006C5FB0" w:rsidP="001F5650">
      <w:pPr>
        <w:pStyle w:val="Eivli"/>
        <w:spacing w:line="276" w:lineRule="auto"/>
        <w:ind w:left="1440"/>
        <w:jc w:val="both"/>
      </w:pPr>
    </w:p>
    <w:p w:rsidR="00926F84" w:rsidRPr="008D68E2" w:rsidRDefault="00601CC4" w:rsidP="007643B0">
      <w:pPr>
        <w:pStyle w:val="Eivli"/>
        <w:ind w:left="720"/>
      </w:pPr>
      <w:r>
        <w:t>19§ 1 mom</w:t>
      </w:r>
      <w:r w:rsidR="00AF7422">
        <w:t>.</w:t>
      </w:r>
      <w:r w:rsidR="00926F84" w:rsidRPr="008D68E2">
        <w:t xml:space="preserve"> </w:t>
      </w:r>
    </w:p>
    <w:p w:rsidR="00F80BD1" w:rsidRDefault="00F80BD1" w:rsidP="00F80BD1">
      <w:pPr>
        <w:pStyle w:val="Eivli"/>
        <w:spacing w:line="276" w:lineRule="auto"/>
        <w:ind w:left="1440"/>
        <w:jc w:val="both"/>
      </w:pPr>
    </w:p>
    <w:p w:rsidR="00926F84" w:rsidRPr="008D68E2" w:rsidRDefault="00601CC4" w:rsidP="007643B0">
      <w:pPr>
        <w:pStyle w:val="Eivli"/>
        <w:numPr>
          <w:ilvl w:val="0"/>
          <w:numId w:val="14"/>
        </w:numPr>
        <w:spacing w:line="276" w:lineRule="auto"/>
        <w:ind w:left="1440"/>
        <w:jc w:val="both"/>
      </w:pPr>
      <w:r>
        <w:t>Esityksen mukaan lupapäätöksessä on ilmoitettava parasta käyttökelpoista teknii</w:t>
      </w:r>
      <w:r>
        <w:t>k</w:t>
      </w:r>
      <w:r w:rsidR="00AF7422">
        <w:t xml:space="preserve">kaa koskevien vertailuasiakirjojen nimet ja julkaisuvuodet ja lisäksi mitä päätelmiä on pidetty toiminnan pääasiallisina päätelminä. </w:t>
      </w:r>
      <w:r w:rsidR="00940AB9">
        <w:t>Parempi muotoilu olisi: lupapäätö</w:t>
      </w:r>
      <w:r w:rsidR="00940AB9">
        <w:t>k</w:t>
      </w:r>
      <w:r w:rsidR="00940AB9">
        <w:t>sessä on ilmoitettava parasta käyttökelpoista tekniikkaa koskevien vertailuasiakirj</w:t>
      </w:r>
      <w:r w:rsidR="00940AB9">
        <w:t>o</w:t>
      </w:r>
      <w:r w:rsidR="00940AB9">
        <w:t>jen nimet ja julkaisuvuodet sekä sovelletut päätelmät.</w:t>
      </w:r>
    </w:p>
    <w:p w:rsidR="00F80BD1" w:rsidRDefault="00F80BD1" w:rsidP="007643B0">
      <w:pPr>
        <w:pStyle w:val="Eivli"/>
        <w:ind w:left="720"/>
      </w:pPr>
    </w:p>
    <w:p w:rsidR="00926F84" w:rsidRPr="008D68E2" w:rsidRDefault="00AF7422" w:rsidP="007643B0">
      <w:pPr>
        <w:pStyle w:val="Eivli"/>
        <w:ind w:left="720"/>
      </w:pPr>
      <w:r>
        <w:t>20§</w:t>
      </w:r>
      <w:r w:rsidR="00926F84" w:rsidRPr="008D68E2">
        <w:t xml:space="preserve"> </w:t>
      </w:r>
    </w:p>
    <w:p w:rsidR="00F80BD1" w:rsidRDefault="00F80BD1" w:rsidP="00F80BD1">
      <w:pPr>
        <w:pStyle w:val="Eivli"/>
        <w:spacing w:line="276" w:lineRule="auto"/>
        <w:ind w:left="1401"/>
        <w:jc w:val="both"/>
      </w:pPr>
    </w:p>
    <w:p w:rsidR="00926F84" w:rsidRPr="008D68E2" w:rsidRDefault="00AF7422" w:rsidP="007643B0">
      <w:pPr>
        <w:pStyle w:val="Eivli"/>
        <w:numPr>
          <w:ilvl w:val="0"/>
          <w:numId w:val="4"/>
        </w:numPr>
        <w:spacing w:line="276" w:lineRule="auto"/>
        <w:ind w:left="1401" w:hanging="284"/>
        <w:jc w:val="both"/>
      </w:pPr>
      <w:r>
        <w:t>…perusteltu ratkaisu siitä, miten aiemmin myönnettyä lupapäätöstä on muutett</w:t>
      </w:r>
      <w:r>
        <w:t>a</w:t>
      </w:r>
      <w:r>
        <w:t>va…</w:t>
      </w:r>
      <w:r w:rsidR="00CB2F84">
        <w:t>, tulisi olla, …</w:t>
      </w:r>
      <w:r>
        <w:t>miten aiemmin myönnettyä lupapäätöstä on muutettu…</w:t>
      </w:r>
    </w:p>
    <w:p w:rsidR="00926F84" w:rsidRPr="008D68E2" w:rsidRDefault="00926F84" w:rsidP="007643B0">
      <w:pPr>
        <w:pStyle w:val="Eivli"/>
        <w:spacing w:line="276" w:lineRule="auto"/>
        <w:ind w:left="720"/>
      </w:pPr>
    </w:p>
    <w:p w:rsidR="00497DDE" w:rsidRDefault="00497DDE" w:rsidP="007643B0">
      <w:pPr>
        <w:pStyle w:val="Eivli"/>
        <w:spacing w:line="276" w:lineRule="auto"/>
        <w:ind w:left="720"/>
      </w:pPr>
    </w:p>
    <w:p w:rsidR="00497DDE" w:rsidRDefault="00497DDE" w:rsidP="007643B0">
      <w:pPr>
        <w:pStyle w:val="Eivli"/>
        <w:spacing w:line="276" w:lineRule="auto"/>
        <w:ind w:left="720"/>
      </w:pPr>
    </w:p>
    <w:p w:rsidR="00497DDE" w:rsidRDefault="00497DDE" w:rsidP="007643B0">
      <w:pPr>
        <w:pStyle w:val="Eivli"/>
        <w:spacing w:line="276" w:lineRule="auto"/>
        <w:ind w:left="720"/>
      </w:pPr>
    </w:p>
    <w:p w:rsidR="00D14CE2" w:rsidRPr="008D68E2" w:rsidRDefault="00D14CE2" w:rsidP="00D14CE2">
      <w:pPr>
        <w:pStyle w:val="Eivli"/>
        <w:spacing w:line="276" w:lineRule="auto"/>
        <w:ind w:left="720"/>
      </w:pPr>
      <w:r>
        <w:t>22</w:t>
      </w:r>
      <w:r w:rsidRPr="008D68E2">
        <w:t xml:space="preserve">§ </w:t>
      </w:r>
    </w:p>
    <w:p w:rsidR="00D14CE2" w:rsidRPr="008D68E2" w:rsidRDefault="00D14CE2" w:rsidP="00D14CE2">
      <w:pPr>
        <w:pStyle w:val="Eivli"/>
        <w:spacing w:line="276" w:lineRule="auto"/>
        <w:ind w:left="1440"/>
      </w:pPr>
    </w:p>
    <w:p w:rsidR="00D14CE2" w:rsidRPr="008D68E2" w:rsidRDefault="00D14CE2" w:rsidP="00D14CE2">
      <w:pPr>
        <w:pStyle w:val="Eivli"/>
        <w:numPr>
          <w:ilvl w:val="0"/>
          <w:numId w:val="15"/>
        </w:numPr>
        <w:spacing w:line="276" w:lineRule="auto"/>
        <w:ind w:left="1440"/>
        <w:jc w:val="both"/>
      </w:pPr>
      <w:r>
        <w:t>Etelä-Suomen aluehallintoviraston ympäristölupavastuualue esittää, että pykälä poistetaan tai ainakin siinä olevat tarkat käsittelyä koskevat määräajat. Asia tulee käsitellä joka tapauksessa joutuisasti muun kansallisen lainsäädännön ja IE-direktiivin säännösten määräaikojen puitteissa.</w:t>
      </w:r>
    </w:p>
    <w:p w:rsidR="006C5FB0" w:rsidRPr="008D68E2" w:rsidRDefault="00D14CE2" w:rsidP="007643B0">
      <w:pPr>
        <w:pStyle w:val="Eivli"/>
        <w:spacing w:line="276" w:lineRule="auto"/>
        <w:ind w:left="720"/>
      </w:pPr>
      <w:r>
        <w:t>41</w:t>
      </w:r>
      <w:r w:rsidR="006C5FB0" w:rsidRPr="008D68E2">
        <w:t xml:space="preserve">§ </w:t>
      </w:r>
    </w:p>
    <w:p w:rsidR="006C5FB0" w:rsidRPr="008D68E2" w:rsidRDefault="006C5FB0" w:rsidP="000E1A83">
      <w:pPr>
        <w:pStyle w:val="Eivli"/>
        <w:spacing w:line="276" w:lineRule="auto"/>
        <w:ind w:left="1440"/>
      </w:pPr>
    </w:p>
    <w:p w:rsidR="00926F84" w:rsidRDefault="00D14CE2" w:rsidP="007643B0">
      <w:pPr>
        <w:pStyle w:val="Eivli"/>
        <w:numPr>
          <w:ilvl w:val="0"/>
          <w:numId w:val="15"/>
        </w:numPr>
        <w:spacing w:line="276" w:lineRule="auto"/>
        <w:ind w:left="1440"/>
        <w:jc w:val="both"/>
      </w:pPr>
      <w:r>
        <w:t>Vireillä olevat hakemukset, joiden osalta toimivaltainen viranomainen muuttuu, tulisi siirtää asetuksen mukaiselle toimivaltaiselle viranomaiselle, ellei käsittely ole niin pitkällä, että se ei enää kokonaistehokkuuden kannalta ole järkevää. Tämä olisi jä</w:t>
      </w:r>
      <w:r>
        <w:t>r</w:t>
      </w:r>
      <w:r>
        <w:t xml:space="preserve">kevää siksikin, että valvontaviranomainen muuttuu. </w:t>
      </w:r>
    </w:p>
    <w:p w:rsidR="00D14CE2" w:rsidRPr="008D68E2" w:rsidRDefault="00D14CE2" w:rsidP="00D14CE2">
      <w:pPr>
        <w:pStyle w:val="Eivli"/>
        <w:spacing w:line="276" w:lineRule="auto"/>
        <w:jc w:val="both"/>
      </w:pPr>
    </w:p>
    <w:p w:rsidR="00926F84" w:rsidRPr="008D68E2" w:rsidRDefault="00926F84" w:rsidP="007643B0">
      <w:pPr>
        <w:pStyle w:val="Eivli"/>
        <w:spacing w:line="276" w:lineRule="auto"/>
        <w:ind w:left="720"/>
      </w:pPr>
    </w:p>
    <w:p w:rsidR="00356ECA" w:rsidRPr="008D68E2" w:rsidRDefault="00356ECA" w:rsidP="00356ECA">
      <w:pPr>
        <w:pStyle w:val="Eivli"/>
        <w:spacing w:line="276" w:lineRule="auto"/>
        <w:jc w:val="both"/>
      </w:pPr>
    </w:p>
    <w:p w:rsidR="000E1A83" w:rsidRPr="008D68E2" w:rsidRDefault="000E1A83" w:rsidP="00E115C0">
      <w:pPr>
        <w:pStyle w:val="Eivli"/>
        <w:spacing w:line="276" w:lineRule="auto"/>
        <w:ind w:left="1276"/>
        <w:jc w:val="both"/>
      </w:pPr>
    </w:p>
    <w:p w:rsidR="001F53B5" w:rsidRPr="008D68E2" w:rsidRDefault="001F53B5" w:rsidP="008B68C7">
      <w:pPr>
        <w:pStyle w:val="Eivli"/>
        <w:spacing w:line="276" w:lineRule="auto"/>
        <w:ind w:left="2024"/>
      </w:pPr>
    </w:p>
    <w:p w:rsidR="00CC2F34" w:rsidRPr="008D68E2" w:rsidRDefault="006C5FB0" w:rsidP="008B68C7">
      <w:pPr>
        <w:pStyle w:val="Eivli"/>
        <w:spacing w:line="276" w:lineRule="auto"/>
        <w:ind w:left="2024"/>
      </w:pPr>
      <w:r w:rsidRPr="008D68E2">
        <w:br/>
      </w:r>
    </w:p>
    <w:p w:rsidR="009E0DAC" w:rsidRPr="008D68E2" w:rsidRDefault="009E0DAC" w:rsidP="006C5FB0">
      <w:pPr>
        <w:ind w:left="1304"/>
      </w:pPr>
      <w:r w:rsidRPr="008D68E2">
        <w:t>Johtaja</w:t>
      </w:r>
      <w:r w:rsidRPr="008D68E2">
        <w:tab/>
      </w:r>
      <w:r w:rsidRPr="008D68E2">
        <w:tab/>
      </w:r>
      <w:r w:rsidR="00A66FB8" w:rsidRPr="008D68E2">
        <w:tab/>
      </w:r>
      <w:r w:rsidRPr="008D68E2">
        <w:t>Aino Turpeinen</w:t>
      </w:r>
    </w:p>
    <w:p w:rsidR="008B68C7" w:rsidRPr="008D68E2" w:rsidRDefault="008B68C7" w:rsidP="008B68C7">
      <w:pPr>
        <w:ind w:left="1304"/>
      </w:pPr>
    </w:p>
    <w:p w:rsidR="001F53B5" w:rsidRPr="008D68E2" w:rsidRDefault="001F53B5" w:rsidP="008B68C7">
      <w:pPr>
        <w:ind w:left="1304"/>
      </w:pPr>
    </w:p>
    <w:p w:rsidR="00B56472" w:rsidRPr="00B56472" w:rsidRDefault="00F80BD1">
      <w:pPr>
        <w:ind w:left="1304"/>
      </w:pPr>
      <w:r>
        <w:t>Ympäristölakimies</w:t>
      </w:r>
      <w:r w:rsidR="009E0DAC" w:rsidRPr="008D68E2">
        <w:tab/>
      </w:r>
      <w:r w:rsidR="008B68C7" w:rsidRPr="008D68E2">
        <w:tab/>
      </w:r>
      <w:r>
        <w:t>Mikko Poskiparta</w:t>
      </w:r>
      <w:r w:rsidR="008B68C7" w:rsidRPr="008D68E2">
        <w:t xml:space="preserve"> </w:t>
      </w:r>
    </w:p>
    <w:sectPr w:rsidR="00B56472" w:rsidRPr="00B56472" w:rsidSect="00F61C40">
      <w:headerReference w:type="default" r:id="rId9"/>
      <w:headerReference w:type="first" r:id="rId10"/>
      <w:footerReference w:type="first" r:id="rId11"/>
      <w:pgSz w:w="11906" w:h="16838"/>
      <w:pgMar w:top="1417" w:right="1134" w:bottom="1417" w:left="1134" w:header="708"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3A" w:rsidRDefault="00E75C3A" w:rsidP="00CC2F34">
      <w:pPr>
        <w:spacing w:after="0" w:line="240" w:lineRule="auto"/>
      </w:pPr>
      <w:r>
        <w:separator/>
      </w:r>
    </w:p>
  </w:endnote>
  <w:endnote w:type="continuationSeparator" w:id="0">
    <w:p w:rsidR="00E75C3A" w:rsidRDefault="00E75C3A" w:rsidP="00CC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17" w:rsidRPr="00850505" w:rsidRDefault="00311317" w:rsidP="00334EE9">
    <w:pPr>
      <w:pStyle w:val="AVIalatunniste"/>
      <w:rPr>
        <w:sz w:val="16"/>
      </w:rPr>
    </w:pPr>
    <w:r w:rsidRPr="00850505">
      <w:rPr>
        <w:sz w:val="16"/>
      </w:rPr>
      <w:t>ETELÄ-SUOMEN ALUEHALLINTOVIRASTO</w:t>
    </w:r>
  </w:p>
  <w:tbl>
    <w:tblPr>
      <w:tblW w:w="0" w:type="auto"/>
      <w:tblLook w:val="04A0" w:firstRow="1" w:lastRow="0" w:firstColumn="1" w:lastColumn="0" w:noHBand="0" w:noVBand="1"/>
    </w:tblPr>
    <w:tblGrid>
      <w:gridCol w:w="2444"/>
      <w:gridCol w:w="2444"/>
      <w:gridCol w:w="2445"/>
      <w:gridCol w:w="2445"/>
    </w:tblGrid>
    <w:tr w:rsidR="00311317" w:rsidRPr="00850505" w:rsidTr="00F00405">
      <w:trPr>
        <w:trHeight w:hRule="exact" w:val="907"/>
      </w:trPr>
      <w:tc>
        <w:tcPr>
          <w:tcW w:w="2444" w:type="dxa"/>
        </w:tcPr>
        <w:p w:rsidR="00311317" w:rsidRPr="00334EE9" w:rsidRDefault="00311317" w:rsidP="00F00405">
          <w:pPr>
            <w:pStyle w:val="AVIalatunniste"/>
            <w:rPr>
              <w:sz w:val="16"/>
              <w:lang w:val="sv-SE"/>
            </w:rPr>
          </w:pPr>
          <w:r w:rsidRPr="00334EE9">
            <w:rPr>
              <w:sz w:val="16"/>
              <w:lang w:val="sv-SE"/>
            </w:rPr>
            <w:t>puh. 020 636 1040</w:t>
          </w:r>
        </w:p>
        <w:p w:rsidR="00311317" w:rsidRPr="00334EE9" w:rsidRDefault="00311317" w:rsidP="00F00405">
          <w:pPr>
            <w:pStyle w:val="AVIalatunniste"/>
            <w:rPr>
              <w:sz w:val="16"/>
              <w:lang w:val="sv-SE"/>
            </w:rPr>
          </w:pPr>
          <w:r w:rsidRPr="00334EE9">
            <w:rPr>
              <w:sz w:val="16"/>
              <w:lang w:val="sv-SE"/>
            </w:rPr>
            <w:t>fax 03 570 8002</w:t>
          </w:r>
        </w:p>
        <w:p w:rsidR="00311317" w:rsidRPr="00334EE9" w:rsidRDefault="00311317" w:rsidP="00F00405">
          <w:pPr>
            <w:pStyle w:val="AVIalatunniste"/>
            <w:rPr>
              <w:sz w:val="16"/>
              <w:lang w:val="sv-SE"/>
            </w:rPr>
          </w:pPr>
          <w:r w:rsidRPr="00334EE9">
            <w:rPr>
              <w:sz w:val="16"/>
              <w:lang w:val="sv-SE"/>
            </w:rPr>
            <w:t>kirjaamo.etela@avi.fi</w:t>
          </w:r>
        </w:p>
        <w:p w:rsidR="00311317" w:rsidRPr="00334EE9" w:rsidRDefault="00311317" w:rsidP="00F00405">
          <w:pPr>
            <w:pStyle w:val="AVIalatunniste"/>
            <w:rPr>
              <w:sz w:val="16"/>
              <w:lang w:val="sv-SE"/>
            </w:rPr>
          </w:pPr>
          <w:r w:rsidRPr="00334EE9">
            <w:rPr>
              <w:sz w:val="16"/>
              <w:lang w:val="sv-SE"/>
            </w:rPr>
            <w:t>www.avi.fi/etela</w:t>
          </w:r>
        </w:p>
      </w:tc>
      <w:tc>
        <w:tcPr>
          <w:tcW w:w="2444" w:type="dxa"/>
        </w:tcPr>
        <w:p w:rsidR="00311317" w:rsidRPr="00334EE9" w:rsidRDefault="00311317" w:rsidP="00F00405">
          <w:pPr>
            <w:pStyle w:val="AVIalatunniste"/>
            <w:rPr>
              <w:sz w:val="16"/>
            </w:rPr>
          </w:pPr>
          <w:r w:rsidRPr="00334EE9">
            <w:rPr>
              <w:sz w:val="16"/>
            </w:rPr>
            <w:t>Hämeenlinnan päätoimipaikka</w:t>
          </w:r>
        </w:p>
        <w:p w:rsidR="00311317" w:rsidRPr="00334EE9" w:rsidRDefault="00311317" w:rsidP="00F00405">
          <w:pPr>
            <w:pStyle w:val="AVIalatunniste"/>
            <w:rPr>
              <w:sz w:val="16"/>
            </w:rPr>
          </w:pPr>
          <w:r w:rsidRPr="00334EE9">
            <w:rPr>
              <w:sz w:val="16"/>
            </w:rPr>
            <w:t>Birger Jaarlin katu 15</w:t>
          </w:r>
        </w:p>
        <w:p w:rsidR="00311317" w:rsidRPr="00334EE9" w:rsidRDefault="00311317" w:rsidP="00F00405">
          <w:pPr>
            <w:pStyle w:val="AVIalatunniste"/>
            <w:rPr>
              <w:sz w:val="16"/>
            </w:rPr>
          </w:pPr>
          <w:r w:rsidRPr="00334EE9">
            <w:rPr>
              <w:sz w:val="16"/>
            </w:rPr>
            <w:t>PL 150, 13101 Hämeenlinna</w:t>
          </w:r>
        </w:p>
      </w:tc>
      <w:tc>
        <w:tcPr>
          <w:tcW w:w="2445" w:type="dxa"/>
        </w:tcPr>
        <w:p w:rsidR="00311317" w:rsidRPr="00334EE9" w:rsidRDefault="00311317" w:rsidP="00F00405">
          <w:pPr>
            <w:pStyle w:val="AVIalatunniste"/>
            <w:rPr>
              <w:sz w:val="16"/>
            </w:rPr>
          </w:pPr>
          <w:r w:rsidRPr="00334EE9">
            <w:rPr>
              <w:sz w:val="16"/>
            </w:rPr>
            <w:t>Helsingin toimipaikka</w:t>
          </w:r>
        </w:p>
        <w:p w:rsidR="00311317" w:rsidRPr="00334EE9" w:rsidRDefault="00311317" w:rsidP="00F00405">
          <w:pPr>
            <w:pStyle w:val="AVIalatunniste"/>
            <w:rPr>
              <w:sz w:val="16"/>
            </w:rPr>
          </w:pPr>
          <w:r w:rsidRPr="00334EE9">
            <w:rPr>
              <w:sz w:val="16"/>
            </w:rPr>
            <w:t>Ratapihantie 9</w:t>
          </w:r>
        </w:p>
        <w:p w:rsidR="00311317" w:rsidRPr="00334EE9" w:rsidRDefault="00311317" w:rsidP="00F00405">
          <w:pPr>
            <w:pStyle w:val="AVIalatunniste"/>
            <w:rPr>
              <w:sz w:val="16"/>
            </w:rPr>
          </w:pPr>
          <w:r w:rsidRPr="00334EE9">
            <w:rPr>
              <w:sz w:val="16"/>
            </w:rPr>
            <w:t>PL 110, 00521 Helsinki</w:t>
          </w:r>
        </w:p>
      </w:tc>
      <w:tc>
        <w:tcPr>
          <w:tcW w:w="2445" w:type="dxa"/>
        </w:tcPr>
        <w:p w:rsidR="00311317" w:rsidRPr="00334EE9" w:rsidRDefault="00311317" w:rsidP="00F00405">
          <w:pPr>
            <w:pStyle w:val="AVIalatunniste"/>
            <w:rPr>
              <w:sz w:val="16"/>
            </w:rPr>
          </w:pPr>
          <w:r w:rsidRPr="00334EE9">
            <w:rPr>
              <w:sz w:val="16"/>
            </w:rPr>
            <w:t>Kouvolan toimipaikka</w:t>
          </w:r>
        </w:p>
        <w:p w:rsidR="00311317" w:rsidRPr="00334EE9" w:rsidRDefault="00311317" w:rsidP="00F00405">
          <w:pPr>
            <w:pStyle w:val="AVIalatunniste"/>
            <w:rPr>
              <w:sz w:val="16"/>
            </w:rPr>
          </w:pPr>
          <w:r>
            <w:rPr>
              <w:sz w:val="16"/>
            </w:rPr>
            <w:t>Kauppamiehenkatu 4</w:t>
          </w:r>
        </w:p>
        <w:p w:rsidR="00311317" w:rsidRPr="00334EE9" w:rsidRDefault="00311317" w:rsidP="00F00405">
          <w:pPr>
            <w:pStyle w:val="AVIalatunniste"/>
            <w:rPr>
              <w:sz w:val="16"/>
            </w:rPr>
          </w:pPr>
          <w:r w:rsidRPr="00334EE9">
            <w:rPr>
              <w:sz w:val="16"/>
            </w:rPr>
            <w:t>PL 301, 45101 Kouvola</w:t>
          </w:r>
        </w:p>
      </w:tc>
    </w:tr>
  </w:tbl>
  <w:p w:rsidR="00311317" w:rsidRDefault="00311317" w:rsidP="00F61C40">
    <w:pPr>
      <w:pStyle w:val="AVI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3A" w:rsidRDefault="00E75C3A" w:rsidP="00CC2F34">
      <w:pPr>
        <w:spacing w:after="0" w:line="240" w:lineRule="auto"/>
      </w:pPr>
      <w:r>
        <w:separator/>
      </w:r>
    </w:p>
  </w:footnote>
  <w:footnote w:type="continuationSeparator" w:id="0">
    <w:p w:rsidR="00E75C3A" w:rsidRDefault="00E75C3A" w:rsidP="00CC2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17" w:rsidRDefault="00311317" w:rsidP="00CC2F34">
    <w:pPr>
      <w:tabs>
        <w:tab w:val="left" w:pos="6237"/>
        <w:tab w:val="right" w:pos="9498"/>
      </w:tabs>
      <w:ind w:right="-1" w:firstLine="6237"/>
    </w:pPr>
    <w:r>
      <w:rPr>
        <w:color w:val="1F497D"/>
        <w:sz w:val="18"/>
        <w:szCs w:val="18"/>
      </w:rPr>
      <w:tab/>
    </w:r>
    <w:r w:rsidR="002E6E9A" w:rsidRPr="00E82BF7">
      <w:rPr>
        <w:color w:val="1F497D"/>
        <w:sz w:val="18"/>
        <w:szCs w:val="18"/>
      </w:rPr>
      <w:fldChar w:fldCharType="begin"/>
    </w:r>
    <w:r w:rsidRPr="00E82BF7">
      <w:rPr>
        <w:color w:val="1F497D"/>
        <w:sz w:val="18"/>
        <w:szCs w:val="18"/>
      </w:rPr>
      <w:instrText xml:space="preserve"> PAGE </w:instrText>
    </w:r>
    <w:r w:rsidR="002E6E9A" w:rsidRPr="00E82BF7">
      <w:rPr>
        <w:color w:val="1F497D"/>
        <w:sz w:val="18"/>
        <w:szCs w:val="18"/>
      </w:rPr>
      <w:fldChar w:fldCharType="separate"/>
    </w:r>
    <w:r w:rsidR="005A3BCF">
      <w:rPr>
        <w:noProof/>
        <w:color w:val="1F497D"/>
        <w:sz w:val="18"/>
        <w:szCs w:val="18"/>
      </w:rPr>
      <w:t>6</w:t>
    </w:r>
    <w:r w:rsidR="002E6E9A" w:rsidRPr="00E82BF7">
      <w:rPr>
        <w:color w:val="1F497D"/>
        <w:sz w:val="18"/>
        <w:szCs w:val="18"/>
      </w:rPr>
      <w:fldChar w:fldCharType="end"/>
    </w:r>
    <w:r w:rsidRPr="00E82BF7">
      <w:rPr>
        <w:color w:val="1F497D"/>
        <w:sz w:val="18"/>
        <w:szCs w:val="18"/>
      </w:rPr>
      <w:t>/</w:t>
    </w:r>
    <w:r w:rsidR="002E6E9A" w:rsidRPr="00E82BF7">
      <w:rPr>
        <w:color w:val="1F497D"/>
        <w:sz w:val="18"/>
        <w:szCs w:val="18"/>
      </w:rPr>
      <w:fldChar w:fldCharType="begin"/>
    </w:r>
    <w:r w:rsidRPr="00E82BF7">
      <w:rPr>
        <w:color w:val="1F497D"/>
        <w:sz w:val="18"/>
        <w:szCs w:val="18"/>
      </w:rPr>
      <w:instrText xml:space="preserve"> NUMPAGES  </w:instrText>
    </w:r>
    <w:r w:rsidR="002E6E9A" w:rsidRPr="00E82BF7">
      <w:rPr>
        <w:color w:val="1F497D"/>
        <w:sz w:val="18"/>
        <w:szCs w:val="18"/>
      </w:rPr>
      <w:fldChar w:fldCharType="separate"/>
    </w:r>
    <w:r w:rsidR="005A3BCF">
      <w:rPr>
        <w:noProof/>
        <w:color w:val="1F497D"/>
        <w:sz w:val="18"/>
        <w:szCs w:val="18"/>
      </w:rPr>
      <w:t>6</w:t>
    </w:r>
    <w:r w:rsidR="002E6E9A" w:rsidRPr="00E82BF7">
      <w:rPr>
        <w:color w:val="1F497D"/>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5" w:type="dxa"/>
      <w:tblInd w:w="-318" w:type="dxa"/>
      <w:tblLook w:val="01E0" w:firstRow="1" w:lastRow="1" w:firstColumn="1" w:lastColumn="1" w:noHBand="0" w:noVBand="0"/>
    </w:tblPr>
    <w:tblGrid>
      <w:gridCol w:w="10594"/>
      <w:gridCol w:w="222"/>
    </w:tblGrid>
    <w:tr w:rsidR="00311317" w:rsidRPr="007C770B" w:rsidTr="00F00405">
      <w:trPr>
        <w:trHeight w:val="1951"/>
      </w:trPr>
      <w:tc>
        <w:tcPr>
          <w:tcW w:w="10549" w:type="dxa"/>
          <w:tcMar>
            <w:top w:w="28" w:type="dxa"/>
            <w:bottom w:w="28" w:type="dxa"/>
          </w:tcMar>
        </w:tcPr>
        <w:tbl>
          <w:tblPr>
            <w:tblW w:w="10378" w:type="dxa"/>
            <w:tblCellMar>
              <w:left w:w="0" w:type="dxa"/>
              <w:right w:w="0" w:type="dxa"/>
            </w:tblCellMar>
            <w:tblLook w:val="01E0" w:firstRow="1" w:lastRow="1" w:firstColumn="1" w:lastColumn="1" w:noHBand="0" w:noVBand="0"/>
          </w:tblPr>
          <w:tblGrid>
            <w:gridCol w:w="4853"/>
            <w:gridCol w:w="2269"/>
            <w:gridCol w:w="3256"/>
          </w:tblGrid>
          <w:tr w:rsidR="00311317" w:rsidRPr="007C770B" w:rsidTr="00850CB3">
            <w:trPr>
              <w:trHeight w:hRule="exact" w:val="510"/>
            </w:trPr>
            <w:tc>
              <w:tcPr>
                <w:tcW w:w="4853" w:type="dxa"/>
                <w:vMerge w:val="restart"/>
              </w:tcPr>
              <w:p w:rsidR="00311317" w:rsidRPr="00424AD6" w:rsidRDefault="005A3BCF" w:rsidP="00F00405">
                <w:pPr>
                  <w:pStyle w:val="Yltunniste"/>
                  <w:rPr>
                    <w:color w:val="1F497D"/>
                    <w:sz w:val="20"/>
                    <w:szCs w:val="20"/>
                  </w:rPr>
                </w:pPr>
                <w:r>
                  <w:rPr>
                    <w:noProof/>
                    <w:color w:val="1F497D"/>
                    <w:sz w:val="20"/>
                    <w:szCs w:val="20"/>
                    <w:lang w:eastAsia="fi-FI"/>
                  </w:rPr>
                  <mc:AlternateContent>
                    <mc:Choice Requires="wps">
                      <w:drawing>
                        <wp:anchor distT="0" distB="0" distL="114300" distR="114300" simplePos="0" relativeHeight="251657216" behindDoc="0" locked="0" layoutInCell="1" allowOverlap="1">
                          <wp:simplePos x="0" y="0"/>
                          <wp:positionH relativeFrom="column">
                            <wp:posOffset>663575</wp:posOffset>
                          </wp:positionH>
                          <wp:positionV relativeFrom="paragraph">
                            <wp:posOffset>580390</wp:posOffset>
                          </wp:positionV>
                          <wp:extent cx="2447925" cy="27622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317" w:rsidRPr="00CD1C06" w:rsidRDefault="00311317" w:rsidP="00CC2F34">
                                      <w:pPr>
                                        <w:pStyle w:val="AVIalatunniste"/>
                                      </w:pPr>
                                      <w:r>
                                        <w:t>Etelä-Suomi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5pt;margin-top:45.7pt;width:192.75pt;height:21.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E6sg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" filled="f" stroked="f">
                          <v:textbox>
                            <w:txbxContent>
                              <w:p w:rsidR="00311317" w:rsidRPr="00CD1C06" w:rsidRDefault="00311317" w:rsidP="00CC2F34">
                                <w:pPr>
                                  <w:pStyle w:val="AVIalatunniste"/>
                                </w:pPr>
                                <w:r>
                                  <w:t>Etelä-Suomi</w:t>
                                </w:r>
                              </w:p>
                            </w:txbxContent>
                          </v:textbox>
                        </v:shape>
                      </w:pict>
                    </mc:Fallback>
                  </mc:AlternateContent>
                </w:r>
                <w:r w:rsidR="00311317">
                  <w:rPr>
                    <w:noProof/>
                    <w:color w:val="1F497D"/>
                    <w:sz w:val="20"/>
                    <w:szCs w:val="20"/>
                    <w:lang w:eastAsia="fi-FI"/>
                  </w:rPr>
                  <w:drawing>
                    <wp:anchor distT="0" distB="0" distL="114300" distR="114300" simplePos="0" relativeHeight="251658240" behindDoc="1" locked="0" layoutInCell="1" allowOverlap="1">
                      <wp:simplePos x="0" y="0"/>
                      <wp:positionH relativeFrom="column">
                        <wp:posOffset>-127635</wp:posOffset>
                      </wp:positionH>
                      <wp:positionV relativeFrom="paragraph">
                        <wp:posOffset>18415</wp:posOffset>
                      </wp:positionV>
                      <wp:extent cx="3482975" cy="676275"/>
                      <wp:effectExtent l="19050" t="0" r="3175" b="0"/>
                      <wp:wrapNone/>
                      <wp:docPr id="6" name="Kuva 0" descr="AV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AVI eng.jpg"/>
                              <pic:cNvPicPr>
                                <a:picLocks noChangeAspect="1" noChangeArrowheads="1"/>
                              </pic:cNvPicPr>
                            </pic:nvPicPr>
                            <pic:blipFill>
                              <a:blip r:embed="rId1"/>
                              <a:srcRect/>
                              <a:stretch>
                                <a:fillRect/>
                              </a:stretch>
                            </pic:blipFill>
                            <pic:spPr bwMode="auto">
                              <a:xfrm>
                                <a:off x="0" y="0"/>
                                <a:ext cx="3482975" cy="676275"/>
                              </a:xfrm>
                              <a:prstGeom prst="rect">
                                <a:avLst/>
                              </a:prstGeom>
                              <a:noFill/>
                              <a:ln w="9525">
                                <a:noFill/>
                                <a:miter lim="800000"/>
                                <a:headEnd/>
                                <a:tailEnd/>
                              </a:ln>
                            </pic:spPr>
                          </pic:pic>
                        </a:graphicData>
                      </a:graphic>
                    </wp:anchor>
                  </w:drawing>
                </w:r>
              </w:p>
            </w:tc>
            <w:tc>
              <w:tcPr>
                <w:tcW w:w="2269" w:type="dxa"/>
              </w:tcPr>
              <w:p w:rsidR="00311317" w:rsidRPr="00424AD6" w:rsidRDefault="00311317" w:rsidP="00F00405">
                <w:pPr>
                  <w:pStyle w:val="Yltunniste"/>
                  <w:rPr>
                    <w:color w:val="1F497D"/>
                    <w:sz w:val="20"/>
                    <w:szCs w:val="20"/>
                  </w:rPr>
                </w:pPr>
              </w:p>
            </w:tc>
            <w:tc>
              <w:tcPr>
                <w:tcW w:w="3256" w:type="dxa"/>
              </w:tcPr>
              <w:p w:rsidR="00311317" w:rsidRPr="00424AD6" w:rsidRDefault="00311317" w:rsidP="00F00405">
                <w:pPr>
                  <w:pStyle w:val="Yltunniste"/>
                  <w:rPr>
                    <w:color w:val="1F497D"/>
                    <w:sz w:val="20"/>
                    <w:szCs w:val="20"/>
                  </w:rPr>
                </w:pPr>
              </w:p>
            </w:tc>
          </w:tr>
          <w:tr w:rsidR="00311317" w:rsidRPr="007C770B" w:rsidTr="00850CB3">
            <w:trPr>
              <w:trHeight w:hRule="exact" w:val="510"/>
            </w:trPr>
            <w:tc>
              <w:tcPr>
                <w:tcW w:w="4853" w:type="dxa"/>
                <w:vMerge/>
              </w:tcPr>
              <w:p w:rsidR="00311317" w:rsidRPr="00424AD6" w:rsidRDefault="00311317" w:rsidP="00F00405">
                <w:pPr>
                  <w:pStyle w:val="Yltunniste"/>
                  <w:rPr>
                    <w:color w:val="1F497D"/>
                    <w:sz w:val="20"/>
                    <w:szCs w:val="20"/>
                  </w:rPr>
                </w:pPr>
              </w:p>
            </w:tc>
            <w:tc>
              <w:tcPr>
                <w:tcW w:w="2269" w:type="dxa"/>
                <w:vMerge w:val="restart"/>
              </w:tcPr>
              <w:p w:rsidR="00311317" w:rsidRPr="00334EE9" w:rsidRDefault="00311317" w:rsidP="00F00405">
                <w:pPr>
                  <w:pStyle w:val="AVIalatunniste"/>
                </w:pPr>
                <w:r>
                  <w:t>LAUSUNTO</w:t>
                </w:r>
              </w:p>
            </w:tc>
            <w:tc>
              <w:tcPr>
                <w:tcW w:w="3256" w:type="dxa"/>
              </w:tcPr>
              <w:p w:rsidR="00311317" w:rsidRPr="00D56795" w:rsidRDefault="00D56795" w:rsidP="008D68E2">
                <w:pPr>
                  <w:pStyle w:val="Yltunniste"/>
                  <w:rPr>
                    <w:color w:val="1F497D"/>
                    <w:sz w:val="18"/>
                    <w:szCs w:val="18"/>
                  </w:rPr>
                </w:pPr>
                <w:r w:rsidRPr="00D56795">
                  <w:rPr>
                    <w:color w:val="1F497D"/>
                    <w:sz w:val="18"/>
                    <w:szCs w:val="18"/>
                  </w:rPr>
                  <w:t>ESAVI/1981/05.14.00/2014</w:t>
                </w:r>
              </w:p>
            </w:tc>
          </w:tr>
          <w:tr w:rsidR="00311317" w:rsidRPr="007C770B" w:rsidTr="00850CB3">
            <w:trPr>
              <w:trHeight w:hRule="exact" w:val="510"/>
            </w:trPr>
            <w:tc>
              <w:tcPr>
                <w:tcW w:w="4853" w:type="dxa"/>
                <w:vMerge/>
              </w:tcPr>
              <w:p w:rsidR="00311317" w:rsidRPr="00424AD6" w:rsidRDefault="00311317" w:rsidP="00F00405">
                <w:pPr>
                  <w:pStyle w:val="Yltunniste"/>
                  <w:rPr>
                    <w:color w:val="1F497D"/>
                    <w:sz w:val="20"/>
                    <w:szCs w:val="20"/>
                  </w:rPr>
                </w:pPr>
              </w:p>
            </w:tc>
            <w:tc>
              <w:tcPr>
                <w:tcW w:w="2269" w:type="dxa"/>
                <w:vMerge/>
              </w:tcPr>
              <w:p w:rsidR="00311317" w:rsidRPr="00CD1C06" w:rsidRDefault="00311317" w:rsidP="00F00405">
                <w:pPr>
                  <w:pStyle w:val="Yltunniste"/>
                  <w:rPr>
                    <w:color w:val="1F497D"/>
                    <w:sz w:val="18"/>
                    <w:szCs w:val="18"/>
                  </w:rPr>
                </w:pPr>
              </w:p>
            </w:tc>
            <w:tc>
              <w:tcPr>
                <w:tcW w:w="3256" w:type="dxa"/>
              </w:tcPr>
              <w:p w:rsidR="00311317" w:rsidRPr="00962799" w:rsidRDefault="00311317" w:rsidP="00F00405">
                <w:pPr>
                  <w:pStyle w:val="Yltunniste"/>
                  <w:rPr>
                    <w:color w:val="FF0000"/>
                    <w:sz w:val="18"/>
                    <w:szCs w:val="18"/>
                  </w:rPr>
                </w:pPr>
              </w:p>
            </w:tc>
          </w:tr>
          <w:tr w:rsidR="00311317" w:rsidRPr="007C770B" w:rsidTr="00850CB3">
            <w:trPr>
              <w:trHeight w:hRule="exact" w:val="1021"/>
            </w:trPr>
            <w:tc>
              <w:tcPr>
                <w:tcW w:w="4853" w:type="dxa"/>
              </w:tcPr>
              <w:p w:rsidR="00311317" w:rsidRPr="00424AD6" w:rsidRDefault="00311317" w:rsidP="00F00405">
                <w:pPr>
                  <w:pStyle w:val="Yltunniste"/>
                  <w:rPr>
                    <w:color w:val="1F497D"/>
                    <w:sz w:val="20"/>
                    <w:szCs w:val="20"/>
                  </w:rPr>
                </w:pPr>
                <w:r>
                  <w:rPr>
                    <w:color w:val="1F497D"/>
                    <w:sz w:val="20"/>
                    <w:szCs w:val="20"/>
                  </w:rPr>
                  <w:t xml:space="preserve">                     Ympäristöluvat</w:t>
                </w:r>
              </w:p>
            </w:tc>
            <w:tc>
              <w:tcPr>
                <w:tcW w:w="2269" w:type="dxa"/>
              </w:tcPr>
              <w:p w:rsidR="00311317" w:rsidRPr="00CD1C06" w:rsidRDefault="002E7800" w:rsidP="00850CB3">
                <w:pPr>
                  <w:pStyle w:val="Yltunniste"/>
                  <w:rPr>
                    <w:color w:val="1F497D"/>
                    <w:sz w:val="18"/>
                    <w:szCs w:val="18"/>
                  </w:rPr>
                </w:pPr>
                <w:r>
                  <w:rPr>
                    <w:color w:val="1F497D"/>
                    <w:sz w:val="18"/>
                    <w:szCs w:val="18"/>
                  </w:rPr>
                  <w:t>21.3</w:t>
                </w:r>
                <w:r w:rsidR="00D56795">
                  <w:rPr>
                    <w:color w:val="1F497D"/>
                    <w:sz w:val="18"/>
                    <w:szCs w:val="18"/>
                  </w:rPr>
                  <w:t>.2014</w:t>
                </w:r>
              </w:p>
            </w:tc>
            <w:tc>
              <w:tcPr>
                <w:tcW w:w="3256" w:type="dxa"/>
              </w:tcPr>
              <w:p w:rsidR="00311317" w:rsidRPr="00593E26" w:rsidRDefault="00311317" w:rsidP="00F00405">
                <w:pPr>
                  <w:pStyle w:val="Yltunniste"/>
                  <w:rPr>
                    <w:color w:val="FF0000"/>
                    <w:sz w:val="24"/>
                    <w:szCs w:val="24"/>
                  </w:rPr>
                </w:pPr>
              </w:p>
            </w:tc>
          </w:tr>
        </w:tbl>
        <w:p w:rsidR="00311317" w:rsidRPr="007C770B" w:rsidRDefault="00311317" w:rsidP="00F00405">
          <w:pPr>
            <w:pStyle w:val="Yltunniste"/>
            <w:rPr>
              <w:rFonts w:cs="Arial"/>
            </w:rPr>
          </w:pPr>
        </w:p>
      </w:tc>
      <w:tc>
        <w:tcPr>
          <w:tcW w:w="236" w:type="dxa"/>
          <w:tcMar>
            <w:top w:w="28" w:type="dxa"/>
            <w:bottom w:w="28" w:type="dxa"/>
          </w:tcMar>
        </w:tcPr>
        <w:p w:rsidR="00311317" w:rsidRPr="007C770B" w:rsidRDefault="00311317" w:rsidP="00F00405">
          <w:pPr>
            <w:jc w:val="right"/>
            <w:rPr>
              <w:rFonts w:cs="Arial"/>
            </w:rPr>
          </w:pPr>
        </w:p>
        <w:p w:rsidR="00311317" w:rsidRPr="007C770B" w:rsidRDefault="00311317" w:rsidP="00F00405">
          <w:pPr>
            <w:pStyle w:val="Yltunniste"/>
            <w:jc w:val="right"/>
            <w:rPr>
              <w:rFonts w:cs="Arial"/>
            </w:rPr>
          </w:pPr>
        </w:p>
      </w:tc>
    </w:tr>
  </w:tbl>
  <w:p w:rsidR="00311317" w:rsidRDefault="0031131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7318"/>
    <w:multiLevelType w:val="hybridMultilevel"/>
    <w:tmpl w:val="46964962"/>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nsid w:val="1B136B19"/>
    <w:multiLevelType w:val="hybridMultilevel"/>
    <w:tmpl w:val="BB1A811A"/>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nsid w:val="1BB81B20"/>
    <w:multiLevelType w:val="hybridMultilevel"/>
    <w:tmpl w:val="37227874"/>
    <w:lvl w:ilvl="0" w:tplc="2410CDFC">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2410CDFC">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F98423B"/>
    <w:multiLevelType w:val="hybridMultilevel"/>
    <w:tmpl w:val="263059B4"/>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211254C8"/>
    <w:multiLevelType w:val="hybridMultilevel"/>
    <w:tmpl w:val="80B62F06"/>
    <w:lvl w:ilvl="0" w:tplc="2410CDF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9CC2C9C"/>
    <w:multiLevelType w:val="hybridMultilevel"/>
    <w:tmpl w:val="6728D2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BD12678"/>
    <w:multiLevelType w:val="hybridMultilevel"/>
    <w:tmpl w:val="49AA8892"/>
    <w:lvl w:ilvl="0" w:tplc="6B9E1822">
      <w:start w:val="29"/>
      <w:numFmt w:val="bullet"/>
      <w:lvlText w:val="-"/>
      <w:lvlJc w:val="left"/>
      <w:pPr>
        <w:ind w:left="2968" w:hanging="360"/>
      </w:pPr>
      <w:rPr>
        <w:rFonts w:ascii="Arial" w:eastAsia="Arial"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nsid w:val="347B0AE9"/>
    <w:multiLevelType w:val="hybridMultilevel"/>
    <w:tmpl w:val="66427F7C"/>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nsid w:val="411A4B79"/>
    <w:multiLevelType w:val="hybridMultilevel"/>
    <w:tmpl w:val="689E1436"/>
    <w:lvl w:ilvl="0" w:tplc="2410CDFC">
      <w:numFmt w:val="bullet"/>
      <w:lvlText w:val="-"/>
      <w:lvlJc w:val="left"/>
      <w:pPr>
        <w:ind w:left="1440" w:hanging="360"/>
      </w:pPr>
      <w:rPr>
        <w:rFonts w:ascii="Times New Roman" w:eastAsia="Times New Roman"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nsid w:val="46B721FF"/>
    <w:multiLevelType w:val="hybridMultilevel"/>
    <w:tmpl w:val="E90AE35C"/>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nsid w:val="4A1B43F9"/>
    <w:multiLevelType w:val="hybridMultilevel"/>
    <w:tmpl w:val="DE483588"/>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nsid w:val="537336F6"/>
    <w:multiLevelType w:val="hybridMultilevel"/>
    <w:tmpl w:val="F3127BD0"/>
    <w:lvl w:ilvl="0" w:tplc="2410CDFC">
      <w:numFmt w:val="bullet"/>
      <w:lvlText w:val="-"/>
      <w:lvlJc w:val="left"/>
      <w:pPr>
        <w:ind w:left="720" w:hanging="360"/>
      </w:pPr>
      <w:rPr>
        <w:rFonts w:ascii="Times New Roman" w:eastAsia="Times New Roman" w:hAnsi="Times New Roman"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2">
    <w:nsid w:val="557C4CD3"/>
    <w:multiLevelType w:val="hybridMultilevel"/>
    <w:tmpl w:val="EED8610E"/>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nsid w:val="5FBE3AA5"/>
    <w:multiLevelType w:val="hybridMultilevel"/>
    <w:tmpl w:val="FFFCF8AC"/>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nsid w:val="678C3654"/>
    <w:multiLevelType w:val="hybridMultilevel"/>
    <w:tmpl w:val="5B9E2218"/>
    <w:lvl w:ilvl="0" w:tplc="6FA0E39E">
      <w:numFmt w:val="bullet"/>
      <w:lvlText w:val="-"/>
      <w:lvlJc w:val="left"/>
      <w:pPr>
        <w:ind w:left="1664" w:hanging="360"/>
      </w:pPr>
      <w:rPr>
        <w:rFonts w:ascii="Times New Roman" w:eastAsia="Times New Roman" w:hAnsi="Times New Roman" w:cs="Times New Roman" w:hint="default"/>
        <w:color w:val="auto"/>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nsid w:val="6BA56BDA"/>
    <w:multiLevelType w:val="hybridMultilevel"/>
    <w:tmpl w:val="BEEAB776"/>
    <w:lvl w:ilvl="0" w:tplc="2410CDFC">
      <w:numFmt w:val="bullet"/>
      <w:lvlText w:val="-"/>
      <w:lvlJc w:val="left"/>
      <w:pPr>
        <w:ind w:left="1440" w:hanging="360"/>
      </w:pPr>
      <w:rPr>
        <w:rFonts w:ascii="Times New Roman" w:eastAsia="Times New Roman"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nsid w:val="7B390307"/>
    <w:multiLevelType w:val="hybridMultilevel"/>
    <w:tmpl w:val="92EE3DBC"/>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nsid w:val="7D8D61A8"/>
    <w:multiLevelType w:val="hybridMultilevel"/>
    <w:tmpl w:val="FC980DCC"/>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14"/>
  </w:num>
  <w:num w:numId="6">
    <w:abstractNumId w:val="4"/>
  </w:num>
  <w:num w:numId="7">
    <w:abstractNumId w:val="3"/>
  </w:num>
  <w:num w:numId="8">
    <w:abstractNumId w:val="9"/>
  </w:num>
  <w:num w:numId="9">
    <w:abstractNumId w:val="16"/>
  </w:num>
  <w:num w:numId="10">
    <w:abstractNumId w:val="10"/>
  </w:num>
  <w:num w:numId="11">
    <w:abstractNumId w:val="12"/>
  </w:num>
  <w:num w:numId="12">
    <w:abstractNumId w:val="13"/>
  </w:num>
  <w:num w:numId="13">
    <w:abstractNumId w:val="7"/>
  </w:num>
  <w:num w:numId="14">
    <w:abstractNumId w:val="1"/>
  </w:num>
  <w:num w:numId="15">
    <w:abstractNumId w:val="0"/>
  </w:num>
  <w:num w:numId="16">
    <w:abstractNumId w:val="1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1304"/>
  <w:autoHyphenation/>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05"/>
    <w:rsid w:val="00011B1F"/>
    <w:rsid w:val="0001623A"/>
    <w:rsid w:val="000309F5"/>
    <w:rsid w:val="000603B2"/>
    <w:rsid w:val="00063714"/>
    <w:rsid w:val="00090271"/>
    <w:rsid w:val="00092AE6"/>
    <w:rsid w:val="000A5A17"/>
    <w:rsid w:val="000B64B9"/>
    <w:rsid w:val="000C3436"/>
    <w:rsid w:val="000D11C2"/>
    <w:rsid w:val="000D159C"/>
    <w:rsid w:val="000D7900"/>
    <w:rsid w:val="000E1A83"/>
    <w:rsid w:val="000E6747"/>
    <w:rsid w:val="000F7EBE"/>
    <w:rsid w:val="00103D1D"/>
    <w:rsid w:val="00104C80"/>
    <w:rsid w:val="00114B36"/>
    <w:rsid w:val="00120A98"/>
    <w:rsid w:val="00145617"/>
    <w:rsid w:val="00152F28"/>
    <w:rsid w:val="0016063C"/>
    <w:rsid w:val="00164F1F"/>
    <w:rsid w:val="00182AB8"/>
    <w:rsid w:val="001835CF"/>
    <w:rsid w:val="001935A7"/>
    <w:rsid w:val="001A5E48"/>
    <w:rsid w:val="001B24AC"/>
    <w:rsid w:val="001C3323"/>
    <w:rsid w:val="001C42B8"/>
    <w:rsid w:val="001E5D39"/>
    <w:rsid w:val="001E751A"/>
    <w:rsid w:val="001F369C"/>
    <w:rsid w:val="001F53B5"/>
    <w:rsid w:val="001F5650"/>
    <w:rsid w:val="001F62F6"/>
    <w:rsid w:val="00210FCE"/>
    <w:rsid w:val="00251397"/>
    <w:rsid w:val="002603E4"/>
    <w:rsid w:val="00265177"/>
    <w:rsid w:val="00280D7F"/>
    <w:rsid w:val="0028441D"/>
    <w:rsid w:val="0029591C"/>
    <w:rsid w:val="002A53A9"/>
    <w:rsid w:val="002A76F5"/>
    <w:rsid w:val="002B21A4"/>
    <w:rsid w:val="002C257E"/>
    <w:rsid w:val="002E6E9A"/>
    <w:rsid w:val="002E7800"/>
    <w:rsid w:val="002F7D51"/>
    <w:rsid w:val="00311317"/>
    <w:rsid w:val="003139B6"/>
    <w:rsid w:val="003260B6"/>
    <w:rsid w:val="0033366B"/>
    <w:rsid w:val="00334EE9"/>
    <w:rsid w:val="003413FB"/>
    <w:rsid w:val="0035132A"/>
    <w:rsid w:val="00356ECA"/>
    <w:rsid w:val="00363F0A"/>
    <w:rsid w:val="00367EB4"/>
    <w:rsid w:val="003872FB"/>
    <w:rsid w:val="003A5225"/>
    <w:rsid w:val="003B7F05"/>
    <w:rsid w:val="003D1382"/>
    <w:rsid w:val="003E1791"/>
    <w:rsid w:val="003E7146"/>
    <w:rsid w:val="003F0542"/>
    <w:rsid w:val="00403E35"/>
    <w:rsid w:val="004053FD"/>
    <w:rsid w:val="00415F96"/>
    <w:rsid w:val="00425489"/>
    <w:rsid w:val="00427245"/>
    <w:rsid w:val="004305F5"/>
    <w:rsid w:val="004405E2"/>
    <w:rsid w:val="004525CB"/>
    <w:rsid w:val="00457172"/>
    <w:rsid w:val="004722A9"/>
    <w:rsid w:val="004801EC"/>
    <w:rsid w:val="004802BC"/>
    <w:rsid w:val="004852BB"/>
    <w:rsid w:val="00487425"/>
    <w:rsid w:val="0049548E"/>
    <w:rsid w:val="00497DDE"/>
    <w:rsid w:val="004B5535"/>
    <w:rsid w:val="004B67EA"/>
    <w:rsid w:val="004D0121"/>
    <w:rsid w:val="004D1FC5"/>
    <w:rsid w:val="004E76DC"/>
    <w:rsid w:val="004F0191"/>
    <w:rsid w:val="004F2406"/>
    <w:rsid w:val="004F3054"/>
    <w:rsid w:val="005028EF"/>
    <w:rsid w:val="00505268"/>
    <w:rsid w:val="00517A5C"/>
    <w:rsid w:val="005214D1"/>
    <w:rsid w:val="005249E9"/>
    <w:rsid w:val="00526F81"/>
    <w:rsid w:val="00550881"/>
    <w:rsid w:val="00560B39"/>
    <w:rsid w:val="00572F88"/>
    <w:rsid w:val="00581BAB"/>
    <w:rsid w:val="00586D49"/>
    <w:rsid w:val="0059136C"/>
    <w:rsid w:val="00593E26"/>
    <w:rsid w:val="005A3BCF"/>
    <w:rsid w:val="005C6705"/>
    <w:rsid w:val="005D1FF4"/>
    <w:rsid w:val="005E3DB8"/>
    <w:rsid w:val="005F201B"/>
    <w:rsid w:val="005F387D"/>
    <w:rsid w:val="00601CC4"/>
    <w:rsid w:val="00603F5A"/>
    <w:rsid w:val="006118CA"/>
    <w:rsid w:val="00621BC6"/>
    <w:rsid w:val="00622522"/>
    <w:rsid w:val="00622CEA"/>
    <w:rsid w:val="0063661E"/>
    <w:rsid w:val="0065680C"/>
    <w:rsid w:val="00656BD3"/>
    <w:rsid w:val="00662E17"/>
    <w:rsid w:val="006745E9"/>
    <w:rsid w:val="00675600"/>
    <w:rsid w:val="006812D0"/>
    <w:rsid w:val="00684648"/>
    <w:rsid w:val="006876FB"/>
    <w:rsid w:val="00693E0D"/>
    <w:rsid w:val="00697C64"/>
    <w:rsid w:val="006A22FE"/>
    <w:rsid w:val="006A44CC"/>
    <w:rsid w:val="006A798A"/>
    <w:rsid w:val="006B7A1D"/>
    <w:rsid w:val="006C5FB0"/>
    <w:rsid w:val="006D062D"/>
    <w:rsid w:val="006E7A0A"/>
    <w:rsid w:val="006F26BF"/>
    <w:rsid w:val="006F7CF8"/>
    <w:rsid w:val="007041AE"/>
    <w:rsid w:val="00717C11"/>
    <w:rsid w:val="007223DE"/>
    <w:rsid w:val="00722DA3"/>
    <w:rsid w:val="00726ED2"/>
    <w:rsid w:val="00731E3A"/>
    <w:rsid w:val="007428A8"/>
    <w:rsid w:val="00750E8C"/>
    <w:rsid w:val="00754602"/>
    <w:rsid w:val="00762761"/>
    <w:rsid w:val="007643B0"/>
    <w:rsid w:val="0078644E"/>
    <w:rsid w:val="007A015B"/>
    <w:rsid w:val="007A7639"/>
    <w:rsid w:val="007A7EF4"/>
    <w:rsid w:val="007B31A3"/>
    <w:rsid w:val="007D0652"/>
    <w:rsid w:val="007D729C"/>
    <w:rsid w:val="00807524"/>
    <w:rsid w:val="008107DE"/>
    <w:rsid w:val="00813DB5"/>
    <w:rsid w:val="00815D09"/>
    <w:rsid w:val="0082103B"/>
    <w:rsid w:val="00831F70"/>
    <w:rsid w:val="00837426"/>
    <w:rsid w:val="00844224"/>
    <w:rsid w:val="0084783D"/>
    <w:rsid w:val="00850CB3"/>
    <w:rsid w:val="00857AE4"/>
    <w:rsid w:val="00860342"/>
    <w:rsid w:val="0086659E"/>
    <w:rsid w:val="00873C86"/>
    <w:rsid w:val="008803DC"/>
    <w:rsid w:val="00885BDB"/>
    <w:rsid w:val="00886E21"/>
    <w:rsid w:val="008A5D3B"/>
    <w:rsid w:val="008B4E11"/>
    <w:rsid w:val="008B68C7"/>
    <w:rsid w:val="008C1595"/>
    <w:rsid w:val="008C5373"/>
    <w:rsid w:val="008D68E2"/>
    <w:rsid w:val="0092014F"/>
    <w:rsid w:val="00920F73"/>
    <w:rsid w:val="0092556D"/>
    <w:rsid w:val="00926F84"/>
    <w:rsid w:val="00940AB9"/>
    <w:rsid w:val="00945AFC"/>
    <w:rsid w:val="009510B8"/>
    <w:rsid w:val="00956ADE"/>
    <w:rsid w:val="009602A6"/>
    <w:rsid w:val="00962799"/>
    <w:rsid w:val="0096654E"/>
    <w:rsid w:val="00973905"/>
    <w:rsid w:val="009917C8"/>
    <w:rsid w:val="00996292"/>
    <w:rsid w:val="009D307F"/>
    <w:rsid w:val="009E0DAC"/>
    <w:rsid w:val="009E6335"/>
    <w:rsid w:val="009F24A5"/>
    <w:rsid w:val="009F366A"/>
    <w:rsid w:val="00A00EF9"/>
    <w:rsid w:val="00A26227"/>
    <w:rsid w:val="00A37832"/>
    <w:rsid w:val="00A5567E"/>
    <w:rsid w:val="00A567A8"/>
    <w:rsid w:val="00A638B4"/>
    <w:rsid w:val="00A66FB8"/>
    <w:rsid w:val="00A774D2"/>
    <w:rsid w:val="00A822A3"/>
    <w:rsid w:val="00A83793"/>
    <w:rsid w:val="00A93715"/>
    <w:rsid w:val="00AB2009"/>
    <w:rsid w:val="00AB3397"/>
    <w:rsid w:val="00AE069D"/>
    <w:rsid w:val="00AE0A24"/>
    <w:rsid w:val="00AF104E"/>
    <w:rsid w:val="00AF7422"/>
    <w:rsid w:val="00B104B4"/>
    <w:rsid w:val="00B2586C"/>
    <w:rsid w:val="00B50678"/>
    <w:rsid w:val="00B53AE4"/>
    <w:rsid w:val="00B56472"/>
    <w:rsid w:val="00B735D2"/>
    <w:rsid w:val="00B877E7"/>
    <w:rsid w:val="00B9393B"/>
    <w:rsid w:val="00B93FCD"/>
    <w:rsid w:val="00BA25D6"/>
    <w:rsid w:val="00BA608A"/>
    <w:rsid w:val="00BD4CE0"/>
    <w:rsid w:val="00BD71DA"/>
    <w:rsid w:val="00BD7EBD"/>
    <w:rsid w:val="00BE410D"/>
    <w:rsid w:val="00BF7AC1"/>
    <w:rsid w:val="00C12027"/>
    <w:rsid w:val="00C14962"/>
    <w:rsid w:val="00C34CC2"/>
    <w:rsid w:val="00C37F2A"/>
    <w:rsid w:val="00C55748"/>
    <w:rsid w:val="00C57B17"/>
    <w:rsid w:val="00C641B3"/>
    <w:rsid w:val="00C751A7"/>
    <w:rsid w:val="00C76046"/>
    <w:rsid w:val="00CA27E9"/>
    <w:rsid w:val="00CA2B14"/>
    <w:rsid w:val="00CA3B41"/>
    <w:rsid w:val="00CB2F84"/>
    <w:rsid w:val="00CB3C7A"/>
    <w:rsid w:val="00CC14C6"/>
    <w:rsid w:val="00CC2F34"/>
    <w:rsid w:val="00CD1C9D"/>
    <w:rsid w:val="00CD413A"/>
    <w:rsid w:val="00CE0F7D"/>
    <w:rsid w:val="00CF0081"/>
    <w:rsid w:val="00D031FD"/>
    <w:rsid w:val="00D03B0C"/>
    <w:rsid w:val="00D047AA"/>
    <w:rsid w:val="00D14CE2"/>
    <w:rsid w:val="00D255F6"/>
    <w:rsid w:val="00D418C0"/>
    <w:rsid w:val="00D56795"/>
    <w:rsid w:val="00D6192D"/>
    <w:rsid w:val="00D87EB9"/>
    <w:rsid w:val="00D91AEC"/>
    <w:rsid w:val="00D95688"/>
    <w:rsid w:val="00DA08E4"/>
    <w:rsid w:val="00DA51DE"/>
    <w:rsid w:val="00DB436C"/>
    <w:rsid w:val="00DD02D6"/>
    <w:rsid w:val="00DD0500"/>
    <w:rsid w:val="00DD2605"/>
    <w:rsid w:val="00DD3773"/>
    <w:rsid w:val="00DD5C7A"/>
    <w:rsid w:val="00DE4C0E"/>
    <w:rsid w:val="00DE5C0F"/>
    <w:rsid w:val="00DE616E"/>
    <w:rsid w:val="00DF27D7"/>
    <w:rsid w:val="00E115C0"/>
    <w:rsid w:val="00E1456D"/>
    <w:rsid w:val="00E20FFB"/>
    <w:rsid w:val="00E24022"/>
    <w:rsid w:val="00E24D54"/>
    <w:rsid w:val="00E37774"/>
    <w:rsid w:val="00E55FE8"/>
    <w:rsid w:val="00E744A7"/>
    <w:rsid w:val="00E75C3A"/>
    <w:rsid w:val="00E92301"/>
    <w:rsid w:val="00E94E24"/>
    <w:rsid w:val="00EA654E"/>
    <w:rsid w:val="00EB4387"/>
    <w:rsid w:val="00EC6FD9"/>
    <w:rsid w:val="00EE0BDB"/>
    <w:rsid w:val="00EE591D"/>
    <w:rsid w:val="00EF2F80"/>
    <w:rsid w:val="00EF4519"/>
    <w:rsid w:val="00EF4E93"/>
    <w:rsid w:val="00EF60BD"/>
    <w:rsid w:val="00F00405"/>
    <w:rsid w:val="00F30DFD"/>
    <w:rsid w:val="00F37419"/>
    <w:rsid w:val="00F432CE"/>
    <w:rsid w:val="00F4503F"/>
    <w:rsid w:val="00F57FE5"/>
    <w:rsid w:val="00F60D25"/>
    <w:rsid w:val="00F61C40"/>
    <w:rsid w:val="00F63891"/>
    <w:rsid w:val="00F72269"/>
    <w:rsid w:val="00F742A7"/>
    <w:rsid w:val="00F80BD1"/>
    <w:rsid w:val="00FA496F"/>
    <w:rsid w:val="00FB4C31"/>
    <w:rsid w:val="00FD37A4"/>
    <w:rsid w:val="00FD3F2F"/>
    <w:rsid w:val="00FE4E29"/>
    <w:rsid w:val="00FF09BB"/>
    <w:rsid w:val="00FF21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liases w:val="AVI ja ELY_Normaali"/>
    <w:qFormat/>
    <w:rsid w:val="00CC2F34"/>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
    <w:basedOn w:val="Normaali"/>
    <w:link w:val="YltunnisteChar"/>
    <w:unhideWhenUsed/>
    <w:qFormat/>
    <w:rsid w:val="00CC2F34"/>
    <w:pPr>
      <w:tabs>
        <w:tab w:val="center" w:pos="4819"/>
        <w:tab w:val="right" w:pos="9638"/>
      </w:tabs>
      <w:spacing w:after="0" w:line="240" w:lineRule="auto"/>
    </w:pPr>
  </w:style>
  <w:style w:type="character" w:customStyle="1" w:styleId="YltunnisteChar">
    <w:name w:val="Ylätunniste Char"/>
    <w:aliases w:val="AVI ja ELY_Ylätunniste Char"/>
    <w:basedOn w:val="Kappaleenoletusfontti"/>
    <w:link w:val="Yltunniste"/>
    <w:uiPriority w:val="99"/>
    <w:rsid w:val="00CC2F34"/>
  </w:style>
  <w:style w:type="paragraph" w:styleId="Alatunniste">
    <w:name w:val="footer"/>
    <w:basedOn w:val="Normaali"/>
    <w:link w:val="AlatunnisteChar"/>
    <w:uiPriority w:val="99"/>
    <w:unhideWhenUsed/>
    <w:rsid w:val="00CC2F3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F34"/>
  </w:style>
  <w:style w:type="character" w:styleId="Korostus">
    <w:name w:val="Emphasis"/>
    <w:basedOn w:val="Kappaleenoletusfontti"/>
    <w:uiPriority w:val="20"/>
    <w:rsid w:val="00CC2F34"/>
    <w:rPr>
      <w:i/>
      <w:iCs/>
    </w:rPr>
  </w:style>
  <w:style w:type="character" w:styleId="Erottuvaviittaus">
    <w:name w:val="Intense Reference"/>
    <w:basedOn w:val="Kappaleenoletusfontti"/>
    <w:uiPriority w:val="32"/>
    <w:rsid w:val="00CC2F34"/>
    <w:rPr>
      <w:b/>
      <w:bCs/>
      <w:smallCaps/>
      <w:color w:val="C0504D"/>
      <w:spacing w:val="5"/>
      <w:u w:val="single"/>
    </w:rPr>
  </w:style>
  <w:style w:type="paragraph" w:customStyle="1" w:styleId="AVIjaELYRiippuva">
    <w:name w:val="AVI ja ELY_Riippuva"/>
    <w:basedOn w:val="Normaali"/>
    <w:next w:val="Normaali"/>
    <w:qFormat/>
    <w:rsid w:val="00CC2F34"/>
    <w:pPr>
      <w:ind w:left="2608" w:right="305"/>
    </w:pPr>
    <w:rPr>
      <w:rFonts w:eastAsia="Times New Roman" w:cs="Arial"/>
      <w:lang w:eastAsia="fi-FI"/>
    </w:rPr>
  </w:style>
  <w:style w:type="paragraph" w:customStyle="1" w:styleId="AVIjaELYNormaaliSisentmtn">
    <w:name w:val="AVI ja ELY_Normaali_Sisentämätön"/>
    <w:link w:val="AVIjaELYNormaaliSisentmtnChar"/>
    <w:qFormat/>
    <w:rsid w:val="00CC2F34"/>
    <w:rPr>
      <w:rFonts w:eastAsia="Times New Roman"/>
      <w:sz w:val="22"/>
      <w:szCs w:val="22"/>
    </w:rPr>
  </w:style>
  <w:style w:type="character" w:customStyle="1" w:styleId="AVIjaELYNormaaliSisentmtnChar">
    <w:name w:val="AVI ja ELY_Normaali_Sisentämätön Char"/>
    <w:basedOn w:val="Kappaleenoletusfontti"/>
    <w:link w:val="AVIjaELYNormaaliSisentmtn"/>
    <w:rsid w:val="00CC2F34"/>
    <w:rPr>
      <w:rFonts w:eastAsia="Times New Roman"/>
      <w:sz w:val="22"/>
      <w:szCs w:val="22"/>
      <w:lang w:val="fi-FI" w:eastAsia="fi-FI" w:bidi="ar-SA"/>
    </w:rPr>
  </w:style>
  <w:style w:type="paragraph" w:customStyle="1" w:styleId="AVIjaELYleipteksti">
    <w:name w:val="AVI ja ELY_leipäteksti"/>
    <w:basedOn w:val="AVIjaELYNormaaliSisentmtn"/>
    <w:qFormat/>
    <w:rsid w:val="00CC2F34"/>
    <w:pPr>
      <w:spacing w:after="200" w:line="276" w:lineRule="auto"/>
      <w:ind w:left="2608"/>
    </w:pPr>
    <w:rPr>
      <w:szCs w:val="24"/>
    </w:rPr>
  </w:style>
  <w:style w:type="paragraph" w:customStyle="1" w:styleId="AVIjaELYOtsikko1">
    <w:name w:val="AVI ja ELY_Otsikko 1"/>
    <w:next w:val="Normaali"/>
    <w:qFormat/>
    <w:rsid w:val="00CC2F34"/>
    <w:pPr>
      <w:keepNext/>
      <w:spacing w:before="320" w:after="200"/>
      <w:ind w:right="305"/>
      <w:outlineLvl w:val="0"/>
    </w:pPr>
    <w:rPr>
      <w:rFonts w:eastAsia="Times New Roman" w:cs="Arial"/>
      <w:b/>
      <w:bCs/>
      <w:kern w:val="32"/>
      <w:sz w:val="26"/>
      <w:szCs w:val="26"/>
    </w:rPr>
  </w:style>
  <w:style w:type="paragraph" w:customStyle="1" w:styleId="AVIalatunniste">
    <w:name w:val="AVI alatunniste"/>
    <w:basedOn w:val="AVIjaELYNormaaliSisentmtn"/>
    <w:link w:val="AVIalatunnisteChar"/>
    <w:qFormat/>
    <w:rsid w:val="00CC2F34"/>
    <w:pPr>
      <w:tabs>
        <w:tab w:val="left" w:pos="3969"/>
        <w:tab w:val="left" w:pos="6521"/>
      </w:tabs>
    </w:pPr>
    <w:rPr>
      <w:rFonts w:cs="Arial"/>
      <w:color w:val="1F497D"/>
      <w:sz w:val="18"/>
    </w:rPr>
  </w:style>
  <w:style w:type="character" w:customStyle="1" w:styleId="AVIalatunnisteChar">
    <w:name w:val="AVI alatunniste Char"/>
    <w:basedOn w:val="AVIjaELYNormaaliSisentmtnChar"/>
    <w:link w:val="AVIalatunniste"/>
    <w:rsid w:val="00CC2F34"/>
    <w:rPr>
      <w:rFonts w:eastAsia="Times New Roman" w:cs="Arial"/>
      <w:color w:val="1F497D"/>
      <w:sz w:val="18"/>
      <w:szCs w:val="22"/>
      <w:lang w:val="fi-FI" w:eastAsia="fi-FI" w:bidi="ar-SA"/>
    </w:rPr>
  </w:style>
  <w:style w:type="table" w:styleId="TaulukkoRuudukko">
    <w:name w:val="Table Grid"/>
    <w:basedOn w:val="Normaalitaulukko"/>
    <w:uiPriority w:val="59"/>
    <w:rsid w:val="00CC2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uettelokappale">
    <w:name w:val="List Paragraph"/>
    <w:basedOn w:val="Normaali"/>
    <w:uiPriority w:val="34"/>
    <w:qFormat/>
    <w:rsid w:val="00A37832"/>
    <w:pPr>
      <w:spacing w:after="0" w:line="240" w:lineRule="auto"/>
      <w:ind w:left="1304"/>
    </w:pPr>
    <w:rPr>
      <w:rFonts w:ascii="Times New Roman" w:eastAsia="Times New Roman" w:hAnsi="Times New Roman"/>
      <w:sz w:val="24"/>
      <w:szCs w:val="24"/>
    </w:rPr>
  </w:style>
  <w:style w:type="paragraph" w:customStyle="1" w:styleId="Default">
    <w:name w:val="Default"/>
    <w:rsid w:val="00A37832"/>
    <w:pPr>
      <w:autoSpaceDE w:val="0"/>
      <w:autoSpaceDN w:val="0"/>
      <w:adjustRightInd w:val="0"/>
    </w:pPr>
    <w:rPr>
      <w:rFonts w:ascii="Times New Roman" w:eastAsia="Times New Roman" w:hAnsi="Times New Roman"/>
      <w:color w:val="000000"/>
      <w:sz w:val="24"/>
      <w:szCs w:val="24"/>
    </w:rPr>
  </w:style>
  <w:style w:type="paragraph" w:styleId="Eivli">
    <w:name w:val="No Spacing"/>
    <w:uiPriority w:val="1"/>
    <w:qFormat/>
    <w:rsid w:val="006C5FB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liases w:val="AVI ja ELY_Normaali"/>
    <w:qFormat/>
    <w:rsid w:val="00CC2F34"/>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
    <w:basedOn w:val="Normaali"/>
    <w:link w:val="YltunnisteChar"/>
    <w:unhideWhenUsed/>
    <w:qFormat/>
    <w:rsid w:val="00CC2F34"/>
    <w:pPr>
      <w:tabs>
        <w:tab w:val="center" w:pos="4819"/>
        <w:tab w:val="right" w:pos="9638"/>
      </w:tabs>
      <w:spacing w:after="0" w:line="240" w:lineRule="auto"/>
    </w:pPr>
  </w:style>
  <w:style w:type="character" w:customStyle="1" w:styleId="YltunnisteChar">
    <w:name w:val="Ylätunniste Char"/>
    <w:aliases w:val="AVI ja ELY_Ylätunniste Char"/>
    <w:basedOn w:val="Kappaleenoletusfontti"/>
    <w:link w:val="Yltunniste"/>
    <w:uiPriority w:val="99"/>
    <w:rsid w:val="00CC2F34"/>
  </w:style>
  <w:style w:type="paragraph" w:styleId="Alatunniste">
    <w:name w:val="footer"/>
    <w:basedOn w:val="Normaali"/>
    <w:link w:val="AlatunnisteChar"/>
    <w:uiPriority w:val="99"/>
    <w:unhideWhenUsed/>
    <w:rsid w:val="00CC2F3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F34"/>
  </w:style>
  <w:style w:type="character" w:styleId="Korostus">
    <w:name w:val="Emphasis"/>
    <w:basedOn w:val="Kappaleenoletusfontti"/>
    <w:uiPriority w:val="20"/>
    <w:rsid w:val="00CC2F34"/>
    <w:rPr>
      <w:i/>
      <w:iCs/>
    </w:rPr>
  </w:style>
  <w:style w:type="character" w:styleId="Erottuvaviittaus">
    <w:name w:val="Intense Reference"/>
    <w:basedOn w:val="Kappaleenoletusfontti"/>
    <w:uiPriority w:val="32"/>
    <w:rsid w:val="00CC2F34"/>
    <w:rPr>
      <w:b/>
      <w:bCs/>
      <w:smallCaps/>
      <w:color w:val="C0504D"/>
      <w:spacing w:val="5"/>
      <w:u w:val="single"/>
    </w:rPr>
  </w:style>
  <w:style w:type="paragraph" w:customStyle="1" w:styleId="AVIjaELYRiippuva">
    <w:name w:val="AVI ja ELY_Riippuva"/>
    <w:basedOn w:val="Normaali"/>
    <w:next w:val="Normaali"/>
    <w:qFormat/>
    <w:rsid w:val="00CC2F34"/>
    <w:pPr>
      <w:ind w:left="2608" w:right="305"/>
    </w:pPr>
    <w:rPr>
      <w:rFonts w:eastAsia="Times New Roman" w:cs="Arial"/>
      <w:lang w:eastAsia="fi-FI"/>
    </w:rPr>
  </w:style>
  <w:style w:type="paragraph" w:customStyle="1" w:styleId="AVIjaELYNormaaliSisentmtn">
    <w:name w:val="AVI ja ELY_Normaali_Sisentämätön"/>
    <w:link w:val="AVIjaELYNormaaliSisentmtnChar"/>
    <w:qFormat/>
    <w:rsid w:val="00CC2F34"/>
    <w:rPr>
      <w:rFonts w:eastAsia="Times New Roman"/>
      <w:sz w:val="22"/>
      <w:szCs w:val="22"/>
    </w:rPr>
  </w:style>
  <w:style w:type="character" w:customStyle="1" w:styleId="AVIjaELYNormaaliSisentmtnChar">
    <w:name w:val="AVI ja ELY_Normaali_Sisentämätön Char"/>
    <w:basedOn w:val="Kappaleenoletusfontti"/>
    <w:link w:val="AVIjaELYNormaaliSisentmtn"/>
    <w:rsid w:val="00CC2F34"/>
    <w:rPr>
      <w:rFonts w:eastAsia="Times New Roman"/>
      <w:sz w:val="22"/>
      <w:szCs w:val="22"/>
      <w:lang w:val="fi-FI" w:eastAsia="fi-FI" w:bidi="ar-SA"/>
    </w:rPr>
  </w:style>
  <w:style w:type="paragraph" w:customStyle="1" w:styleId="AVIjaELYleipteksti">
    <w:name w:val="AVI ja ELY_leipäteksti"/>
    <w:basedOn w:val="AVIjaELYNormaaliSisentmtn"/>
    <w:qFormat/>
    <w:rsid w:val="00CC2F34"/>
    <w:pPr>
      <w:spacing w:after="200" w:line="276" w:lineRule="auto"/>
      <w:ind w:left="2608"/>
    </w:pPr>
    <w:rPr>
      <w:szCs w:val="24"/>
    </w:rPr>
  </w:style>
  <w:style w:type="paragraph" w:customStyle="1" w:styleId="AVIjaELYOtsikko1">
    <w:name w:val="AVI ja ELY_Otsikko 1"/>
    <w:next w:val="Normaali"/>
    <w:qFormat/>
    <w:rsid w:val="00CC2F34"/>
    <w:pPr>
      <w:keepNext/>
      <w:spacing w:before="320" w:after="200"/>
      <w:ind w:right="305"/>
      <w:outlineLvl w:val="0"/>
    </w:pPr>
    <w:rPr>
      <w:rFonts w:eastAsia="Times New Roman" w:cs="Arial"/>
      <w:b/>
      <w:bCs/>
      <w:kern w:val="32"/>
      <w:sz w:val="26"/>
      <w:szCs w:val="26"/>
    </w:rPr>
  </w:style>
  <w:style w:type="paragraph" w:customStyle="1" w:styleId="AVIalatunniste">
    <w:name w:val="AVI alatunniste"/>
    <w:basedOn w:val="AVIjaELYNormaaliSisentmtn"/>
    <w:link w:val="AVIalatunnisteChar"/>
    <w:qFormat/>
    <w:rsid w:val="00CC2F34"/>
    <w:pPr>
      <w:tabs>
        <w:tab w:val="left" w:pos="3969"/>
        <w:tab w:val="left" w:pos="6521"/>
      </w:tabs>
    </w:pPr>
    <w:rPr>
      <w:rFonts w:cs="Arial"/>
      <w:color w:val="1F497D"/>
      <w:sz w:val="18"/>
    </w:rPr>
  </w:style>
  <w:style w:type="character" w:customStyle="1" w:styleId="AVIalatunnisteChar">
    <w:name w:val="AVI alatunniste Char"/>
    <w:basedOn w:val="AVIjaELYNormaaliSisentmtnChar"/>
    <w:link w:val="AVIalatunniste"/>
    <w:rsid w:val="00CC2F34"/>
    <w:rPr>
      <w:rFonts w:eastAsia="Times New Roman" w:cs="Arial"/>
      <w:color w:val="1F497D"/>
      <w:sz w:val="18"/>
      <w:szCs w:val="22"/>
      <w:lang w:val="fi-FI" w:eastAsia="fi-FI" w:bidi="ar-SA"/>
    </w:rPr>
  </w:style>
  <w:style w:type="table" w:styleId="TaulukkoRuudukko">
    <w:name w:val="Table Grid"/>
    <w:basedOn w:val="Normaalitaulukko"/>
    <w:uiPriority w:val="59"/>
    <w:rsid w:val="00CC2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uettelokappale">
    <w:name w:val="List Paragraph"/>
    <w:basedOn w:val="Normaali"/>
    <w:uiPriority w:val="34"/>
    <w:qFormat/>
    <w:rsid w:val="00A37832"/>
    <w:pPr>
      <w:spacing w:after="0" w:line="240" w:lineRule="auto"/>
      <w:ind w:left="1304"/>
    </w:pPr>
    <w:rPr>
      <w:rFonts w:ascii="Times New Roman" w:eastAsia="Times New Roman" w:hAnsi="Times New Roman"/>
      <w:sz w:val="24"/>
      <w:szCs w:val="24"/>
    </w:rPr>
  </w:style>
  <w:style w:type="paragraph" w:customStyle="1" w:styleId="Default">
    <w:name w:val="Default"/>
    <w:rsid w:val="00A37832"/>
    <w:pPr>
      <w:autoSpaceDE w:val="0"/>
      <w:autoSpaceDN w:val="0"/>
      <w:adjustRightInd w:val="0"/>
    </w:pPr>
    <w:rPr>
      <w:rFonts w:ascii="Times New Roman" w:eastAsia="Times New Roman" w:hAnsi="Times New Roman"/>
      <w:color w:val="000000"/>
      <w:sz w:val="24"/>
      <w:szCs w:val="24"/>
    </w:rPr>
  </w:style>
  <w:style w:type="paragraph" w:styleId="Eivli">
    <w:name w:val="No Spacing"/>
    <w:uiPriority w:val="1"/>
    <w:qFormat/>
    <w:rsid w:val="006C5F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B3F11-91A0-4825-84B5-816DD09A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9579</Characters>
  <Application>Microsoft Office Word</Application>
  <DocSecurity>4</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2014-03-24T06:41:00Z</dcterms:created>
  <dcterms:modified xsi:type="dcterms:W3CDTF">2014-03-24T06:41:00Z</dcterms:modified>
</cp:coreProperties>
</file>