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78" w:rsidRDefault="00E7285C">
      <w:pPr>
        <w:pStyle w:val="Vaintekstin"/>
      </w:pPr>
      <w:bookmarkStart w:id="0" w:name="_GoBack"/>
      <w:bookmarkEnd w:id="0"/>
      <w:r>
        <w:t>Ympäristöministeriö</w:t>
      </w:r>
    </w:p>
    <w:p w:rsidR="00896378" w:rsidRDefault="00E7285C">
      <w:pPr>
        <w:pStyle w:val="Vaintekstin"/>
      </w:pPr>
      <w:r>
        <w:t>PL 35</w:t>
      </w:r>
    </w:p>
    <w:p w:rsidR="00896378" w:rsidRDefault="00E7285C">
      <w:pPr>
        <w:pStyle w:val="Vaintekstin"/>
      </w:pPr>
      <w:r>
        <w:t>00023 Valtioneuvosto</w:t>
      </w:r>
    </w:p>
    <w:p w:rsidR="00896378" w:rsidRDefault="00896378"/>
    <w:p w:rsidR="00896378" w:rsidRDefault="00896378"/>
    <w:p w:rsidR="00896378" w:rsidRDefault="00896378"/>
    <w:p w:rsidR="00896378" w:rsidRDefault="00896378"/>
    <w:p w:rsidR="00896378" w:rsidRDefault="00896378"/>
    <w:p w:rsidR="00896378" w:rsidRDefault="00E7285C">
      <w:pPr>
        <w:pStyle w:val="Otsikko2"/>
      </w:pPr>
      <w:r>
        <w:t>Turun kaupungin ympäristönsuojeluviranomaisen lausunto koskien Ympäristöminister</w:t>
      </w:r>
      <w:r>
        <w:t>i</w:t>
      </w:r>
      <w:r>
        <w:t>ön lausuntopyyntöä ympäristönsuojelulain uudistamishankkeen kolmannen vaiheen e</w:t>
      </w:r>
      <w:r>
        <w:t>h</w:t>
      </w:r>
      <w:r>
        <w:t>dotuksista</w:t>
      </w:r>
    </w:p>
    <w:p w:rsidR="00896378" w:rsidRDefault="00896378"/>
    <w:p w:rsidR="00EE7E04" w:rsidRDefault="009743CD"/>
    <w:p w:rsidR="00EE7E04" w:rsidRDefault="00E7285C">
      <w:pPr>
        <w:ind w:left="2608"/>
      </w:pPr>
      <w:r>
        <w:t>Ympäristöministeriö on pyytänyt Turun kaupungin ympäristönsuojeluvira</w:t>
      </w:r>
      <w:r>
        <w:t>n</w:t>
      </w:r>
      <w:r>
        <w:t xml:space="preserve">omaiselta lausuntoa ympäristönsuojelulain uudistamishankkeen kolmannen vaiheen ehdotuksista. </w:t>
      </w:r>
    </w:p>
    <w:p w:rsidR="00EE7E04" w:rsidRDefault="009743CD"/>
    <w:p w:rsidR="00EE7E04" w:rsidRDefault="00E7285C">
      <w:pPr>
        <w:ind w:left="2608"/>
      </w:pPr>
      <w:r>
        <w:t>Turun kaupungin ympäristönsuojelu on valmistellut seuraavan lausunnon l</w:t>
      </w:r>
      <w:r>
        <w:t>a</w:t>
      </w:r>
      <w:r>
        <w:t>kimuutosvaiheen kolmesta eri projektista:</w:t>
      </w:r>
    </w:p>
    <w:p w:rsidR="00EE7E04" w:rsidRDefault="009743CD"/>
    <w:p w:rsidR="00EE7E04" w:rsidRDefault="00E7285C">
      <w:pPr>
        <w:ind w:left="2608"/>
      </w:pPr>
      <w:r>
        <w:rPr>
          <w:b/>
          <w:u w:val="single"/>
        </w:rPr>
        <w:t>Ympäristölupamenettelylain sujuvoittaminen</w:t>
      </w:r>
    </w:p>
    <w:p w:rsidR="00EE7E04" w:rsidRDefault="009743CD"/>
    <w:p w:rsidR="00EE7E04" w:rsidRDefault="00E7285C">
      <w:pPr>
        <w:ind w:left="2608"/>
      </w:pPr>
      <w:r>
        <w:t>2.1 Asiakaslähtöisyys</w:t>
      </w:r>
    </w:p>
    <w:p w:rsidR="00EE7E04" w:rsidRDefault="009743CD"/>
    <w:p w:rsidR="00EE7E04" w:rsidRDefault="00E7285C">
      <w:pPr>
        <w:ind w:left="2608"/>
      </w:pPr>
      <w:r>
        <w:t>Kuntien ympäristönsuojeluviranomaisilla on jo laajasti käytössä tällä hetkellä lakiin ehdotettu toimintatapa hakijan neuvonnasta (ehdotus ympäristönsuoj</w:t>
      </w:r>
      <w:r>
        <w:t>e</w:t>
      </w:r>
      <w:r>
        <w:t>lulain 39 a § Hakijan neuvonta). Lupaviranomainen käy monissa tapauksissa neuvottelut hakijan kanssa sekä tekee tarkastuskäynnit aina luvan hakuva</w:t>
      </w:r>
      <w:r>
        <w:t>i</w:t>
      </w:r>
      <w:r>
        <w:t>heessa. Jos kyseessä on uusi toiminta, ko. luvan käsittely menee edelle ol</w:t>
      </w:r>
      <w:r>
        <w:t>e</w:t>
      </w:r>
      <w:r>
        <w:t>massa olevien toimintojen lupakäsittelyä, jolloin toiminnan aloittamista suu</w:t>
      </w:r>
      <w:r>
        <w:t>n</w:t>
      </w:r>
      <w:r>
        <w:t>nitteleva toiminnanharjoittaja ei joudu odottamaan lupapäätöstä pitkiä aikoja.</w:t>
      </w:r>
    </w:p>
    <w:p w:rsidR="00EE7E04" w:rsidRDefault="009743CD"/>
    <w:p w:rsidR="00EE7E04" w:rsidRDefault="00E7285C">
      <w:pPr>
        <w:ind w:left="2608"/>
      </w:pPr>
      <w:r>
        <w:t>Hakijan neuvontaa koskevan tarkennuksen lisäämistä ympäristönsuojelulakiin voidaan kuitenkin pitää kannatettavana.</w:t>
      </w:r>
    </w:p>
    <w:p w:rsidR="00EE7E04" w:rsidRDefault="009743CD"/>
    <w:p w:rsidR="00EE7E04" w:rsidRDefault="00E7285C">
      <w:pPr>
        <w:ind w:left="2608"/>
      </w:pPr>
      <w:r>
        <w:t>2.2 Viranomaisyhteistyö ja lausunnot viranomaisilta</w:t>
      </w:r>
    </w:p>
    <w:p w:rsidR="00EE7E04" w:rsidRDefault="009743CD"/>
    <w:p w:rsidR="00EE7E04" w:rsidRDefault="00E7285C">
      <w:pPr>
        <w:ind w:left="2608"/>
      </w:pPr>
      <w:r>
        <w:t>Muistiossa esitetty ehdotus lausuntopyyntöjen aikaistamisesta on myös usein käytössä kuntien ympäristönsuojeluviranomaisen lupavalmisteluissa. Sinänsä se, että lausunnot on jo annettu ennen kuulemista, on kuntalaisen kannalta hyvä seikka, koska silloin muistuttajalla on käytössään muiden viranomaisten kannanotot hakemukseen. Jos lupapäätös joudutaan antamaan määräaika</w:t>
      </w:r>
      <w:r>
        <w:t>i</w:t>
      </w:r>
      <w:r>
        <w:t xml:space="preserve">sena tulevan kaavoituksen takia, on hyödyllistä, jos kaavoittajan lausunto on pyydetty ennen kuuluttamista. Asia olisi selkeämpi naapureille. </w:t>
      </w:r>
    </w:p>
    <w:p w:rsidR="00EE7E04" w:rsidRDefault="009743CD"/>
    <w:p w:rsidR="00EE7E04" w:rsidRDefault="00E7285C">
      <w:pPr>
        <w:ind w:left="2608"/>
      </w:pPr>
      <w:r>
        <w:lastRenderedPageBreak/>
        <w:t>Lausuntojen pyytäminen ennen lupahakemuksen kuuluttamista kuitenkin yleensä lisää luvan käsittelyaikaa viranomaisessa, mikä ei liene ehdotuksen tarkoitus.</w:t>
      </w:r>
    </w:p>
    <w:p w:rsidR="00EE7E04" w:rsidRDefault="009743CD"/>
    <w:p w:rsidR="00EE7E04" w:rsidRDefault="00E7285C">
      <w:pPr>
        <w:ind w:left="2608"/>
      </w:pPr>
      <w:r>
        <w:t>2.3. Parempi lupapäätös</w:t>
      </w:r>
    </w:p>
    <w:p w:rsidR="00EE7E04" w:rsidRDefault="009743CD"/>
    <w:p w:rsidR="00EE7E04" w:rsidRDefault="00E7285C">
      <w:pPr>
        <w:ind w:left="2608"/>
      </w:pPr>
      <w:r>
        <w:t>Muistiossa on esitetty lupa-asian tiedottamista internetsivuilla mahdollisimman varhaisessa vaiheessa ennen hakemuksen kuuluttamista. Siitä saavutettavaa hyötyä on vaikea arvioida. Ns. helpoissa lupatapauksissa kyseinen menettely on hyvä.</w:t>
      </w:r>
    </w:p>
    <w:p w:rsidR="00EE7E04" w:rsidRDefault="009743CD"/>
    <w:p w:rsidR="00EE7E04" w:rsidRDefault="00E7285C">
      <w:pPr>
        <w:ind w:left="2608"/>
      </w:pPr>
      <w:r>
        <w:t>Lupaviranomaisen nähtäville asetettava päätösluonnos voidaan korvata h</w:t>
      </w:r>
      <w:r>
        <w:t>y</w:t>
      </w:r>
      <w:r>
        <w:t>vinkin edellytyksellä käydä toiminnanharjoittajan/luvan hakijan kanssa neuvo</w:t>
      </w:r>
      <w:r>
        <w:t>t</w:t>
      </w:r>
      <w:r>
        <w:t>telut ennen lupapäätöksen ratkaisemista. Nähtäville asetusta koskevan m</w:t>
      </w:r>
      <w:r>
        <w:t>e</w:t>
      </w:r>
      <w:r>
        <w:t>nettely saattaa hankaloittaa keskeneräisten ongelmallisten lupahakemusten käsittelyä.</w:t>
      </w:r>
    </w:p>
    <w:p w:rsidR="00EE7E04" w:rsidRDefault="009743CD"/>
    <w:p w:rsidR="00EE7E04" w:rsidRDefault="00E7285C">
      <w:pPr>
        <w:ind w:left="2608"/>
      </w:pPr>
      <w:r>
        <w:t>Hakijan kuuleminen sellaisissa tapauksissa, joissa asiaa ratkaistaessa poik</w:t>
      </w:r>
      <w:r>
        <w:t>e</w:t>
      </w:r>
      <w:r>
        <w:t>taan merkittävästi lupahakemuksesta, on käytössä jo nytkin. Lupapäätöksen sisältö lähetetään hakijalle kuultavaksi etukäteen ja keskustellaan asiasta. Tämä on hyvä täydennys kuulemissääntöihin, vaikka ko. käytäntöä jo usein noudatetaankin.</w:t>
      </w:r>
    </w:p>
    <w:p w:rsidR="00EE7E04" w:rsidRDefault="009743CD"/>
    <w:p w:rsidR="00EE7E04" w:rsidRDefault="00E7285C">
      <w:pPr>
        <w:ind w:left="2608"/>
      </w:pPr>
      <w:r>
        <w:t>2.4 Ympäristölupien käsittelyaika</w:t>
      </w:r>
    </w:p>
    <w:p w:rsidR="00EE7E04" w:rsidRDefault="009743CD"/>
    <w:p w:rsidR="00EE7E04" w:rsidRDefault="00E7285C">
      <w:pPr>
        <w:ind w:left="2608"/>
      </w:pPr>
      <w:r>
        <w:t>Kuntien ympäristönsuojeluviranomaisten päätösten kohdalla käsittelyaika ei yleensä ole kovin pitkä, lyhimmillään alle 3 kk. Turussa käsittelyaikaa on vielä lyhentänyt lupapäätösten toimivallan siirto lautakunnalta ympäristönsuojel</w:t>
      </w:r>
      <w:r>
        <w:t>u</w:t>
      </w:r>
      <w:r>
        <w:t>johtajalle viranhaltijapäätöksenä tehtäväksi.</w:t>
      </w:r>
    </w:p>
    <w:p w:rsidR="00EE7E04" w:rsidRDefault="009743CD"/>
    <w:p w:rsidR="00EE7E04" w:rsidRDefault="00E7285C">
      <w:pPr>
        <w:ind w:left="2608"/>
      </w:pPr>
      <w:r>
        <w:t>2.5 Julkipanomenettely ja kuuluttaminen kunnan ilmoitustaululla</w:t>
      </w:r>
    </w:p>
    <w:p w:rsidR="00EE7E04" w:rsidRDefault="009743CD"/>
    <w:p w:rsidR="00EE7E04" w:rsidRDefault="00E7285C">
      <w:pPr>
        <w:ind w:left="2608"/>
      </w:pPr>
      <w:r>
        <w:t>Tavoitteena olevan kunnallisen sähköisen tiedotuskanavan hyödyntäminen ilmoitustaulumenettelyn sijaan on erittäin tavoiteltavaa, koska ilmoitustaulujen kautta tapahtuva kuuluttaminen ei tavoita käytännössä ketään.</w:t>
      </w:r>
    </w:p>
    <w:p w:rsidR="00EE7E04" w:rsidRDefault="009743CD"/>
    <w:p w:rsidR="00EE7E04" w:rsidRDefault="00E7285C">
      <w:pPr>
        <w:ind w:left="2608"/>
      </w:pPr>
      <w:r>
        <w:t>2.6 Muutoksenhaku</w:t>
      </w:r>
    </w:p>
    <w:p w:rsidR="00EE7E04" w:rsidRDefault="009743CD"/>
    <w:p w:rsidR="00EE7E04" w:rsidRDefault="00E7285C">
      <w:pPr>
        <w:ind w:left="2608"/>
      </w:pPr>
      <w:r>
        <w:t>Esitetty muutoksenhakujärjestelmän muuttaminen niin, että Korkeimpaan ha</w:t>
      </w:r>
      <w:r>
        <w:t>l</w:t>
      </w:r>
      <w:r>
        <w:t>linto-oikeuteen tehtävä muutoksenhaku edellyttää valituslupaa, on oikea</w:t>
      </w:r>
      <w:r>
        <w:t>n</w:t>
      </w:r>
      <w:r>
        <w:t>suuntainen menettely, joka sujuvoittaa erityisesti selkeitä, ongelmattomia l</w:t>
      </w:r>
      <w:r>
        <w:t>u</w:t>
      </w:r>
      <w:r>
        <w:t>pahakemuksia.</w:t>
      </w:r>
    </w:p>
    <w:p w:rsidR="00EE7E04" w:rsidRDefault="009743CD"/>
    <w:p w:rsidR="00EE7E04" w:rsidRDefault="00E7285C">
      <w:pPr>
        <w:ind w:left="2608"/>
      </w:pPr>
      <w:r>
        <w:t>2.7 Asianosaisuus</w:t>
      </w:r>
    </w:p>
    <w:p w:rsidR="00EE7E04" w:rsidRDefault="009743CD"/>
    <w:p w:rsidR="00EE7E04" w:rsidRDefault="00E7285C">
      <w:pPr>
        <w:ind w:left="2608"/>
      </w:pPr>
      <w:r>
        <w:t xml:space="preserve">Asianosaisuuden tarkempi määrittely lainsäädännössä on kannatettavaa, koska asiaan todella kaivataan selkeyttä.  Lupahakemuksen kuuluttamisessa </w:t>
      </w:r>
      <w:r>
        <w:lastRenderedPageBreak/>
        <w:t>on joskus epäselvää, miten laajalle alueelle pitää lähettää kuulemistiedona</w:t>
      </w:r>
      <w:r>
        <w:t>n</w:t>
      </w:r>
      <w:r>
        <w:t>toja kirjeitse, vaikka hakemuksesta olisi laadittu lehtikuulutus. Asianosaisuutta koskevat ratkaisut kuitenkin tehdään vasta valitusviranomaisessa.</w:t>
      </w:r>
    </w:p>
    <w:p w:rsidR="00EE7E04" w:rsidRDefault="009743CD"/>
    <w:p w:rsidR="00EE7E04" w:rsidRDefault="00E7285C">
      <w:pPr>
        <w:ind w:left="2608"/>
      </w:pPr>
      <w:r>
        <w:t>2.8 Ympäristönsuojelulain ja vesilain menettelyiden lähentäminen</w:t>
      </w:r>
    </w:p>
    <w:p w:rsidR="00EE7E04" w:rsidRDefault="009743CD"/>
    <w:p w:rsidR="00EE7E04" w:rsidRDefault="00E7285C">
      <w:pPr>
        <w:ind w:left="2608"/>
      </w:pPr>
      <w:r>
        <w:t xml:space="preserve">Lakien menettelysäännösten ja käsitteiden yhdenmukaistaminen on erittäin kannatettava ja tarpeellinen muutoshanke. </w:t>
      </w:r>
    </w:p>
    <w:p w:rsidR="00EE7E04" w:rsidRDefault="009743CD"/>
    <w:p w:rsidR="00EE7E04" w:rsidRDefault="00E7285C">
      <w:pPr>
        <w:ind w:left="2608"/>
      </w:pPr>
      <w:r>
        <w:t>3. Viranomaisorganisaatio</w:t>
      </w:r>
    </w:p>
    <w:p w:rsidR="00EE7E04" w:rsidRDefault="009743CD"/>
    <w:p w:rsidR="00EE7E04" w:rsidRDefault="00E7285C">
      <w:pPr>
        <w:ind w:left="2608"/>
      </w:pPr>
      <w:r>
        <w:t>Lupakäsittelyn ja valvonnan sijoittaminen samaan valtion viranomaiseen on erinomainen asia. Nyt muutaman vuoden jatkunut nykymenettely on myös kunnan ympäristönsuojeluviranomaisen näkökulmasta hankala ja aiheuttaa l</w:t>
      </w:r>
      <w:r>
        <w:t>i</w:t>
      </w:r>
      <w:r>
        <w:t>sätyötä sekä kuntalaisten kannalta sekava.</w:t>
      </w:r>
    </w:p>
    <w:p w:rsidR="00EE7E04" w:rsidRDefault="009743CD"/>
    <w:p w:rsidR="00EE7E04" w:rsidRDefault="00E7285C">
      <w:pPr>
        <w:ind w:left="2608"/>
      </w:pPr>
      <w:r>
        <w:t>Valtion ja kuntien väliset rajapinnat sähköisissä järjestelmissä ovat hankalia, koska kunnissa on varsin kirjavat tietojärjestelmät käytössä. Tämä merkitsee sitä, että siirtymiseen tarvitaan aikaa ja käyttöliittymän selkeyteen ja yksinke</w:t>
      </w:r>
      <w:r>
        <w:t>r</w:t>
      </w:r>
      <w:r>
        <w:t>taisuuteen pitää erityisesti panostaa.</w:t>
      </w:r>
    </w:p>
    <w:p w:rsidR="00EE7E04" w:rsidRDefault="009743CD"/>
    <w:p w:rsidR="00EE7E04" w:rsidRDefault="00E7285C">
      <w:pPr>
        <w:ind w:left="2608"/>
      </w:pPr>
      <w:r>
        <w:rPr>
          <w:b/>
          <w:u w:val="single"/>
        </w:rPr>
        <w:t>Eläinsuojien ympäristölupamenettelyn kehittäminen</w:t>
      </w:r>
    </w:p>
    <w:p w:rsidR="00EE7E04" w:rsidRDefault="009743CD"/>
    <w:p w:rsidR="00EE7E04" w:rsidRDefault="00E7285C">
      <w:pPr>
        <w:ind w:left="2608"/>
      </w:pPr>
      <w:r>
        <w:t>Turun kaupungin ympäristönsuojeluviranomaisella ei ole lausuttavaa ko. pr</w:t>
      </w:r>
      <w:r>
        <w:t>o</w:t>
      </w:r>
      <w:r>
        <w:t>jektin esityksistä. Kaupungin alueella ei juuri ole luvanvaraisia eläinsuojia, e</w:t>
      </w:r>
      <w:r>
        <w:t>i</w:t>
      </w:r>
      <w:r>
        <w:t xml:space="preserve">kä siten tarvetta tai mahdollisuutta kommentoida esityksiä. </w:t>
      </w:r>
    </w:p>
    <w:p w:rsidR="00EE7E04" w:rsidRDefault="009743CD"/>
    <w:p w:rsidR="00EE7E04" w:rsidRDefault="00E7285C">
      <w:pPr>
        <w:ind w:left="2608"/>
      </w:pPr>
      <w:r>
        <w:rPr>
          <w:b/>
          <w:u w:val="single"/>
        </w:rPr>
        <w:t>Ympäristöluvanvaraisuuden keventäminen</w:t>
      </w:r>
    </w:p>
    <w:p w:rsidR="00EE7E04" w:rsidRDefault="009743CD"/>
    <w:p w:rsidR="00EE7E04" w:rsidRDefault="00E7285C">
      <w:pPr>
        <w:ind w:left="2608"/>
      </w:pPr>
      <w:r>
        <w:t>6.1 Luvanvaraisuuden säilyttäminen</w:t>
      </w:r>
    </w:p>
    <w:p w:rsidR="00EE7E04" w:rsidRDefault="009743CD"/>
    <w:p w:rsidR="00EE7E04" w:rsidRDefault="00E7285C">
      <w:pPr>
        <w:ind w:left="2608"/>
      </w:pPr>
      <w:r>
        <w:t>Ei lausuttavaa.</w:t>
      </w:r>
    </w:p>
    <w:p w:rsidR="00EE7E04" w:rsidRDefault="009743CD"/>
    <w:p w:rsidR="00EE7E04" w:rsidRDefault="00E7285C">
      <w:pPr>
        <w:ind w:left="2608"/>
      </w:pPr>
      <w:r>
        <w:t>6.2 Luvanvaraisuudesta poistaminen</w:t>
      </w:r>
    </w:p>
    <w:p w:rsidR="00EE7E04" w:rsidRDefault="009743CD"/>
    <w:p w:rsidR="00EE7E04" w:rsidRDefault="00E7285C">
      <w:pPr>
        <w:ind w:left="2608"/>
      </w:pPr>
      <w:r>
        <w:t>Kevytbetonitehtaan (8h) ja yli 50 linja-auton varikon (12c) poistaminen kok</w:t>
      </w:r>
      <w:r>
        <w:t>o</w:t>
      </w:r>
      <w:r>
        <w:t>naan luvanvaraisuudesta ei ole kannatettavaa. Vaihtelut ko. toimintojen laito</w:t>
      </w:r>
      <w:r>
        <w:t>s</w:t>
      </w:r>
      <w:r>
        <w:t>ten välillä saattaa olla merkittävää ja niiden ympäristövaikutuksia säätelee er</w:t>
      </w:r>
      <w:r>
        <w:t>i</w:t>
      </w:r>
      <w:r>
        <w:t>tyisesti niiden sijainti. Eläintarhan ja huvipuiston (14c) poistaminen luvanv</w:t>
      </w:r>
      <w:r>
        <w:t>a</w:t>
      </w:r>
      <w:r>
        <w:t>raisuudesta on oikeansuuntainen ratkaisu. Näiden osalta sijoittuminen ja to</w:t>
      </w:r>
      <w:r>
        <w:t>i</w:t>
      </w:r>
      <w:r>
        <w:t>mintojen vaikutukset voidaan hoitaa selkeimmin kaavaratkaisuin kuin lupak</w:t>
      </w:r>
      <w:r>
        <w:t>ä</w:t>
      </w:r>
      <w:r>
        <w:t>sittelyssä.</w:t>
      </w:r>
    </w:p>
    <w:p w:rsidR="00EE7E04" w:rsidRDefault="009743CD"/>
    <w:p w:rsidR="00EE7E04" w:rsidRDefault="00E7285C">
      <w:pPr>
        <w:ind w:left="2608"/>
      </w:pPr>
      <w:r>
        <w:t>Pelastustoiminnan helikopterilentopaikan poistaminen luvanvaraisuudesta on järkevää. Ympäristöluvalla ei ole mahdollista juuri mitenkään vaikuttaa toimi</w:t>
      </w:r>
      <w:r>
        <w:t>n</w:t>
      </w:r>
      <w:r>
        <w:t>taan. Lentopaikka on yleensä jo kaavassa, koska se liittyy aina tietyn taso</w:t>
      </w:r>
      <w:r>
        <w:t>i</w:t>
      </w:r>
      <w:r>
        <w:t>seen sairaalaan eikä ympäristönsuojeluviranomainen voi paljon helikopterile</w:t>
      </w:r>
      <w:r>
        <w:t>n</w:t>
      </w:r>
      <w:r>
        <w:lastRenderedPageBreak/>
        <w:t>toihin vaikuttaa. Myös lentokentän läheisyyteen sijoitettavat pelastustoiminnan helikopterilentokentät voidaan poistaa luvanvaraisuuden piiristä samalla tava</w:t>
      </w:r>
      <w:r>
        <w:t>l</w:t>
      </w:r>
      <w:r>
        <w:t>la.</w:t>
      </w:r>
    </w:p>
    <w:p w:rsidR="00EE7E04" w:rsidRDefault="009743CD"/>
    <w:p w:rsidR="00EE7E04" w:rsidRDefault="00E7285C">
      <w:pPr>
        <w:ind w:left="2608"/>
      </w:pPr>
      <w:r>
        <w:t>Kohdan 5e mukainen yli 100 m</w:t>
      </w:r>
      <w:r>
        <w:rPr>
          <w:vertAlign w:val="superscript"/>
        </w:rPr>
        <w:t>3</w:t>
      </w:r>
      <w:r>
        <w:t xml:space="preserve"> polttonestesäiliön poistaminen luvituksesta on hyvä ratkaisu. On ollut ongelmana mm. puutarhoilla ja myös vanhemmissa lämpökeskuksissa, jossa voi olla tällainen vanha säiliö käytössä, mutta vara</w:t>
      </w:r>
      <w:r>
        <w:t>s</w:t>
      </w:r>
      <w:r>
        <w:t>toidaan raskasta öljyä vain murto-osan verran säiliön koosta. Usein nämä la</w:t>
      </w:r>
      <w:r>
        <w:t>i</w:t>
      </w:r>
      <w:r>
        <w:t>tokset eivät ole luvitettavia ollenkaan tai edes rekisteröitäviä.</w:t>
      </w:r>
    </w:p>
    <w:p w:rsidR="00EE7E04" w:rsidRDefault="009743CD"/>
    <w:p w:rsidR="00EE7E04" w:rsidRDefault="00E7285C">
      <w:pPr>
        <w:ind w:left="2608"/>
      </w:pPr>
      <w:r>
        <w:t>6.4 Siirtäminen toiseen menettelyyn</w:t>
      </w:r>
    </w:p>
    <w:p w:rsidR="00EE7E04" w:rsidRDefault="009743CD"/>
    <w:p w:rsidR="00EE7E04" w:rsidRDefault="00E7285C">
      <w:pPr>
        <w:ind w:left="2608"/>
      </w:pPr>
      <w:r>
        <w:t>Kohdan 8g mukaiset betoniasemien ja betonituotetehtaiden osalta niiden sijo</w:t>
      </w:r>
      <w:r>
        <w:t>i</w:t>
      </w:r>
      <w:r>
        <w:t>tuspaikat ovat tärkeitä ympäristövaikutusten kannalta. Erityisesti melukys</w:t>
      </w:r>
      <w:r>
        <w:t>y</w:t>
      </w:r>
      <w:r>
        <w:t>mykset ja toiminnan aiheuttamat jätevesipäästöt vesistöihin, viemäriin tai h</w:t>
      </w:r>
      <w:r>
        <w:t>u</w:t>
      </w:r>
      <w:r>
        <w:t>levesiin voivat olla merkittäviä.  Näitä koskevia lupamääräyksiä on ko. laito</w:t>
      </w:r>
      <w:r>
        <w:t>s</w:t>
      </w:r>
      <w:r>
        <w:t>ten ympäristöluvissa annettu runsaasti. Toiminnan rekisteröinti saattaa olla riittävä päästöjen rajoittamiseen, mutta edellyttää sellaista asetusta toiminnan ympäristönsuojeluvaatimuksista, jossa toiminnan sijoittumista ja päästöjä määritellään tarkasti.</w:t>
      </w:r>
    </w:p>
    <w:p w:rsidR="00EE7E04" w:rsidRDefault="009743CD"/>
    <w:p w:rsidR="00EE7E04" w:rsidRDefault="00E7285C">
      <w:pPr>
        <w:ind w:left="2608"/>
      </w:pPr>
      <w:r>
        <w:t>6.5 Muu lupamenettelyn keventäminen</w:t>
      </w:r>
    </w:p>
    <w:p w:rsidR="00EE7E04" w:rsidRDefault="009743CD"/>
    <w:p w:rsidR="00EE7E04" w:rsidRDefault="00E7285C">
      <w:pPr>
        <w:ind w:left="2608"/>
      </w:pPr>
      <w:r>
        <w:t>Kemikaalivarastojen osalta laitoksen luvituksen jättäminen Tukesille on hyvä ajatus, koska kaksi päällekkäistä lupaa tuntuu turhalta. Tukes valvoo joka t</w:t>
      </w:r>
      <w:r>
        <w:t>a</w:t>
      </w:r>
      <w:r>
        <w:t>pauksessa toiminnan riskien kannalta tärkeimpiä asioita.</w:t>
      </w:r>
    </w:p>
    <w:p w:rsidR="00EE7E04" w:rsidRDefault="009743CD"/>
    <w:p w:rsidR="00EE7E04" w:rsidRDefault="00E7285C">
      <w:pPr>
        <w:ind w:left="2608"/>
      </w:pPr>
      <w:r>
        <w:t>6.6 Ilmoitusmenettelyjen laajentaminen</w:t>
      </w:r>
    </w:p>
    <w:p w:rsidR="00EE7E04" w:rsidRDefault="009743CD"/>
    <w:p w:rsidR="00EE7E04" w:rsidRDefault="00E7285C">
      <w:pPr>
        <w:ind w:left="2608"/>
      </w:pPr>
      <w:r>
        <w:t>Laajan ilmoitusmenettelyn lisääminen lupa- ja rekisteröintimenettelyihin jäi merkitykseltään ja tarpeeltaan epäselväksi. Edellyttää ympäristönsuojelulakiin tai -asetukseen listausta siitä, mitkä toiminnot tämän piiriin kuuluisivat. Va</w:t>
      </w:r>
      <w:r>
        <w:t>s</w:t>
      </w:r>
      <w:r>
        <w:t>taavanlainen menettelytapa kuin pilaantunutta maaperää koskevissa ilmoitu</w:t>
      </w:r>
      <w:r>
        <w:t>k</w:t>
      </w:r>
      <w:r>
        <w:t>sissa sopisi kuitenkin joillekin toiminnoille.</w:t>
      </w:r>
    </w:p>
    <w:p w:rsidR="00EE7E04" w:rsidRDefault="009743CD"/>
    <w:p w:rsidR="00EE7E04" w:rsidRDefault="00E7285C">
      <w:pPr>
        <w:ind w:left="2608"/>
      </w:pPr>
      <w:r>
        <w:t>6.8 Muut ehdotukset</w:t>
      </w:r>
    </w:p>
    <w:p w:rsidR="00EE7E04" w:rsidRDefault="009743CD"/>
    <w:p w:rsidR="00EE7E04" w:rsidRDefault="00E7285C">
      <w:pPr>
        <w:ind w:left="2608"/>
      </w:pPr>
      <w:r>
        <w:t>Naapuruussuhdelain säädösten kumoaminen ja siirtäminen ympäristönsuoj</w:t>
      </w:r>
      <w:r>
        <w:t>e</w:t>
      </w:r>
      <w:r>
        <w:t>lulakiin on todella kannatettavaa selkeyden ja yksinkertaisuuden kannalta.</w:t>
      </w:r>
    </w:p>
    <w:p w:rsidR="00896378" w:rsidRDefault="00896378"/>
    <w:p w:rsidR="00896378" w:rsidRDefault="00896378"/>
    <w:p w:rsidR="00896378" w:rsidRDefault="00896378"/>
    <w:p w:rsidR="00896378" w:rsidRDefault="00896378"/>
    <w:p w:rsidR="00896378" w:rsidRDefault="00896378"/>
    <w:p w:rsidR="00896378" w:rsidRDefault="00E7285C">
      <w:pPr>
        <w:pStyle w:val="Vaintekstin"/>
      </w:pPr>
      <w:r>
        <w:tab/>
      </w:r>
      <w:r>
        <w:tab/>
        <w:t>Olli-Pekka Mäki</w:t>
      </w:r>
    </w:p>
    <w:p w:rsidR="00896378" w:rsidRDefault="00E7285C" w:rsidP="00E7285C">
      <w:pPr>
        <w:pStyle w:val="Vaintekstin"/>
      </w:pPr>
      <w:r>
        <w:tab/>
      </w:r>
      <w:r>
        <w:tab/>
        <w:t>vt. ympäristönsuojelujohtaja</w:t>
      </w:r>
    </w:p>
    <w:p w:rsidR="00896378" w:rsidRDefault="00896378"/>
    <w:sectPr w:rsidR="00896378">
      <w:headerReference w:type="default" r:id="rId9"/>
      <w:footerReference w:type="default" r:id="rId10"/>
      <w:pgSz w:w="11906" w:h="16838" w:code="9"/>
      <w:pgMar w:top="567" w:right="567" w:bottom="567" w:left="1134"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E4" w:rsidRDefault="000025E4" w:rsidP="00D45142">
      <w:r>
        <w:separator/>
      </w:r>
    </w:p>
  </w:endnote>
  <w:endnote w:type="continuationSeparator" w:id="0">
    <w:p w:rsidR="000025E4" w:rsidRDefault="000025E4"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9B" w:rsidRDefault="009743CD">
    <w:pPr>
      <w:pStyle w:val="Alatunniste"/>
    </w:pPr>
  </w:p>
  <w:p w:rsidR="0028289B" w:rsidRDefault="009743CD">
    <w:pPr>
      <w:pStyle w:val="Alatunniste"/>
    </w:pPr>
  </w:p>
  <w:tbl>
    <w:tblPr>
      <w:tblW w:w="10227" w:type="dxa"/>
      <w:tblLook w:val="04A0" w:firstRow="1" w:lastRow="0" w:firstColumn="1" w:lastColumn="0" w:noHBand="0" w:noVBand="1"/>
    </w:tblPr>
    <w:tblGrid>
      <w:gridCol w:w="2998"/>
      <w:gridCol w:w="2196"/>
      <w:gridCol w:w="1947"/>
      <w:gridCol w:w="892"/>
      <w:gridCol w:w="2194"/>
    </w:tblGrid>
    <w:tr w:rsidR="0028289B" w:rsidRPr="00F02D0B" w:rsidTr="000D1055">
      <w:tc>
        <w:tcPr>
          <w:tcW w:w="2998" w:type="dxa"/>
          <w:tcBorders>
            <w:top w:val="single" w:sz="8" w:space="0" w:color="auto"/>
          </w:tcBorders>
        </w:tcPr>
        <w:p w:rsidR="0028289B" w:rsidRPr="00F02D0B" w:rsidRDefault="009743CD" w:rsidP="0028289B">
          <w:pPr>
            <w:pStyle w:val="Alatunniste"/>
          </w:pPr>
        </w:p>
      </w:tc>
      <w:tc>
        <w:tcPr>
          <w:tcW w:w="2196" w:type="dxa"/>
          <w:tcBorders>
            <w:top w:val="single" w:sz="8" w:space="0" w:color="auto"/>
          </w:tcBorders>
        </w:tcPr>
        <w:p w:rsidR="0028289B" w:rsidRPr="00F02D0B" w:rsidRDefault="009743CD" w:rsidP="0028289B">
          <w:pPr>
            <w:pStyle w:val="Alatunniste"/>
          </w:pPr>
        </w:p>
      </w:tc>
      <w:tc>
        <w:tcPr>
          <w:tcW w:w="1947" w:type="dxa"/>
          <w:tcBorders>
            <w:top w:val="single" w:sz="8" w:space="0" w:color="auto"/>
          </w:tcBorders>
        </w:tcPr>
        <w:p w:rsidR="0028289B" w:rsidRPr="00F02D0B" w:rsidRDefault="009743CD" w:rsidP="0028289B">
          <w:pPr>
            <w:pStyle w:val="Alatunniste"/>
          </w:pPr>
        </w:p>
      </w:tc>
      <w:tc>
        <w:tcPr>
          <w:tcW w:w="892" w:type="dxa"/>
          <w:tcBorders>
            <w:top w:val="single" w:sz="8" w:space="0" w:color="auto"/>
          </w:tcBorders>
        </w:tcPr>
        <w:p w:rsidR="0028289B" w:rsidRPr="00F02D0B" w:rsidRDefault="009743CD" w:rsidP="0028289B">
          <w:pPr>
            <w:pStyle w:val="Alatunniste"/>
          </w:pPr>
        </w:p>
      </w:tc>
      <w:tc>
        <w:tcPr>
          <w:tcW w:w="2194" w:type="dxa"/>
          <w:tcBorders>
            <w:top w:val="single" w:sz="8" w:space="0" w:color="auto"/>
          </w:tcBorders>
        </w:tcPr>
        <w:p w:rsidR="0028289B" w:rsidRPr="00F02D0B" w:rsidRDefault="009743CD" w:rsidP="0028289B">
          <w:pPr>
            <w:pStyle w:val="Alatunniste"/>
          </w:pPr>
        </w:p>
      </w:tc>
    </w:tr>
    <w:tr w:rsidR="0028289B" w:rsidRPr="00F02D0B" w:rsidTr="000D1055">
      <w:tc>
        <w:tcPr>
          <w:tcW w:w="2998" w:type="dxa"/>
        </w:tcPr>
        <w:p w:rsidR="0028289B" w:rsidRPr="00F02D0B" w:rsidRDefault="00E7285C" w:rsidP="0028289B">
          <w:pPr>
            <w:pStyle w:val="Alatunniste"/>
            <w:rPr>
              <w:b/>
            </w:rPr>
          </w:pPr>
          <w:r>
            <w:rPr>
              <w:b/>
            </w:rPr>
            <w:t>Ympäristötoimiala</w:t>
          </w:r>
        </w:p>
      </w:tc>
      <w:tc>
        <w:tcPr>
          <w:tcW w:w="2196" w:type="dxa"/>
        </w:tcPr>
        <w:p w:rsidR="0028289B" w:rsidRPr="00F02D0B" w:rsidRDefault="00E7285C" w:rsidP="0028289B">
          <w:pPr>
            <w:pStyle w:val="Alatunniste"/>
          </w:pPr>
          <w:r>
            <w:t>Käyntiosoite</w:t>
          </w:r>
        </w:p>
      </w:tc>
      <w:tc>
        <w:tcPr>
          <w:tcW w:w="1947" w:type="dxa"/>
        </w:tcPr>
        <w:p w:rsidR="0028289B" w:rsidRDefault="00E7285C" w:rsidP="0028289B">
          <w:pPr>
            <w:pStyle w:val="Alatunniste"/>
          </w:pPr>
          <w:r>
            <w:t>Postiosoite</w:t>
          </w:r>
        </w:p>
      </w:tc>
      <w:tc>
        <w:tcPr>
          <w:tcW w:w="892" w:type="dxa"/>
        </w:tcPr>
        <w:p w:rsidR="0028289B" w:rsidRPr="00F02D0B" w:rsidRDefault="00E7285C" w:rsidP="0028289B">
          <w:pPr>
            <w:pStyle w:val="Alatunniste"/>
          </w:pPr>
          <w:r>
            <w:t>Puh.</w:t>
          </w:r>
        </w:p>
      </w:tc>
      <w:tc>
        <w:tcPr>
          <w:tcW w:w="2194" w:type="dxa"/>
        </w:tcPr>
        <w:p w:rsidR="0028289B" w:rsidRPr="00F02D0B" w:rsidRDefault="00E7285C" w:rsidP="0028289B">
          <w:pPr>
            <w:pStyle w:val="Alatunniste"/>
          </w:pPr>
          <w:r>
            <w:t>+358 2 330 000</w:t>
          </w:r>
        </w:p>
      </w:tc>
    </w:tr>
    <w:tr w:rsidR="0028289B" w:rsidRPr="00F02D0B" w:rsidTr="000D1055">
      <w:tc>
        <w:tcPr>
          <w:tcW w:w="2998" w:type="dxa"/>
          <w:vMerge w:val="restart"/>
        </w:tcPr>
        <w:p w:rsidR="0028289B" w:rsidRPr="00F02D0B" w:rsidRDefault="00E7285C" w:rsidP="0028289B">
          <w:pPr>
            <w:pStyle w:val="Alatunniste"/>
          </w:pPr>
          <w:r>
            <w:t>Ympäristönsuojelu</w:t>
          </w:r>
        </w:p>
      </w:tc>
      <w:tc>
        <w:tcPr>
          <w:tcW w:w="2196" w:type="dxa"/>
        </w:tcPr>
        <w:p w:rsidR="0028289B" w:rsidRPr="00F02D0B" w:rsidRDefault="00E7285C" w:rsidP="0028289B">
          <w:pPr>
            <w:pStyle w:val="Alatunniste"/>
          </w:pPr>
          <w:r>
            <w:t>Puolalankatu 5, 2. krs</w:t>
          </w:r>
        </w:p>
      </w:tc>
      <w:tc>
        <w:tcPr>
          <w:tcW w:w="1947" w:type="dxa"/>
        </w:tcPr>
        <w:p w:rsidR="0028289B" w:rsidRDefault="00E7285C" w:rsidP="0028289B">
          <w:pPr>
            <w:pStyle w:val="Alatunniste"/>
          </w:pPr>
          <w:r>
            <w:t>PL 355</w:t>
          </w:r>
        </w:p>
      </w:tc>
      <w:tc>
        <w:tcPr>
          <w:tcW w:w="892" w:type="dxa"/>
        </w:tcPr>
        <w:p w:rsidR="0028289B" w:rsidRPr="00F02D0B" w:rsidRDefault="00E7285C" w:rsidP="0028289B">
          <w:pPr>
            <w:pStyle w:val="Alatunniste"/>
          </w:pPr>
          <w:r>
            <w:t>Faksi</w:t>
          </w:r>
        </w:p>
      </w:tc>
      <w:tc>
        <w:tcPr>
          <w:tcW w:w="2194" w:type="dxa"/>
        </w:tcPr>
        <w:p w:rsidR="0028289B" w:rsidRPr="00F02D0B" w:rsidRDefault="00E7285C" w:rsidP="0028289B">
          <w:pPr>
            <w:pStyle w:val="Alatunniste"/>
          </w:pPr>
          <w:r>
            <w:t>+358 2 2624 915</w:t>
          </w:r>
        </w:p>
      </w:tc>
    </w:tr>
    <w:tr w:rsidR="0028289B" w:rsidRPr="00F02D0B" w:rsidTr="000D1055">
      <w:tc>
        <w:tcPr>
          <w:tcW w:w="2998" w:type="dxa"/>
          <w:vMerge/>
        </w:tcPr>
        <w:p w:rsidR="0028289B" w:rsidRPr="00F02D0B" w:rsidRDefault="009743CD" w:rsidP="0028289B">
          <w:pPr>
            <w:pStyle w:val="Alatunniste"/>
          </w:pPr>
        </w:p>
      </w:tc>
      <w:tc>
        <w:tcPr>
          <w:tcW w:w="2196" w:type="dxa"/>
        </w:tcPr>
        <w:p w:rsidR="0028289B" w:rsidRPr="00F02D0B" w:rsidRDefault="00E7285C" w:rsidP="0028289B">
          <w:pPr>
            <w:pStyle w:val="Alatunniste"/>
          </w:pPr>
          <w:r>
            <w:t>20100 Turku</w:t>
          </w:r>
        </w:p>
      </w:tc>
      <w:tc>
        <w:tcPr>
          <w:tcW w:w="1947" w:type="dxa"/>
        </w:tcPr>
        <w:p w:rsidR="0028289B" w:rsidRPr="00CE6F04" w:rsidRDefault="00E7285C" w:rsidP="0028289B">
          <w:pPr>
            <w:pStyle w:val="Alatunniste"/>
          </w:pPr>
          <w:r>
            <w:t>20101 Turku</w:t>
          </w:r>
        </w:p>
      </w:tc>
      <w:tc>
        <w:tcPr>
          <w:tcW w:w="3086" w:type="dxa"/>
          <w:gridSpan w:val="2"/>
        </w:tcPr>
        <w:p w:rsidR="0028289B" w:rsidRPr="00F02D0B" w:rsidRDefault="00E7285C" w:rsidP="0028289B">
          <w:pPr>
            <w:pStyle w:val="Alatunniste"/>
            <w:rPr>
              <w:b/>
            </w:rPr>
          </w:pPr>
          <w:r>
            <w:rPr>
              <w:b/>
            </w:rPr>
            <w:t>ymparistonsuojelu@turku.fi</w:t>
          </w:r>
        </w:p>
      </w:tc>
    </w:tr>
    <w:tr w:rsidR="0028289B" w:rsidRPr="00F02D0B" w:rsidTr="000D1055">
      <w:tc>
        <w:tcPr>
          <w:tcW w:w="2998" w:type="dxa"/>
          <w:vMerge/>
        </w:tcPr>
        <w:p w:rsidR="0028289B" w:rsidRPr="00F02D0B" w:rsidRDefault="009743CD" w:rsidP="0028289B">
          <w:pPr>
            <w:pStyle w:val="Alatunniste"/>
          </w:pPr>
        </w:p>
      </w:tc>
      <w:tc>
        <w:tcPr>
          <w:tcW w:w="2196" w:type="dxa"/>
        </w:tcPr>
        <w:p w:rsidR="0028289B" w:rsidRDefault="009743CD" w:rsidP="0028289B">
          <w:pPr>
            <w:pStyle w:val="Alatunniste"/>
          </w:pPr>
        </w:p>
      </w:tc>
      <w:tc>
        <w:tcPr>
          <w:tcW w:w="1947" w:type="dxa"/>
        </w:tcPr>
        <w:p w:rsidR="0028289B" w:rsidRDefault="009743CD" w:rsidP="0028289B">
          <w:pPr>
            <w:pStyle w:val="Alatunniste"/>
          </w:pPr>
        </w:p>
      </w:tc>
      <w:tc>
        <w:tcPr>
          <w:tcW w:w="3086" w:type="dxa"/>
          <w:gridSpan w:val="2"/>
        </w:tcPr>
        <w:p w:rsidR="0028289B" w:rsidRPr="009027DA" w:rsidRDefault="00E7285C" w:rsidP="0028289B">
          <w:pPr>
            <w:pStyle w:val="Alatunniste"/>
            <w:rPr>
              <w:b/>
            </w:rPr>
          </w:pPr>
          <w:r w:rsidRPr="002461A0">
            <w:rPr>
              <w:b/>
            </w:rPr>
            <w:t>www.turku.fi</w:t>
          </w:r>
        </w:p>
      </w:tc>
    </w:tr>
  </w:tbl>
  <w:p w:rsidR="0028289B" w:rsidRDefault="009743CD">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E4" w:rsidRDefault="000025E4" w:rsidP="00D45142">
      <w:r>
        <w:separator/>
      </w:r>
    </w:p>
  </w:footnote>
  <w:footnote w:type="continuationSeparator" w:id="0">
    <w:p w:rsidR="000025E4" w:rsidRDefault="000025E4"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378" w:rsidRDefault="00E7285C">
    <w:pPr>
      <w:pStyle w:val="Yltunniste"/>
      <w:spacing w:before="80" w:after="609"/>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11300" cy="596900"/>
          <wp:effectExtent l="0" t="0" r="0" b="0"/>
          <wp:wrapNone/>
          <wp:docPr id="1" name="/Images/Turku_vaaka_16mm_150ppi_viiva_blac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s/Turku_vaaka_16mm_150ppi_viiva_black.png"/>
                  <pic:cNvPicPr/>
                </pic:nvPicPr>
                <pic:blipFill>
                  <a:blip r:embed="rId1">
                    <a:extLst>
                      <a:ext uri="qwerty">
                        <a14:useLocalDpi xmlns="" xmlns:o="urn:schemas-microsoft-com:office:office" xmlns:v="urn:schemas-microsoft-com:vml" xmlns:w10="urn:schemas-microsoft-com:office:word" xmlns:w="http://schemas.openxmlformats.org/wordprocessingml/2006/main" xmlns:a14="http://schemas.microsoft.com/office/drawing/2010/main" xmlns:w15="http://schemas.microsoft.com/office/word/2012/wordml" val="0"/>
                      </a:ext>
                    </a:extLst>
                  </a:blip>
                  <a:srcRect/>
                  <a:stretch>
                    <a:fillRect/>
                  </a:stretch>
                </pic:blipFill>
                <pic:spPr bwMode="auto">
                  <a:xfrm>
                    <a:off x="0" y="0"/>
                    <a:ext cx="1511300" cy="5969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rPr>
      <w:tab/>
    </w:r>
    <w:r>
      <w:rPr>
        <w:b/>
      </w:rPr>
      <w:tab/>
      <w:t>Lausunto</w:t>
    </w:r>
    <w:r>
      <w:rPr>
        <w:b/>
      </w:rPr>
      <w:tab/>
    </w:r>
    <w:r>
      <w:rPr>
        <w:b/>
      </w:rPr>
      <w:tab/>
    </w:r>
    <w:r>
      <w:fldChar w:fldCharType="begin"/>
    </w:r>
    <w:r>
      <w:instrText>PAGE</w:instrText>
    </w:r>
    <w:r>
      <w:fldChar w:fldCharType="separate"/>
    </w:r>
    <w:r w:rsidR="009743CD">
      <w:rPr>
        <w:noProof/>
      </w:rPr>
      <w:t>2</w:t>
    </w:r>
    <w:r>
      <w:fldChar w:fldCharType="end"/>
    </w:r>
    <w:r>
      <w:t xml:space="preserve"> (</w:t>
    </w:r>
    <w:r>
      <w:fldChar w:fldCharType="begin"/>
    </w:r>
    <w:r>
      <w:instrText>NUMPAGES</w:instrText>
    </w:r>
    <w:r>
      <w:fldChar w:fldCharType="separate"/>
    </w:r>
    <w:r w:rsidR="009743CD">
      <w:rPr>
        <w:noProof/>
      </w:rPr>
      <w:t>4</w:t>
    </w:r>
    <w:r>
      <w:fldChar w:fldCharType="end"/>
    </w:r>
    <w:r>
      <w:t>)</w:t>
    </w:r>
  </w:p>
  <w:p w:rsidR="00896378" w:rsidRDefault="00E7285C">
    <w:pPr>
      <w:pStyle w:val="Yltunniste"/>
    </w:pPr>
    <w:r>
      <w:tab/>
    </w:r>
    <w:r>
      <w:tab/>
    </w:r>
    <w:r>
      <w:tab/>
      <w:t>Dnro 9318-2014</w:t>
    </w:r>
  </w:p>
  <w:p w:rsidR="00896378" w:rsidRDefault="00E7285C">
    <w:pPr>
      <w:pStyle w:val="Yltunniste"/>
      <w:tabs>
        <w:tab w:val="clear" w:pos="3895"/>
      </w:tabs>
    </w:pPr>
    <w:r>
      <w:t>Ympäristötoimiala, ympäristönsuojelu</w:t>
    </w:r>
    <w:r>
      <w:tab/>
      <w:t>7.3.2016</w:t>
    </w:r>
    <w:r>
      <w:tab/>
      <w:t>(020)</w:t>
    </w:r>
  </w:p>
  <w:p w:rsidR="00896378" w:rsidRDefault="00896378"/>
  <w:p w:rsidR="00896378" w:rsidRDefault="008963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8EC10"/>
    <w:lvl w:ilvl="0">
      <w:start w:val="1"/>
      <w:numFmt w:val="decimal"/>
      <w:lvlText w:val="%1."/>
      <w:lvlJc w:val="left"/>
      <w:pPr>
        <w:tabs>
          <w:tab w:val="num" w:pos="1492"/>
        </w:tabs>
        <w:ind w:left="1492" w:hanging="360"/>
      </w:pPr>
    </w:lvl>
  </w:abstractNum>
  <w:abstractNum w:abstractNumId="1">
    <w:nsid w:val="FFFFFF7D"/>
    <w:multiLevelType w:val="singleLevel"/>
    <w:tmpl w:val="DE8C3A54"/>
    <w:lvl w:ilvl="0">
      <w:start w:val="1"/>
      <w:numFmt w:val="decimal"/>
      <w:lvlText w:val="%1."/>
      <w:lvlJc w:val="left"/>
      <w:pPr>
        <w:tabs>
          <w:tab w:val="num" w:pos="1209"/>
        </w:tabs>
        <w:ind w:left="1209" w:hanging="360"/>
      </w:pPr>
    </w:lvl>
  </w:abstractNum>
  <w:abstractNum w:abstractNumId="2">
    <w:nsid w:val="FFFFFF7E"/>
    <w:multiLevelType w:val="singleLevel"/>
    <w:tmpl w:val="A858A89C"/>
    <w:lvl w:ilvl="0">
      <w:start w:val="1"/>
      <w:numFmt w:val="decimal"/>
      <w:lvlText w:val="%1."/>
      <w:lvlJc w:val="left"/>
      <w:pPr>
        <w:tabs>
          <w:tab w:val="num" w:pos="926"/>
        </w:tabs>
        <w:ind w:left="926" w:hanging="360"/>
      </w:pPr>
    </w:lvl>
  </w:abstractNum>
  <w:abstractNum w:abstractNumId="3">
    <w:nsid w:val="FFFFFF7F"/>
    <w:multiLevelType w:val="singleLevel"/>
    <w:tmpl w:val="5EBEFB9E"/>
    <w:lvl w:ilvl="0">
      <w:start w:val="1"/>
      <w:numFmt w:val="decimal"/>
      <w:lvlText w:val="%1."/>
      <w:lvlJc w:val="left"/>
      <w:pPr>
        <w:tabs>
          <w:tab w:val="num" w:pos="643"/>
        </w:tabs>
        <w:ind w:left="643" w:hanging="360"/>
      </w:p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2">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EE"/>
    <w:rsid w:val="000025E4"/>
    <w:rsid w:val="00010C1D"/>
    <w:rsid w:val="00024DD7"/>
    <w:rsid w:val="000634FB"/>
    <w:rsid w:val="000A01C5"/>
    <w:rsid w:val="001E4029"/>
    <w:rsid w:val="001F2B8E"/>
    <w:rsid w:val="00221647"/>
    <w:rsid w:val="002C1CFF"/>
    <w:rsid w:val="002F6053"/>
    <w:rsid w:val="00367DEE"/>
    <w:rsid w:val="00377D27"/>
    <w:rsid w:val="0038480F"/>
    <w:rsid w:val="003B1AEE"/>
    <w:rsid w:val="00402038"/>
    <w:rsid w:val="0045789B"/>
    <w:rsid w:val="004E3C33"/>
    <w:rsid w:val="005A1AB9"/>
    <w:rsid w:val="005E0D42"/>
    <w:rsid w:val="00606488"/>
    <w:rsid w:val="00654E35"/>
    <w:rsid w:val="006E38D5"/>
    <w:rsid w:val="00751238"/>
    <w:rsid w:val="00760019"/>
    <w:rsid w:val="00893CEB"/>
    <w:rsid w:val="00896378"/>
    <w:rsid w:val="00936891"/>
    <w:rsid w:val="009743CD"/>
    <w:rsid w:val="00975673"/>
    <w:rsid w:val="009B0E7A"/>
    <w:rsid w:val="00A34000"/>
    <w:rsid w:val="00B1319E"/>
    <w:rsid w:val="00B6437B"/>
    <w:rsid w:val="00B84AC0"/>
    <w:rsid w:val="00B91E39"/>
    <w:rsid w:val="00BB2DD8"/>
    <w:rsid w:val="00BF602F"/>
    <w:rsid w:val="00C36AED"/>
    <w:rsid w:val="00D10C57"/>
    <w:rsid w:val="00D42981"/>
    <w:rsid w:val="00D45142"/>
    <w:rsid w:val="00D47A9B"/>
    <w:rsid w:val="00D64434"/>
    <w:rsid w:val="00DA680C"/>
    <w:rsid w:val="00DE0CFF"/>
    <w:rsid w:val="00E100B8"/>
    <w:rsid w:val="00E7285C"/>
    <w:rsid w:val="00E73F6A"/>
    <w:rsid w:val="00EB60ED"/>
    <w:rsid w:val="00EB6C3D"/>
    <w:rsid w:val="00ED11CA"/>
    <w:rsid w:val="00F04A0E"/>
    <w:rsid w:val="00F771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F771F8"/>
    <w:pPr>
      <w:keepNext/>
      <w:keepLines/>
      <w:spacing w:before="20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771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771F8"/>
    <w:rPr>
      <w:rFonts w:asciiTheme="majorHAnsi" w:eastAsiaTheme="majorEastAsia" w:hAnsiTheme="majorHAnsi"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F771F8"/>
    <w:rPr>
      <w:rFonts w:asciiTheme="majorHAnsi" w:eastAsiaTheme="majorEastAsia" w:hAnsiTheme="majorHAnsi"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left" w:pos="3895"/>
        <w:tab w:val="left" w:pos="5194"/>
        <w:tab w:val="left" w:pos="7825"/>
        <w:tab w:val="left" w:pos="9129"/>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paragraph" w:customStyle="1" w:styleId="Ingressi">
    <w:name w:val="Ingressi"/>
    <w:basedOn w:val="Normaali"/>
    <w:rsid w:val="00FC0FFB"/>
    <w:pPr>
      <w:ind w:left="1304"/>
    </w:pPr>
    <w:rPr>
      <w:b/>
    </w:rPr>
  </w:style>
  <w:style w:type="paragraph" w:customStyle="1" w:styleId="Osallistuja">
    <w:name w:val="Osallistuja"/>
    <w:basedOn w:val="Normaali"/>
    <w:rsid w:val="0029588E"/>
    <w:pPr>
      <w:tabs>
        <w:tab w:val="left" w:pos="2608"/>
        <w:tab w:val="left" w:pos="5216"/>
        <w:tab w:val="left" w:pos="6521"/>
        <w:tab w:val="left" w:pos="7825"/>
        <w:tab w:val="left" w:pos="9129"/>
      </w:tabs>
    </w:pPr>
  </w:style>
  <w:style w:type="paragraph" w:styleId="Vaintekstin">
    <w:name w:val="Plain Text"/>
    <w:basedOn w:val="Normaali"/>
    <w:rsid w:val="0029588E"/>
    <w:pPr>
      <w:tabs>
        <w:tab w:val="left" w:pos="1304"/>
      </w:tabs>
      <w:ind w:left="2608" w:hanging="2608"/>
    </w:pPr>
  </w:style>
  <w:style w:type="paragraph" w:customStyle="1" w:styleId="Johtolehdenteksti">
    <w:name w:val="Johtolehden teksti"/>
    <w:basedOn w:val="Normaali"/>
    <w:rsid w:val="0029588E"/>
    <w:pPr>
      <w:tabs>
        <w:tab w:val="left" w:pos="2608"/>
        <w:tab w:val="left" w:pos="5216"/>
        <w:tab w:val="left" w:pos="6521"/>
        <w:tab w:val="left" w:pos="7825"/>
        <w:tab w:val="left" w:pos="912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F771F8"/>
    <w:pPr>
      <w:keepNext/>
      <w:keepLines/>
      <w:spacing w:before="20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771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771F8"/>
    <w:rPr>
      <w:rFonts w:asciiTheme="majorHAnsi" w:eastAsiaTheme="majorEastAsia" w:hAnsiTheme="majorHAnsi"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F771F8"/>
    <w:rPr>
      <w:rFonts w:asciiTheme="majorHAnsi" w:eastAsiaTheme="majorEastAsia" w:hAnsiTheme="majorHAnsi"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left" w:pos="3895"/>
        <w:tab w:val="left" w:pos="5194"/>
        <w:tab w:val="left" w:pos="7825"/>
        <w:tab w:val="left" w:pos="9129"/>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paragraph" w:customStyle="1" w:styleId="Ingressi">
    <w:name w:val="Ingressi"/>
    <w:basedOn w:val="Normaali"/>
    <w:rsid w:val="00FC0FFB"/>
    <w:pPr>
      <w:ind w:left="1304"/>
    </w:pPr>
    <w:rPr>
      <w:b/>
    </w:rPr>
  </w:style>
  <w:style w:type="paragraph" w:customStyle="1" w:styleId="Osallistuja">
    <w:name w:val="Osallistuja"/>
    <w:basedOn w:val="Normaali"/>
    <w:rsid w:val="0029588E"/>
    <w:pPr>
      <w:tabs>
        <w:tab w:val="left" w:pos="2608"/>
        <w:tab w:val="left" w:pos="5216"/>
        <w:tab w:val="left" w:pos="6521"/>
        <w:tab w:val="left" w:pos="7825"/>
        <w:tab w:val="left" w:pos="9129"/>
      </w:tabs>
    </w:pPr>
  </w:style>
  <w:style w:type="paragraph" w:styleId="Vaintekstin">
    <w:name w:val="Plain Text"/>
    <w:basedOn w:val="Normaali"/>
    <w:rsid w:val="0029588E"/>
    <w:pPr>
      <w:tabs>
        <w:tab w:val="left" w:pos="1304"/>
      </w:tabs>
      <w:ind w:left="2608" w:hanging="2608"/>
    </w:pPr>
  </w:style>
  <w:style w:type="paragraph" w:customStyle="1" w:styleId="Johtolehdenteksti">
    <w:name w:val="Johtolehden teksti"/>
    <w:basedOn w:val="Normaali"/>
    <w:rsid w:val="0029588E"/>
    <w:pPr>
      <w:tabs>
        <w:tab w:val="left" w:pos="2608"/>
        <w:tab w:val="left" w:pos="5216"/>
        <w:tab w:val="left" w:pos="6521"/>
        <w:tab w:val="left" w:pos="7825"/>
        <w:tab w:val="left" w:pos="912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70154-B810-4163-85A9-8A43B78E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7115</Characters>
  <Application>Microsoft Office Word</Application>
  <DocSecurity>4</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JoutseNet</dc:creator>
  <cp:lastModifiedBy>Hakkarainen Satu</cp:lastModifiedBy>
  <cp:revision>2</cp:revision>
  <cp:lastPrinted>2016-03-07T12:50:00Z</cp:lastPrinted>
  <dcterms:created xsi:type="dcterms:W3CDTF">2016-03-11T14:48:00Z</dcterms:created>
  <dcterms:modified xsi:type="dcterms:W3CDTF">2016-03-11T14:48:00Z</dcterms:modified>
</cp:coreProperties>
</file>