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A" w:rsidRDefault="00F1212A" w:rsidP="003B1C36">
      <w:bookmarkStart w:id="0" w:name="_GoBack"/>
      <w:bookmarkEnd w:id="0"/>
    </w:p>
    <w:p w:rsidR="00E513B7" w:rsidRDefault="007F3AC8" w:rsidP="00E513B7">
      <w:pPr>
        <w:pStyle w:val="Leipteksti"/>
      </w:pPr>
      <w:r>
        <w:t>Ympäristöministeriö</w:t>
      </w:r>
    </w:p>
    <w:p w:rsidR="007F3AC8" w:rsidRDefault="007F3AC8" w:rsidP="00E513B7">
      <w:pPr>
        <w:pStyle w:val="Leipteksti"/>
      </w:pPr>
      <w:r>
        <w:t>kirjaamo.ym@ymparisto.fi</w:t>
      </w: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  <w:r>
        <w:t xml:space="preserve">Viite: </w:t>
      </w:r>
      <w:r w:rsidR="007F3AC8">
        <w:t>YM16/400/2012</w:t>
      </w:r>
    </w:p>
    <w:p w:rsidR="00E513B7" w:rsidRDefault="00E513B7" w:rsidP="00E513B7">
      <w:pPr>
        <w:pStyle w:val="Leipteksti"/>
      </w:pPr>
    </w:p>
    <w:p w:rsidR="00E513B7" w:rsidRDefault="002C2205" w:rsidP="00E513B7">
      <w:pPr>
        <w:pStyle w:val="Otsikko1"/>
      </w:pPr>
      <w:r>
        <w:t>Lausunto</w:t>
      </w:r>
      <w:r w:rsidR="007F3AC8">
        <w:t xml:space="preserve"> ympäristönsuojelulain uudistamishankkeen ko</w:t>
      </w:r>
      <w:r w:rsidR="007F3AC8">
        <w:t>l</w:t>
      </w:r>
      <w:r w:rsidR="007F3AC8">
        <w:t>mannen vaiheen ehdotuksista</w:t>
      </w:r>
    </w:p>
    <w:p w:rsidR="00E513B7" w:rsidRDefault="00E513B7" w:rsidP="00E513B7">
      <w:pPr>
        <w:pStyle w:val="Leipteksti"/>
      </w:pPr>
    </w:p>
    <w:p w:rsidR="00E513B7" w:rsidRDefault="007F3AC8" w:rsidP="007F3AC8">
      <w:pPr>
        <w:pStyle w:val="Leipteksti"/>
        <w:ind w:left="1304"/>
      </w:pPr>
      <w:r>
        <w:t>Energiateollisuus ry (ET) kiittää mahdollisuudesta antaa asiasta lausunto ja esi</w:t>
      </w:r>
      <w:r>
        <w:t>t</w:t>
      </w:r>
      <w:r>
        <w:t>tää lausuntonaan projekti 1</w:t>
      </w:r>
      <w:r w:rsidR="000C44D8">
        <w:t xml:space="preserve">:een </w:t>
      </w:r>
      <w:r>
        <w:t>liittyviä näkökulmia</w:t>
      </w:r>
      <w:r w:rsidR="009E1A44">
        <w:t>.</w:t>
      </w:r>
    </w:p>
    <w:p w:rsidR="009E1A44" w:rsidRDefault="009E1A44" w:rsidP="007F3AC8">
      <w:pPr>
        <w:pStyle w:val="Leipteksti"/>
        <w:ind w:left="1304"/>
      </w:pPr>
    </w:p>
    <w:p w:rsidR="001D22A5" w:rsidRDefault="009E1A44" w:rsidP="001D22A5">
      <w:pPr>
        <w:pStyle w:val="Leipteksti"/>
        <w:ind w:left="1304"/>
      </w:pPr>
      <w:r>
        <w:t>Kokonaisuudessaan muistio käsittelee ympäristöluvituksen kannalta keskeisiä s</w:t>
      </w:r>
      <w:r>
        <w:t>u</w:t>
      </w:r>
      <w:r>
        <w:t xml:space="preserve">juvoittamis- ja laatuasioita. </w:t>
      </w:r>
      <w:r w:rsidR="009F32E9">
        <w:t xml:space="preserve">Muistion toimintatapa- ja säännösmuutosehdotukset sekä selvityshankkeet ovat pääsääntöisesti </w:t>
      </w:r>
      <w:r w:rsidR="001D22A5">
        <w:t xml:space="preserve">erittäin </w:t>
      </w:r>
      <w:r w:rsidR="009F32E9">
        <w:t>kannatettavia.</w:t>
      </w:r>
      <w:r w:rsidR="001D22A5">
        <w:t xml:space="preserve"> Erityisesti ma</w:t>
      </w:r>
      <w:r w:rsidR="001D22A5">
        <w:t>i</w:t>
      </w:r>
      <w:r w:rsidR="001D22A5">
        <w:t>nittakoon, että m</w:t>
      </w:r>
      <w:r w:rsidR="001D22A5" w:rsidRPr="005F2E8C">
        <w:t>uistion mukaisesti ET pitää täysin sähköi</w:t>
      </w:r>
      <w:r w:rsidR="001641D2">
        <w:t>s</w:t>
      </w:r>
      <w:r w:rsidR="001D22A5" w:rsidRPr="005F2E8C">
        <w:t>en asiointijärjestelmän luomista oleellisena osana luvituksen sujuvoittamista.</w:t>
      </w:r>
      <w:r w:rsidR="001D22A5">
        <w:t xml:space="preserve"> Muistiossa on kuvattu hyvin ja kattavasti tavoitteita sähköiselle järjestelmälle. </w:t>
      </w:r>
    </w:p>
    <w:p w:rsidR="009E1A44" w:rsidRDefault="009E1A44" w:rsidP="007F3AC8">
      <w:pPr>
        <w:pStyle w:val="Leipteksti"/>
        <w:ind w:left="1304"/>
      </w:pPr>
    </w:p>
    <w:p w:rsidR="009F32E9" w:rsidRDefault="009F32E9" w:rsidP="00532F29">
      <w:pPr>
        <w:pStyle w:val="Leipteksti"/>
        <w:spacing w:after="120"/>
        <w:ind w:left="1304"/>
        <w:rPr>
          <w:b/>
        </w:rPr>
      </w:pPr>
      <w:r w:rsidRPr="009F32E9">
        <w:rPr>
          <w:b/>
        </w:rPr>
        <w:t>Luvan käsittelyaika</w:t>
      </w:r>
    </w:p>
    <w:p w:rsidR="00532F29" w:rsidRDefault="009F32E9" w:rsidP="00145382">
      <w:pPr>
        <w:pStyle w:val="Leipteksti"/>
        <w:spacing w:after="120"/>
        <w:ind w:left="1304"/>
      </w:pPr>
      <w:r>
        <w:t>Käsittelyajan kohtuullisuuden ja ennakoitavuuden tärkeys on tunnistettu muist</w:t>
      </w:r>
      <w:r>
        <w:t>i</w:t>
      </w:r>
      <w:r>
        <w:t xml:space="preserve">ossa. </w:t>
      </w:r>
      <w:r w:rsidR="00136AEE">
        <w:t>Käsittelyaikojen lyhentämiseksi esitetyt toimenpiteet käsittävät menettely</w:t>
      </w:r>
      <w:r w:rsidR="00136AEE">
        <w:t>i</w:t>
      </w:r>
      <w:r w:rsidR="00136AEE">
        <w:t>den seikkaperäisemmän seuraamisen ja analysoinnin sekä asiakaslähtöisen kehi</w:t>
      </w:r>
      <w:r w:rsidR="00136AEE">
        <w:t>t</w:t>
      </w:r>
      <w:r w:rsidR="00136AEE">
        <w:t>tämisen huomioiden hallitusohjelman mukaisen lupa- ja valitusprosessien palvel</w:t>
      </w:r>
      <w:r w:rsidR="00136AEE">
        <w:t>u</w:t>
      </w:r>
      <w:r w:rsidR="00136AEE">
        <w:t>lupauksen toteuttamistoimet.</w:t>
      </w:r>
      <w:r w:rsidR="00532F29">
        <w:t xml:space="preserve"> </w:t>
      </w:r>
    </w:p>
    <w:p w:rsidR="00D3283C" w:rsidRDefault="00136AEE" w:rsidP="00145382">
      <w:pPr>
        <w:pStyle w:val="Leipteksti"/>
        <w:spacing w:after="120"/>
        <w:ind w:left="1304"/>
      </w:pPr>
      <w:r w:rsidRPr="00ED3B20">
        <w:rPr>
          <w:b/>
          <w:i/>
        </w:rPr>
        <w:t>ET:n näkemyksen mukaan</w:t>
      </w:r>
      <w:r w:rsidR="00532F29" w:rsidRPr="00ED3B20">
        <w:rPr>
          <w:b/>
          <w:i/>
        </w:rPr>
        <w:t xml:space="preserve"> esitetyt toimet eivät ole riittäviä</w:t>
      </w:r>
      <w:r w:rsidR="00532F29">
        <w:t xml:space="preserve"> siihen nähden, että käsittelyn joutuisuus ja tieto päätöksenantoajankohdasta ovat ensiarvoisen tärkeitä investointihankkeiden suunnittelun ja toteutuksen kannalta. Käsittelyn joutuisuus on myös yleisesti yksi hyvän lupamenettelyn kriteeri. </w:t>
      </w:r>
      <w:r w:rsidR="00D3283C">
        <w:t>Luvituksen tavo</w:t>
      </w:r>
      <w:r w:rsidR="00D3283C">
        <w:t>i</w:t>
      </w:r>
      <w:r w:rsidR="00D3283C">
        <w:t>teajoista huolimatta toiminnanharjoittajalla ei ole tällä hetkellä mitään mahdoll</w:t>
      </w:r>
      <w:r w:rsidR="00D3283C">
        <w:t>i</w:t>
      </w:r>
      <w:r w:rsidR="00D3283C">
        <w:t xml:space="preserve">suuksia päätöksen antoajankohdan ennakointiin. </w:t>
      </w:r>
      <w:r w:rsidR="00ED3B20">
        <w:t xml:space="preserve">Nykyisellään </w:t>
      </w:r>
      <w:r w:rsidR="00D3283C">
        <w:t>hakemukset on la</w:t>
      </w:r>
      <w:r w:rsidR="00D3283C">
        <w:t>i</w:t>
      </w:r>
      <w:r w:rsidR="00D3283C">
        <w:t>tettava vireille</w:t>
      </w:r>
      <w:r w:rsidR="00ED3B20" w:rsidRPr="00F51F20">
        <w:t xml:space="preserve"> todella aikaisessa vaiheessa</w:t>
      </w:r>
      <w:r w:rsidR="00ED3B20">
        <w:t xml:space="preserve"> hankkeen kokonaisaikataulun turva</w:t>
      </w:r>
      <w:r w:rsidR="00ED3B20">
        <w:t>a</w:t>
      </w:r>
      <w:r w:rsidR="00ED3B20">
        <w:t>miseksi, mikä osaltaan lisää tarvetta hakemuksen täydennyksiin. Käsittelyn</w:t>
      </w:r>
      <w:r w:rsidR="00ED3B20" w:rsidRPr="00F51F20">
        <w:t xml:space="preserve"> kesto voi vanhentaa lupahakemuksen selvitykset ja tämä voi osa</w:t>
      </w:r>
      <w:r w:rsidR="00ED3B20">
        <w:t>ltaan lisätä selvity</w:t>
      </w:r>
      <w:r w:rsidR="00ED3B20">
        <w:t>s</w:t>
      </w:r>
      <w:r w:rsidR="00ED3B20">
        <w:t>kierrettä.</w:t>
      </w:r>
    </w:p>
    <w:p w:rsidR="00145382" w:rsidRDefault="00D3283C" w:rsidP="00145382">
      <w:pPr>
        <w:pStyle w:val="Leipteksti"/>
        <w:spacing w:after="120"/>
        <w:ind w:left="1304"/>
      </w:pPr>
      <w:r w:rsidRPr="00D3283C">
        <w:rPr>
          <w:b/>
          <w:i/>
        </w:rPr>
        <w:t>ET esittää, että lupakäsittelylle säädetään viranomaista sitova kokonai</w:t>
      </w:r>
      <w:r w:rsidRPr="00D3283C">
        <w:rPr>
          <w:b/>
          <w:i/>
        </w:rPr>
        <w:t>s</w:t>
      </w:r>
      <w:r w:rsidRPr="00D3283C">
        <w:rPr>
          <w:b/>
          <w:i/>
        </w:rPr>
        <w:t xml:space="preserve">määräaika </w:t>
      </w:r>
      <w:r>
        <w:t>luvituksen ennakoitavuuden, tehokkuuden ja tavoitteellisuuden tu</w:t>
      </w:r>
      <w:r>
        <w:t>r</w:t>
      </w:r>
      <w:r>
        <w:t>vaamiseksi. Sitova määräaika voidaan asettaa alkavaksi siitä, kun saapuneen h</w:t>
      </w:r>
      <w:r>
        <w:t>a</w:t>
      </w:r>
      <w:r>
        <w:t>kemuksen tarkistaminen ja täydennyttäminen on tehty ja hakemus on ratkais</w:t>
      </w:r>
      <w:r>
        <w:t>u</w:t>
      </w:r>
      <w:r>
        <w:t>valmis. Tällöin myös saapuneen hakemuksen tarkistaminen ja mahdollinen tä</w:t>
      </w:r>
      <w:r>
        <w:t>y</w:t>
      </w:r>
      <w:r>
        <w:t xml:space="preserve">dennyspyyntö olisi tehtävä määrätyssä ajassa. </w:t>
      </w:r>
    </w:p>
    <w:p w:rsidR="00D3283C" w:rsidRDefault="00D3283C" w:rsidP="00145382">
      <w:pPr>
        <w:pStyle w:val="Leipteksti"/>
        <w:spacing w:after="120"/>
        <w:ind w:left="1304"/>
      </w:pPr>
      <w:r>
        <w:t>Päätösten määrä</w:t>
      </w:r>
      <w:r w:rsidR="00145382">
        <w:t>a</w:t>
      </w:r>
      <w:r>
        <w:t>i</w:t>
      </w:r>
      <w:r w:rsidR="00145382">
        <w:t>kaistarkastusten poistuttua käsiteltävät lupa-asiat ovat käytä</w:t>
      </w:r>
      <w:r w:rsidR="00145382">
        <w:t>n</w:t>
      </w:r>
      <w:r w:rsidR="00145382">
        <w:t>nössä BAT-tarkistushakemuksia tai toiminnan muutos- ja investointihankkeita. Ei ole tarkoituksenmukaista, että ainoastaan BAT-hakemusten käsittelyajoista on säädetty.</w:t>
      </w:r>
    </w:p>
    <w:p w:rsidR="007F3AC8" w:rsidRDefault="009F6B73" w:rsidP="007F3AC8">
      <w:pPr>
        <w:pStyle w:val="Leipteksti"/>
        <w:ind w:left="1304"/>
      </w:pPr>
      <w:r>
        <w:t xml:space="preserve">Viranomaiselta </w:t>
      </w:r>
      <w:r w:rsidR="00D3283C">
        <w:t>saadut arviot</w:t>
      </w:r>
      <w:r w:rsidR="00ED3B20">
        <w:t xml:space="preserve"> päätösajankohdasta </w:t>
      </w:r>
      <w:r w:rsidR="00D3283C">
        <w:t xml:space="preserve">eivät useinkaan toteudu ja </w:t>
      </w:r>
      <w:r w:rsidR="001D22A5">
        <w:t xml:space="preserve">on </w:t>
      </w:r>
      <w:r w:rsidR="00D3283C">
        <w:t>tyypillis</w:t>
      </w:r>
      <w:r w:rsidR="001D22A5">
        <w:t>tä, että</w:t>
      </w:r>
      <w:r w:rsidR="00D3283C">
        <w:t xml:space="preserve"> </w:t>
      </w:r>
      <w:r w:rsidR="00145382">
        <w:t xml:space="preserve">toiminnanharjoittaja ei saa tietoa muuttuneesta aikataulusta. </w:t>
      </w:r>
      <w:r w:rsidR="00F73455">
        <w:t>H</w:t>
      </w:r>
      <w:r w:rsidR="00F73455">
        <w:t>a</w:t>
      </w:r>
      <w:r w:rsidR="00F73455">
        <w:lastRenderedPageBreak/>
        <w:t>kijan neuvontaa koskevassa 39 a §:n mukaise</w:t>
      </w:r>
      <w:r w:rsidR="001D22A5">
        <w:t>ssa</w:t>
      </w:r>
      <w:r w:rsidR="00F73455">
        <w:t xml:space="preserve"> säännösehdotuksessa on hu</w:t>
      </w:r>
      <w:r w:rsidR="00F73455">
        <w:t>o</w:t>
      </w:r>
      <w:r w:rsidR="00F73455">
        <w:t>mioita</w:t>
      </w:r>
      <w:r w:rsidR="002219FD">
        <w:t>va</w:t>
      </w:r>
      <w:r w:rsidR="00F73455">
        <w:t xml:space="preserve"> hakijan tietotarve </w:t>
      </w:r>
      <w:r w:rsidR="00F73455" w:rsidRPr="00F73455">
        <w:rPr>
          <w:i/>
        </w:rPr>
        <w:t>ajantasaisesta</w:t>
      </w:r>
      <w:r w:rsidR="00F73455">
        <w:t xml:space="preserve"> päätöksen arvioidusta antamisajanko</w:t>
      </w:r>
      <w:r w:rsidR="00F73455">
        <w:t>h</w:t>
      </w:r>
      <w:r w:rsidR="00F73455">
        <w:t>dasta.</w:t>
      </w:r>
    </w:p>
    <w:p w:rsidR="00ED75F8" w:rsidRDefault="00ED75F8" w:rsidP="007F3AC8">
      <w:pPr>
        <w:pStyle w:val="Leipteksti"/>
        <w:ind w:left="1304"/>
      </w:pPr>
    </w:p>
    <w:p w:rsidR="00F73455" w:rsidRPr="002219FD" w:rsidRDefault="00F73455" w:rsidP="007F3AC8">
      <w:pPr>
        <w:pStyle w:val="Leipteksti"/>
        <w:ind w:left="1304"/>
      </w:pPr>
      <w:r w:rsidRPr="00F73455">
        <w:rPr>
          <w:b/>
        </w:rPr>
        <w:t>Kuuleminen päätösluonnoksesta</w:t>
      </w:r>
    </w:p>
    <w:p w:rsidR="00F73455" w:rsidRPr="002219FD" w:rsidRDefault="00F73455" w:rsidP="007F3AC8">
      <w:pPr>
        <w:pStyle w:val="Leipteksti"/>
        <w:ind w:left="1304"/>
      </w:pPr>
    </w:p>
    <w:p w:rsidR="001641D2" w:rsidRDefault="0074551B" w:rsidP="00A64E1A">
      <w:pPr>
        <w:pStyle w:val="Leipteksti"/>
        <w:spacing w:after="120"/>
        <w:ind w:left="1304"/>
      </w:pPr>
      <w:r w:rsidRPr="00376562">
        <w:rPr>
          <w:b/>
          <w:i/>
        </w:rPr>
        <w:t>Luvan hakijan mahdollisuus päätösluonnoksen kommentointiin on tärk</w:t>
      </w:r>
      <w:r w:rsidRPr="00376562">
        <w:rPr>
          <w:b/>
          <w:i/>
        </w:rPr>
        <w:t>e</w:t>
      </w:r>
      <w:r w:rsidRPr="00376562">
        <w:rPr>
          <w:b/>
          <w:i/>
        </w:rPr>
        <w:t xml:space="preserve">ää virheettömän päätöksen saamiseksi. </w:t>
      </w:r>
      <w:r w:rsidR="001D22A5">
        <w:t xml:space="preserve">Kommentoinnilla </w:t>
      </w:r>
      <w:r>
        <w:t>voidaan välttää l</w:t>
      </w:r>
      <w:r>
        <w:t>o</w:t>
      </w:r>
      <w:r>
        <w:t>pulliseen päätökseen jäävät väärinymmärryksestä tai inhimillisestä erehdyksestä johtuvat virheet, joissa ei siis ole kysymys hakijan ja luvittajan näkemyseroista vaadittavasta ympäristönsuojelutasosta.</w:t>
      </w:r>
      <w:r w:rsidR="001641D2">
        <w:t xml:space="preserve"> Nykyisin tällaisten virheiden korjaaminen on joissain tapauksissa tapahtunut viranomaisen toimesta, mutta joissain tapau</w:t>
      </w:r>
      <w:r w:rsidR="001641D2">
        <w:t>k</w:t>
      </w:r>
      <w:r w:rsidR="001641D2">
        <w:t>sissa hakija on joutunut tekemään hakemuksen lupamääräyksen muuttamiseksi tai hakemaan muutosta tuomioistuimesta. Näissä tapauksissa lupaluonnoksen kommentoinnilla oltaisi vältytty sekä virheelliseltä päätökseltä että päätöksien korjaamiseen tarvittavalta hallinnolliselta taakalta.</w:t>
      </w:r>
      <w:r w:rsidR="009965C1">
        <w:t xml:space="preserve"> </w:t>
      </w:r>
    </w:p>
    <w:p w:rsidR="001641D2" w:rsidRDefault="001641D2" w:rsidP="00A64E1A">
      <w:pPr>
        <w:pStyle w:val="Leipteksti"/>
        <w:spacing w:after="120"/>
        <w:ind w:left="1304"/>
      </w:pPr>
      <w:r>
        <w:t>Luvan hakijalle annettava komm</w:t>
      </w:r>
      <w:r w:rsidR="00E2051F">
        <w:t>e</w:t>
      </w:r>
      <w:r>
        <w:t>ntointimahdollisuus ei loukkaa muiden asia</w:t>
      </w:r>
      <w:r>
        <w:t>n</w:t>
      </w:r>
      <w:r>
        <w:t>osaisten asemaa. Lupaviranomainen kysyy tälläkin hetkellä teknisiä tarkennuksia lupahakemukseen</w:t>
      </w:r>
      <w:r w:rsidR="009965C1">
        <w:t xml:space="preserve"> kuulematta muita asianosaisia </w:t>
      </w:r>
      <w:r w:rsidR="00E2051F">
        <w:t>ja ET:n näkemyksen mukaan päätösluonnoksen kommentointi on rinnastettavissa tällaiseen menettelyyn.</w:t>
      </w:r>
      <w:r w:rsidR="009965C1">
        <w:t xml:space="preserve"> Huomattavaa on, että tässä tarkoitetut virheet ovat tyypillisesti sellaisia, joiden korjaamisesta lupaviranomainen ja hakija ovat yhtä mieltä. </w:t>
      </w:r>
    </w:p>
    <w:p w:rsidR="00836C26" w:rsidRDefault="00266413" w:rsidP="009D3028">
      <w:pPr>
        <w:pStyle w:val="Leipteksti"/>
        <w:spacing w:after="120"/>
        <w:ind w:left="1304"/>
      </w:pPr>
      <w:r>
        <w:t xml:space="preserve">ET esittää, että edelleen selvitettäisiin mahdollisuus </w:t>
      </w:r>
      <w:r w:rsidRPr="00266413">
        <w:rPr>
          <w:b/>
          <w:i/>
        </w:rPr>
        <w:t>menettelyyn, jossa kuul</w:t>
      </w:r>
      <w:r w:rsidRPr="00266413">
        <w:rPr>
          <w:b/>
          <w:i/>
        </w:rPr>
        <w:t>e</w:t>
      </w:r>
      <w:r w:rsidRPr="00266413">
        <w:rPr>
          <w:b/>
          <w:i/>
        </w:rPr>
        <w:t>minen toteutetaan nykyiseen tapaan (kuuleminen hakemuksesta) tä</w:t>
      </w:r>
      <w:r w:rsidRPr="00266413">
        <w:rPr>
          <w:b/>
          <w:i/>
        </w:rPr>
        <w:t>y</w:t>
      </w:r>
      <w:r w:rsidRPr="00266413">
        <w:rPr>
          <w:b/>
          <w:i/>
        </w:rPr>
        <w:t>dennettynä hakija</w:t>
      </w:r>
      <w:r>
        <w:rPr>
          <w:b/>
          <w:i/>
        </w:rPr>
        <w:t>lle</w:t>
      </w:r>
      <w:r w:rsidRPr="00266413">
        <w:rPr>
          <w:b/>
          <w:i/>
        </w:rPr>
        <w:t xml:space="preserve"> (ja mahdollisesti valvova</w:t>
      </w:r>
      <w:r>
        <w:rPr>
          <w:b/>
          <w:i/>
        </w:rPr>
        <w:t>lle</w:t>
      </w:r>
      <w:r w:rsidRPr="00266413">
        <w:rPr>
          <w:b/>
          <w:i/>
        </w:rPr>
        <w:t xml:space="preserve"> viranomaise</w:t>
      </w:r>
      <w:r>
        <w:rPr>
          <w:b/>
          <w:i/>
        </w:rPr>
        <w:t>lle</w:t>
      </w:r>
      <w:r w:rsidRPr="00266413">
        <w:rPr>
          <w:b/>
          <w:i/>
        </w:rPr>
        <w:t>)</w:t>
      </w:r>
      <w:r>
        <w:rPr>
          <w:b/>
          <w:i/>
        </w:rPr>
        <w:t xml:space="preserve"> anne</w:t>
      </w:r>
      <w:r>
        <w:rPr>
          <w:b/>
          <w:i/>
        </w:rPr>
        <w:t>t</w:t>
      </w:r>
      <w:r>
        <w:rPr>
          <w:b/>
          <w:i/>
        </w:rPr>
        <w:t>tavalla mahdollisuudella kommentoida päätösluonnosta.</w:t>
      </w:r>
      <w:r w:rsidR="00FB665B" w:rsidRPr="00FB665B">
        <w:t xml:space="preserve"> </w:t>
      </w:r>
      <w:r w:rsidR="00FB665B">
        <w:t>Tämä toimintatapa on käytössä jo useilla luvittajilla, mutta yhtenäisyyden vuoksi asiasta on sääde</w:t>
      </w:r>
      <w:r w:rsidR="00FB665B">
        <w:t>t</w:t>
      </w:r>
      <w:r w:rsidR="00FB665B">
        <w:t xml:space="preserve">tävä. </w:t>
      </w:r>
    </w:p>
    <w:p w:rsidR="00FB665B" w:rsidRDefault="00FB665B" w:rsidP="009D3028">
      <w:pPr>
        <w:pStyle w:val="Leipteksti"/>
        <w:spacing w:after="120"/>
        <w:ind w:left="1304"/>
      </w:pPr>
      <w:r w:rsidRPr="003C2C90">
        <w:rPr>
          <w:b/>
          <w:i/>
        </w:rPr>
        <w:t>ET näkee muistiossa esitetyssä uudessa kuulemismenettelyssä useita etuja nykyiseen menettelyyn nähden ja kannattaa siten menettelyn k</w:t>
      </w:r>
      <w:r w:rsidRPr="003C2C90">
        <w:rPr>
          <w:b/>
          <w:i/>
        </w:rPr>
        <w:t>o</w:t>
      </w:r>
      <w:r w:rsidRPr="003C2C90">
        <w:rPr>
          <w:b/>
          <w:i/>
        </w:rPr>
        <w:t xml:space="preserve">keilemista. </w:t>
      </w:r>
      <w:r w:rsidR="003C2C90">
        <w:t>Mallissa tulee huomioida hakijan kuuleminen sellaisesta päätösluo</w:t>
      </w:r>
      <w:r w:rsidR="003C2C90">
        <w:t>n</w:t>
      </w:r>
      <w:r w:rsidR="003C2C90">
        <w:t xml:space="preserve">noksesta, jossa on </w:t>
      </w:r>
      <w:r w:rsidR="000C44D8">
        <w:t xml:space="preserve">jo </w:t>
      </w:r>
      <w:r w:rsidR="003C2C90">
        <w:t>huomioitu muiden asianosaisten vaatimukset.</w:t>
      </w:r>
    </w:p>
    <w:p w:rsidR="00FB665B" w:rsidRDefault="00FB665B" w:rsidP="009D3028">
      <w:pPr>
        <w:pStyle w:val="Leipteksti"/>
        <w:spacing w:after="120"/>
        <w:ind w:left="1304"/>
      </w:pP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  <w:r>
        <w:t>Ystävällisin terveisin</w:t>
      </w: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  <w:r>
        <w:t>ENERGIATEOLLISUUS RY</w:t>
      </w: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</w:p>
    <w:p w:rsidR="00E513B7" w:rsidRDefault="00E513B7" w:rsidP="00E513B7">
      <w:pPr>
        <w:pStyle w:val="Leipteksti"/>
      </w:pPr>
    </w:p>
    <w:p w:rsidR="00E513B7" w:rsidRDefault="005E255E" w:rsidP="00E513B7">
      <w:pPr>
        <w:pStyle w:val="Leipteksti"/>
      </w:pPr>
      <w:r>
        <w:t>Jukka Leskelä</w:t>
      </w:r>
    </w:p>
    <w:p w:rsidR="00F71108" w:rsidRDefault="005E255E" w:rsidP="00E513B7">
      <w:pPr>
        <w:pStyle w:val="Leipteksti"/>
      </w:pPr>
      <w:r>
        <w:t>Johtaja, sähköntuotanto</w:t>
      </w:r>
    </w:p>
    <w:p w:rsidR="00B53C80" w:rsidRDefault="00B53C80" w:rsidP="00E513B7">
      <w:pPr>
        <w:pStyle w:val="Leipteksti"/>
      </w:pPr>
    </w:p>
    <w:sectPr w:rsidR="00B53C80" w:rsidSect="00734A1A">
      <w:headerReference w:type="default" r:id="rId8"/>
      <w:headerReference w:type="first" r:id="rId9"/>
      <w:footerReference w:type="first" r:id="rId10"/>
      <w:pgSz w:w="11906" w:h="16838" w:code="9"/>
      <w:pgMar w:top="1134" w:right="1134" w:bottom="669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05" w:rsidRDefault="002C2205">
      <w:r>
        <w:separator/>
      </w:r>
    </w:p>
  </w:endnote>
  <w:endnote w:type="continuationSeparator" w:id="0">
    <w:p w:rsidR="002C2205" w:rsidRDefault="002C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48" w:rsidRDefault="00D57C48" w:rsidP="00387957">
    <w:pPr>
      <w:pStyle w:val="Alatunniste"/>
      <w:ind w:left="5812"/>
      <w:rPr>
        <w:b/>
      </w:rPr>
    </w:pPr>
    <w:r>
      <w:rPr>
        <w:b/>
      </w:rPr>
      <w:t xml:space="preserve">Energiateollisuus ry </w:t>
    </w:r>
  </w:p>
  <w:p w:rsidR="00D57C48" w:rsidRDefault="00D57C48" w:rsidP="00387957">
    <w:pPr>
      <w:pStyle w:val="Alatunniste"/>
      <w:ind w:left="5812"/>
    </w:pPr>
    <w:r>
      <w:t xml:space="preserve">Fredrikinkatu 51–53 B, 00100 Helsinki </w:t>
    </w:r>
  </w:p>
  <w:p w:rsidR="00D57C48" w:rsidRDefault="00D57C48" w:rsidP="00387957">
    <w:pPr>
      <w:pStyle w:val="Alatunniste"/>
      <w:ind w:left="5812"/>
    </w:pPr>
    <w:r>
      <w:t>PL 100, 00101 Helsinki</w:t>
    </w:r>
  </w:p>
  <w:p w:rsidR="00D57C48" w:rsidRDefault="00D57C48" w:rsidP="00387957">
    <w:pPr>
      <w:pStyle w:val="Alatunniste"/>
      <w:ind w:left="5812"/>
    </w:pPr>
    <w:r>
      <w:t>Puhelin: (09) 530 520, faksi: (09) 5305 2900</w:t>
    </w:r>
  </w:p>
  <w:p w:rsidR="00D57C48" w:rsidRPr="0021472A" w:rsidRDefault="00D57C48" w:rsidP="00387957">
    <w:pPr>
      <w:pStyle w:val="Alatunniste"/>
      <w:ind w:left="5812"/>
    </w:pPr>
    <w:r>
      <w:t>www.energia.fi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05" w:rsidRDefault="002C2205">
      <w:r>
        <w:separator/>
      </w:r>
    </w:p>
  </w:footnote>
  <w:footnote w:type="continuationSeparator" w:id="0">
    <w:p w:rsidR="002C2205" w:rsidRDefault="002C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48" w:rsidRDefault="00D57C48" w:rsidP="004D6D01">
    <w:pPr>
      <w:pStyle w:val="Yltunniste"/>
      <w:tabs>
        <w:tab w:val="clear" w:pos="4819"/>
        <w:tab w:val="clear" w:pos="9638"/>
        <w:tab w:val="left" w:pos="3434"/>
      </w:tabs>
      <w:jc w:val="right"/>
      <w:rPr>
        <w:snapToGrid w:val="0"/>
      </w:rPr>
    </w:pPr>
  </w:p>
  <w:p w:rsidR="00D57C48" w:rsidRDefault="00D57C48" w:rsidP="004D6D01">
    <w:pPr>
      <w:pStyle w:val="Yltunniste"/>
      <w:tabs>
        <w:tab w:val="clear" w:pos="4819"/>
        <w:tab w:val="clear" w:pos="9638"/>
        <w:tab w:val="left" w:pos="3434"/>
      </w:tabs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B753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(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B753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90"/>
      <w:gridCol w:w="2629"/>
      <w:gridCol w:w="1787"/>
      <w:gridCol w:w="567"/>
    </w:tblGrid>
    <w:tr w:rsidR="00D57C48">
      <w:trPr>
        <w:cantSplit/>
        <w:trHeight w:hRule="exact" w:val="300"/>
      </w:trPr>
      <w:tc>
        <w:tcPr>
          <w:tcW w:w="5190" w:type="dxa"/>
          <w:vMerge w:val="restart"/>
        </w:tcPr>
        <w:p w:rsidR="00D57C48" w:rsidRDefault="002C2205" w:rsidP="005B057F">
          <w:pPr>
            <w:pStyle w:val="Yltunniste"/>
          </w:pPr>
          <w:r>
            <w:rPr>
              <w:noProof/>
            </w:rPr>
            <w:drawing>
              <wp:inline distT="0" distB="0" distL="0" distR="0" wp14:anchorId="6E2B9553" wp14:editId="190C89DD">
                <wp:extent cx="2028825" cy="447675"/>
                <wp:effectExtent l="0" t="0" r="9525" b="9525"/>
                <wp:docPr id="1" name="Kuva 1" descr="LA1_R3V9_Energiateolli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1_R3V9_Energiateolli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gridSpan w:val="3"/>
        </w:tcPr>
        <w:p w:rsidR="00D57C48" w:rsidRDefault="00D57C48" w:rsidP="005B057F">
          <w:pPr>
            <w:pStyle w:val="Yltunniste"/>
          </w:pPr>
        </w:p>
      </w:tc>
    </w:tr>
    <w:tr w:rsidR="00D57C48">
      <w:trPr>
        <w:cantSplit/>
        <w:trHeight w:hRule="exact" w:val="220"/>
      </w:trPr>
      <w:tc>
        <w:tcPr>
          <w:tcW w:w="5190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629" w:type="dxa"/>
          <w:vMerge w:val="restart"/>
        </w:tcPr>
        <w:p w:rsidR="00D57C48" w:rsidRDefault="00D57C48" w:rsidP="005B057F">
          <w:pPr>
            <w:pStyle w:val="Yltunniste"/>
            <w:rPr>
              <w:b/>
            </w:rPr>
          </w:pPr>
        </w:p>
      </w:tc>
      <w:tc>
        <w:tcPr>
          <w:tcW w:w="1787" w:type="dxa"/>
        </w:tcPr>
        <w:p w:rsidR="00D57C48" w:rsidRDefault="00E513B7" w:rsidP="005B057F">
          <w:pPr>
            <w:pStyle w:val="Yltunniste"/>
            <w:rPr>
              <w:b/>
            </w:rPr>
          </w:pPr>
          <w:r>
            <w:rPr>
              <w:b/>
            </w:rPr>
            <w:t>LAUSUNTO</w:t>
          </w:r>
        </w:p>
      </w:tc>
      <w:tc>
        <w:tcPr>
          <w:tcW w:w="567" w:type="dxa"/>
        </w:tcPr>
        <w:p w:rsidR="00D57C48" w:rsidRDefault="00D57C48" w:rsidP="005B057F">
          <w:pPr>
            <w:pStyle w:val="Yltunniste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6B753C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6B753C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D57C48">
      <w:trPr>
        <w:cantSplit/>
        <w:trHeight w:hRule="exact" w:val="220"/>
      </w:trPr>
      <w:tc>
        <w:tcPr>
          <w:tcW w:w="5190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629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354" w:type="dxa"/>
          <w:gridSpan w:val="2"/>
          <w:vMerge w:val="restart"/>
        </w:tcPr>
        <w:p w:rsidR="00D57C48" w:rsidRDefault="00D57C48" w:rsidP="005B057F">
          <w:pPr>
            <w:pStyle w:val="Yltunniste"/>
          </w:pPr>
        </w:p>
      </w:tc>
    </w:tr>
    <w:tr w:rsidR="00D57C48">
      <w:trPr>
        <w:cantSplit/>
        <w:trHeight w:hRule="exact" w:val="220"/>
      </w:trPr>
      <w:tc>
        <w:tcPr>
          <w:tcW w:w="5190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629" w:type="dxa"/>
        </w:tcPr>
        <w:p w:rsidR="00D57C48" w:rsidRDefault="007F3AC8" w:rsidP="005B057F">
          <w:pPr>
            <w:pStyle w:val="Yltunniste"/>
          </w:pPr>
          <w:r>
            <w:t>Heidi Lettojärvi</w:t>
          </w:r>
        </w:p>
      </w:tc>
      <w:tc>
        <w:tcPr>
          <w:tcW w:w="2354" w:type="dxa"/>
          <w:gridSpan w:val="2"/>
          <w:vMerge/>
        </w:tcPr>
        <w:p w:rsidR="00D57C48" w:rsidRDefault="00D57C48" w:rsidP="005B057F">
          <w:pPr>
            <w:pStyle w:val="Yltunniste"/>
          </w:pPr>
        </w:p>
      </w:tc>
    </w:tr>
    <w:tr w:rsidR="00D57C48">
      <w:trPr>
        <w:cantSplit/>
        <w:trHeight w:hRule="exact" w:val="220"/>
      </w:trPr>
      <w:tc>
        <w:tcPr>
          <w:tcW w:w="5190" w:type="dxa"/>
          <w:vMerge/>
        </w:tcPr>
        <w:p w:rsidR="00D57C48" w:rsidRDefault="00D57C48" w:rsidP="005B057F">
          <w:pPr>
            <w:pStyle w:val="Yltunniste"/>
          </w:pPr>
        </w:p>
      </w:tc>
      <w:tc>
        <w:tcPr>
          <w:tcW w:w="2629" w:type="dxa"/>
        </w:tcPr>
        <w:p w:rsidR="00D57C48" w:rsidRDefault="001641D2" w:rsidP="001641D2">
          <w:pPr>
            <w:pStyle w:val="Yltunniste"/>
          </w:pPr>
          <w:r>
            <w:t>7</w:t>
          </w:r>
          <w:r w:rsidR="007F3AC8">
            <w:t>.3.2016</w:t>
          </w:r>
        </w:p>
      </w:tc>
      <w:tc>
        <w:tcPr>
          <w:tcW w:w="2354" w:type="dxa"/>
          <w:gridSpan w:val="2"/>
        </w:tcPr>
        <w:p w:rsidR="00D57C48" w:rsidRDefault="00D57C48" w:rsidP="005B057F">
          <w:pPr>
            <w:pStyle w:val="Yltunniste"/>
          </w:pPr>
        </w:p>
      </w:tc>
    </w:tr>
    <w:tr w:rsidR="00D57C48">
      <w:trPr>
        <w:trHeight w:hRule="exact" w:val="400"/>
      </w:trPr>
      <w:tc>
        <w:tcPr>
          <w:tcW w:w="10173" w:type="dxa"/>
          <w:gridSpan w:val="4"/>
        </w:tcPr>
        <w:p w:rsidR="00D57C48" w:rsidRDefault="00D57C48" w:rsidP="005B057F">
          <w:pPr>
            <w:pStyle w:val="Yltunniste"/>
          </w:pPr>
        </w:p>
      </w:tc>
    </w:tr>
  </w:tbl>
  <w:p w:rsidR="00D57C48" w:rsidRDefault="00D57C4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FCB"/>
    <w:multiLevelType w:val="hybridMultilevel"/>
    <w:tmpl w:val="DB001B04"/>
    <w:lvl w:ilvl="0" w:tplc="040B0001">
      <w:start w:val="1"/>
      <w:numFmt w:val="bullet"/>
      <w:lvlText w:val=""/>
      <w:lvlJc w:val="left"/>
      <w:pPr>
        <w:ind w:left="-22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15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8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</w:abstractNum>
  <w:abstractNum w:abstractNumId="1">
    <w:nsid w:val="1E374A35"/>
    <w:multiLevelType w:val="hybridMultilevel"/>
    <w:tmpl w:val="BB4E387C"/>
    <w:lvl w:ilvl="0" w:tplc="3F84389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24AFF"/>
    <w:multiLevelType w:val="hybridMultilevel"/>
    <w:tmpl w:val="9A228348"/>
    <w:lvl w:ilvl="0" w:tplc="040B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430A235A"/>
    <w:multiLevelType w:val="hybridMultilevel"/>
    <w:tmpl w:val="005AC8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D5787"/>
    <w:multiLevelType w:val="hybridMultilevel"/>
    <w:tmpl w:val="236079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96"/>
    <w:rsid w:val="0005105C"/>
    <w:rsid w:val="000C44D8"/>
    <w:rsid w:val="00123565"/>
    <w:rsid w:val="00134213"/>
    <w:rsid w:val="00136AEE"/>
    <w:rsid w:val="00145382"/>
    <w:rsid w:val="001641D2"/>
    <w:rsid w:val="001D22A5"/>
    <w:rsid w:val="00210DFB"/>
    <w:rsid w:val="00211EF6"/>
    <w:rsid w:val="0021472A"/>
    <w:rsid w:val="002219FD"/>
    <w:rsid w:val="00266413"/>
    <w:rsid w:val="002C2205"/>
    <w:rsid w:val="002E443E"/>
    <w:rsid w:val="00331EFE"/>
    <w:rsid w:val="00374296"/>
    <w:rsid w:val="00376562"/>
    <w:rsid w:val="00387957"/>
    <w:rsid w:val="003A6DDB"/>
    <w:rsid w:val="003B1C36"/>
    <w:rsid w:val="003B2B13"/>
    <w:rsid w:val="003C2C90"/>
    <w:rsid w:val="003F54AA"/>
    <w:rsid w:val="004026CA"/>
    <w:rsid w:val="00425619"/>
    <w:rsid w:val="004A197B"/>
    <w:rsid w:val="004D6D01"/>
    <w:rsid w:val="004F466B"/>
    <w:rsid w:val="00530538"/>
    <w:rsid w:val="00532F29"/>
    <w:rsid w:val="005B057F"/>
    <w:rsid w:val="005E255E"/>
    <w:rsid w:val="005F2E8C"/>
    <w:rsid w:val="00687984"/>
    <w:rsid w:val="006B753C"/>
    <w:rsid w:val="00734A1A"/>
    <w:rsid w:val="0074551B"/>
    <w:rsid w:val="0075353A"/>
    <w:rsid w:val="007777BC"/>
    <w:rsid w:val="007A0410"/>
    <w:rsid w:val="007D4805"/>
    <w:rsid w:val="007F3AC8"/>
    <w:rsid w:val="00836C26"/>
    <w:rsid w:val="00874B38"/>
    <w:rsid w:val="009965C1"/>
    <w:rsid w:val="009D3028"/>
    <w:rsid w:val="009E1A44"/>
    <w:rsid w:val="009F32E9"/>
    <w:rsid w:val="009F6B73"/>
    <w:rsid w:val="00A4669A"/>
    <w:rsid w:val="00A64E1A"/>
    <w:rsid w:val="00AB1382"/>
    <w:rsid w:val="00AD129C"/>
    <w:rsid w:val="00B53C80"/>
    <w:rsid w:val="00B81ECD"/>
    <w:rsid w:val="00BA07AF"/>
    <w:rsid w:val="00C334EB"/>
    <w:rsid w:val="00CC7683"/>
    <w:rsid w:val="00CE4DAF"/>
    <w:rsid w:val="00D3283C"/>
    <w:rsid w:val="00D57C48"/>
    <w:rsid w:val="00D62749"/>
    <w:rsid w:val="00DB5491"/>
    <w:rsid w:val="00E2051F"/>
    <w:rsid w:val="00E45F2F"/>
    <w:rsid w:val="00E513B7"/>
    <w:rsid w:val="00ED3B20"/>
    <w:rsid w:val="00ED75F8"/>
    <w:rsid w:val="00F10CE8"/>
    <w:rsid w:val="00F1212A"/>
    <w:rsid w:val="00F30606"/>
    <w:rsid w:val="00F71108"/>
    <w:rsid w:val="00F73455"/>
    <w:rsid w:val="00FA7108"/>
    <w:rsid w:val="00FB665B"/>
    <w:rsid w:val="00FD2B0D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Otsikko1"/>
    <w:next w:val="Leipteksti"/>
    <w:qFormat/>
    <w:pPr>
      <w:outlineLvl w:val="1"/>
    </w:pPr>
    <w:rPr>
      <w:bCs w:val="0"/>
      <w:iCs/>
      <w:sz w:val="20"/>
      <w:szCs w:val="28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4551B"/>
    <w:pPr>
      <w:ind w:left="720"/>
    </w:pPr>
    <w:rPr>
      <w:rFonts w:ascii="Calibri" w:eastAsiaTheme="minorHAnsi" w:hAnsi="Calibri"/>
      <w:sz w:val="22"/>
      <w:szCs w:val="22"/>
    </w:rPr>
  </w:style>
  <w:style w:type="paragraph" w:styleId="Seliteteksti">
    <w:name w:val="Balloon Text"/>
    <w:basedOn w:val="Normaali"/>
    <w:link w:val="SelitetekstiChar"/>
    <w:rsid w:val="001641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6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Otsikko1"/>
    <w:next w:val="Leipteksti"/>
    <w:qFormat/>
    <w:pPr>
      <w:outlineLvl w:val="1"/>
    </w:pPr>
    <w:rPr>
      <w:bCs w:val="0"/>
      <w:iCs/>
      <w:sz w:val="20"/>
      <w:szCs w:val="28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4551B"/>
    <w:pPr>
      <w:ind w:left="720"/>
    </w:pPr>
    <w:rPr>
      <w:rFonts w:ascii="Calibri" w:eastAsiaTheme="minorHAnsi" w:hAnsi="Calibri"/>
      <w:sz w:val="22"/>
      <w:szCs w:val="22"/>
    </w:rPr>
  </w:style>
  <w:style w:type="paragraph" w:styleId="Seliteteksti">
    <w:name w:val="Balloon Text"/>
    <w:basedOn w:val="Normaali"/>
    <w:link w:val="SelitetekstiChar"/>
    <w:rsid w:val="001641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6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kirjemallipohja</vt:lpstr>
    </vt:vector>
  </TitlesOfParts>
  <Company>Energiateollisuus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kirjemallipohja</dc:title>
  <dc:creator>Lettojärvi Heidi</dc:creator>
  <cp:lastModifiedBy>Hakkarainen Satu</cp:lastModifiedBy>
  <cp:revision>2</cp:revision>
  <cp:lastPrinted>2006-09-13T11:46:00Z</cp:lastPrinted>
  <dcterms:created xsi:type="dcterms:W3CDTF">2016-03-11T14:47:00Z</dcterms:created>
  <dcterms:modified xsi:type="dcterms:W3CDTF">2016-03-11T14:47:00Z</dcterms:modified>
</cp:coreProperties>
</file>