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EE" w:rsidRPr="004F5277" w:rsidRDefault="003D5FEE" w:rsidP="00B35FCC">
      <w:pPr>
        <w:tabs>
          <w:tab w:val="left" w:pos="1134"/>
          <w:tab w:val="left" w:pos="1701"/>
          <w:tab w:val="left" w:pos="6521"/>
          <w:tab w:val="right" w:pos="9639"/>
        </w:tabs>
        <w:rPr>
          <w:rFonts w:asciiTheme="minorHAnsi" w:hAnsiTheme="minorHAnsi" w:cs="Calibri"/>
          <w:sz w:val="24"/>
          <w:szCs w:val="24"/>
        </w:rPr>
      </w:pPr>
      <w:bookmarkStart w:id="0" w:name="_GoBack"/>
      <w:bookmarkEnd w:id="0"/>
    </w:p>
    <w:p w:rsidR="00856ABD" w:rsidRPr="004F5277" w:rsidRDefault="001D209B" w:rsidP="00B35FCC">
      <w:pPr>
        <w:tabs>
          <w:tab w:val="left" w:pos="1134"/>
          <w:tab w:val="left" w:pos="1701"/>
          <w:tab w:val="left" w:pos="6521"/>
          <w:tab w:val="right" w:pos="9639"/>
        </w:tabs>
        <w:rPr>
          <w:rFonts w:asciiTheme="minorHAnsi" w:hAnsiTheme="minorHAnsi" w:cs="Calibri"/>
          <w:sz w:val="24"/>
          <w:szCs w:val="24"/>
        </w:rPr>
      </w:pPr>
      <w:r w:rsidRPr="004F5277">
        <w:rPr>
          <w:rFonts w:asciiTheme="minorHAnsi" w:hAnsiTheme="minorHAnsi" w:cs="Calibri"/>
          <w:sz w:val="24"/>
          <w:szCs w:val="24"/>
        </w:rPr>
        <w:t>Oikeusministeriö</w:t>
      </w:r>
      <w:r w:rsidR="00527DC7" w:rsidRPr="004F5277">
        <w:rPr>
          <w:rFonts w:asciiTheme="minorHAnsi" w:hAnsiTheme="minorHAnsi" w:cs="Calibri"/>
          <w:sz w:val="24"/>
          <w:szCs w:val="24"/>
        </w:rPr>
        <w:tab/>
      </w:r>
      <w:r w:rsidR="00527DC7" w:rsidRPr="004F5277">
        <w:rPr>
          <w:rFonts w:asciiTheme="minorHAnsi" w:hAnsiTheme="minorHAnsi" w:cs="Calibri"/>
          <w:sz w:val="24"/>
          <w:szCs w:val="24"/>
        </w:rPr>
        <w:tab/>
      </w:r>
      <w:proofErr w:type="spellStart"/>
      <w:r w:rsidR="00527DC7" w:rsidRPr="004F5277">
        <w:rPr>
          <w:rFonts w:asciiTheme="minorHAnsi" w:hAnsiTheme="minorHAnsi" w:cs="Calibri"/>
          <w:sz w:val="24"/>
          <w:szCs w:val="24"/>
        </w:rPr>
        <w:t>Dnro</w:t>
      </w:r>
      <w:proofErr w:type="spellEnd"/>
      <w:r w:rsidR="00527DC7" w:rsidRPr="004F5277">
        <w:rPr>
          <w:rFonts w:asciiTheme="minorHAnsi" w:hAnsiTheme="minorHAnsi" w:cs="Calibri"/>
          <w:sz w:val="24"/>
          <w:szCs w:val="24"/>
        </w:rPr>
        <w:t xml:space="preserve"> </w:t>
      </w:r>
      <w:r w:rsidR="004F5277">
        <w:rPr>
          <w:rFonts w:asciiTheme="minorHAnsi" w:hAnsiTheme="minorHAnsi" w:cs="Calibri"/>
          <w:sz w:val="24"/>
          <w:szCs w:val="24"/>
        </w:rPr>
        <w:t>10</w:t>
      </w:r>
      <w:r w:rsidR="00527DC7" w:rsidRPr="004F5277">
        <w:rPr>
          <w:rFonts w:asciiTheme="minorHAnsi" w:hAnsiTheme="minorHAnsi" w:cs="Calibri"/>
          <w:sz w:val="24"/>
          <w:szCs w:val="24"/>
        </w:rPr>
        <w:t>/2014</w:t>
      </w:r>
    </w:p>
    <w:p w:rsidR="004F5277" w:rsidRDefault="004F5277" w:rsidP="00B35FCC">
      <w:pPr>
        <w:tabs>
          <w:tab w:val="left" w:pos="1134"/>
          <w:tab w:val="left" w:pos="1701"/>
          <w:tab w:val="left" w:pos="6521"/>
          <w:tab w:val="right" w:pos="9639"/>
        </w:tabs>
        <w:rPr>
          <w:rFonts w:asciiTheme="minorHAnsi" w:hAnsiTheme="minorHAnsi" w:cs="Calibri"/>
          <w:sz w:val="24"/>
          <w:szCs w:val="24"/>
        </w:rPr>
      </w:pPr>
    </w:p>
    <w:p w:rsidR="00856ABD" w:rsidRPr="004F5277" w:rsidRDefault="00856ABD" w:rsidP="00B35FCC">
      <w:pPr>
        <w:tabs>
          <w:tab w:val="left" w:pos="1134"/>
          <w:tab w:val="left" w:pos="1701"/>
          <w:tab w:val="left" w:pos="6521"/>
          <w:tab w:val="right" w:pos="9639"/>
        </w:tabs>
        <w:rPr>
          <w:rFonts w:asciiTheme="minorHAnsi" w:hAnsiTheme="minorHAnsi" w:cs="Calibri"/>
          <w:sz w:val="24"/>
          <w:szCs w:val="24"/>
        </w:rPr>
      </w:pPr>
      <w:r w:rsidRPr="004F5277">
        <w:rPr>
          <w:rFonts w:asciiTheme="minorHAnsi" w:hAnsiTheme="minorHAnsi" w:cs="Calibri"/>
          <w:sz w:val="24"/>
          <w:szCs w:val="24"/>
        </w:rPr>
        <w:tab/>
      </w:r>
      <w:r w:rsidRPr="004F5277">
        <w:rPr>
          <w:rFonts w:asciiTheme="minorHAnsi" w:hAnsiTheme="minorHAnsi" w:cs="Calibri"/>
          <w:sz w:val="24"/>
          <w:szCs w:val="24"/>
        </w:rPr>
        <w:tab/>
      </w:r>
      <w:r w:rsidRPr="004F5277">
        <w:rPr>
          <w:rFonts w:asciiTheme="minorHAnsi" w:hAnsiTheme="minorHAnsi" w:cs="Calibri"/>
          <w:sz w:val="24"/>
          <w:szCs w:val="24"/>
        </w:rPr>
        <w:tab/>
      </w:r>
      <w:r w:rsidR="004F5277">
        <w:rPr>
          <w:rFonts w:asciiTheme="minorHAnsi" w:hAnsiTheme="minorHAnsi" w:cs="Calibri"/>
          <w:sz w:val="24"/>
          <w:szCs w:val="24"/>
        </w:rPr>
        <w:t>30</w:t>
      </w:r>
      <w:r w:rsidR="001D209B" w:rsidRPr="004F5277">
        <w:rPr>
          <w:rFonts w:asciiTheme="minorHAnsi" w:hAnsiTheme="minorHAnsi" w:cs="Calibri"/>
          <w:sz w:val="24"/>
          <w:szCs w:val="24"/>
        </w:rPr>
        <w:t>.</w:t>
      </w:r>
      <w:r w:rsidR="00B35FCC" w:rsidRPr="004F5277">
        <w:rPr>
          <w:rFonts w:asciiTheme="minorHAnsi" w:hAnsiTheme="minorHAnsi" w:cs="Calibri"/>
          <w:sz w:val="24"/>
          <w:szCs w:val="24"/>
        </w:rPr>
        <w:t>4</w:t>
      </w:r>
      <w:r w:rsidR="001D209B" w:rsidRPr="004F5277">
        <w:rPr>
          <w:rFonts w:asciiTheme="minorHAnsi" w:hAnsiTheme="minorHAnsi" w:cs="Calibri"/>
          <w:sz w:val="24"/>
          <w:szCs w:val="24"/>
        </w:rPr>
        <w:t>.2014</w:t>
      </w:r>
      <w:r w:rsidRPr="004F5277">
        <w:rPr>
          <w:rFonts w:asciiTheme="minorHAnsi" w:hAnsiTheme="minorHAnsi" w:cs="Calibri"/>
          <w:sz w:val="24"/>
          <w:szCs w:val="24"/>
        </w:rPr>
        <w:tab/>
      </w:r>
      <w:r w:rsidR="00527DC7" w:rsidRPr="004F5277">
        <w:rPr>
          <w:rFonts w:asciiTheme="minorHAnsi" w:hAnsiTheme="minorHAnsi" w:cs="Calibri"/>
          <w:sz w:val="24"/>
          <w:szCs w:val="24"/>
        </w:rPr>
        <w:fldChar w:fldCharType="begin"/>
      </w:r>
      <w:r w:rsidR="00527DC7" w:rsidRPr="004F5277">
        <w:rPr>
          <w:rFonts w:asciiTheme="minorHAnsi" w:hAnsiTheme="minorHAnsi" w:cs="Calibri"/>
          <w:sz w:val="24"/>
          <w:szCs w:val="24"/>
        </w:rPr>
        <w:instrText>PAGE   \* MERGEFORMAT</w:instrText>
      </w:r>
      <w:r w:rsidR="00527DC7" w:rsidRPr="004F5277">
        <w:rPr>
          <w:rFonts w:asciiTheme="minorHAnsi" w:hAnsiTheme="minorHAnsi" w:cs="Calibri"/>
          <w:sz w:val="24"/>
          <w:szCs w:val="24"/>
        </w:rPr>
        <w:fldChar w:fldCharType="separate"/>
      </w:r>
      <w:r w:rsidR="00233E5D" w:rsidRPr="004F5277">
        <w:rPr>
          <w:rFonts w:asciiTheme="minorHAnsi" w:hAnsiTheme="minorHAnsi" w:cs="Calibri"/>
          <w:noProof/>
          <w:sz w:val="24"/>
          <w:szCs w:val="24"/>
        </w:rPr>
        <w:t>1</w:t>
      </w:r>
      <w:r w:rsidR="00527DC7" w:rsidRPr="004F5277">
        <w:rPr>
          <w:rFonts w:asciiTheme="minorHAnsi" w:hAnsiTheme="minorHAnsi" w:cs="Calibri"/>
          <w:sz w:val="24"/>
          <w:szCs w:val="24"/>
        </w:rPr>
        <w:fldChar w:fldCharType="end"/>
      </w:r>
      <w:r w:rsidR="00527DC7" w:rsidRPr="004F5277">
        <w:rPr>
          <w:rFonts w:asciiTheme="minorHAnsi" w:hAnsiTheme="minorHAnsi" w:cs="Calibri"/>
          <w:sz w:val="24"/>
          <w:szCs w:val="24"/>
        </w:rPr>
        <w:t xml:space="preserve"> (</w:t>
      </w:r>
      <w:r w:rsidR="008E5DB3" w:rsidRPr="004F5277">
        <w:rPr>
          <w:rFonts w:asciiTheme="minorHAnsi" w:hAnsiTheme="minorHAnsi" w:cs="Calibri"/>
          <w:sz w:val="24"/>
          <w:szCs w:val="24"/>
        </w:rPr>
        <w:t>2</w:t>
      </w:r>
      <w:r w:rsidR="00527DC7" w:rsidRPr="004F5277">
        <w:rPr>
          <w:rFonts w:asciiTheme="minorHAnsi" w:hAnsiTheme="minorHAnsi" w:cs="Calibri"/>
          <w:sz w:val="24"/>
          <w:szCs w:val="24"/>
        </w:rPr>
        <w:t>)</w:t>
      </w:r>
    </w:p>
    <w:p w:rsidR="00492473" w:rsidRPr="004F5277" w:rsidRDefault="00492473" w:rsidP="00B35FCC">
      <w:pPr>
        <w:tabs>
          <w:tab w:val="left" w:pos="1134"/>
          <w:tab w:val="left" w:pos="1701"/>
          <w:tab w:val="left" w:pos="6521"/>
          <w:tab w:val="right" w:pos="9639"/>
        </w:tabs>
        <w:rPr>
          <w:rFonts w:asciiTheme="minorHAnsi" w:hAnsiTheme="minorHAnsi"/>
          <w:sz w:val="24"/>
          <w:szCs w:val="24"/>
        </w:rPr>
      </w:pPr>
    </w:p>
    <w:p w:rsidR="00534913" w:rsidRPr="004F5277" w:rsidRDefault="00534913" w:rsidP="00B35FCC">
      <w:pPr>
        <w:tabs>
          <w:tab w:val="left" w:pos="1134"/>
          <w:tab w:val="left" w:pos="1701"/>
          <w:tab w:val="left" w:pos="6521"/>
          <w:tab w:val="right" w:pos="9639"/>
        </w:tabs>
        <w:rPr>
          <w:rFonts w:asciiTheme="minorHAnsi" w:hAnsiTheme="minorHAnsi"/>
          <w:sz w:val="24"/>
          <w:szCs w:val="24"/>
        </w:rPr>
      </w:pPr>
    </w:p>
    <w:p w:rsidR="000C5C4B" w:rsidRPr="004F5277" w:rsidRDefault="00B31867" w:rsidP="00B35FCC">
      <w:pPr>
        <w:tabs>
          <w:tab w:val="left" w:pos="1134"/>
          <w:tab w:val="left" w:pos="1701"/>
          <w:tab w:val="left" w:pos="6521"/>
          <w:tab w:val="right" w:pos="9639"/>
        </w:tabs>
        <w:rPr>
          <w:rFonts w:asciiTheme="minorHAnsi" w:hAnsiTheme="minorHAnsi" w:cs="Calibri"/>
          <w:sz w:val="24"/>
          <w:szCs w:val="24"/>
        </w:rPr>
      </w:pPr>
      <w:hyperlink r:id="rId8" w:history="1">
        <w:r w:rsidR="000C5C4B" w:rsidRPr="004F5277">
          <w:rPr>
            <w:rStyle w:val="Hyperlinkki"/>
            <w:rFonts w:asciiTheme="minorHAnsi" w:hAnsiTheme="minorHAnsi" w:cs="Calibri"/>
            <w:sz w:val="24"/>
            <w:szCs w:val="24"/>
          </w:rPr>
          <w:t>oikeusministerio@om.fi</w:t>
        </w:r>
      </w:hyperlink>
    </w:p>
    <w:p w:rsidR="004F5277" w:rsidRDefault="00B31867" w:rsidP="00B35FCC">
      <w:pPr>
        <w:tabs>
          <w:tab w:val="left" w:pos="1134"/>
          <w:tab w:val="left" w:pos="1701"/>
          <w:tab w:val="left" w:pos="6521"/>
          <w:tab w:val="right" w:pos="9639"/>
        </w:tabs>
        <w:rPr>
          <w:rFonts w:asciiTheme="minorHAnsi" w:hAnsiTheme="minorHAnsi"/>
          <w:sz w:val="24"/>
          <w:szCs w:val="24"/>
        </w:rPr>
      </w:pPr>
      <w:hyperlink r:id="rId9" w:history="1">
        <w:r w:rsidR="004F5277" w:rsidRPr="00226471">
          <w:rPr>
            <w:rStyle w:val="Hyperlinkki"/>
            <w:rFonts w:asciiTheme="minorHAnsi" w:hAnsiTheme="minorHAnsi" w:cs="CG Times"/>
            <w:sz w:val="24"/>
            <w:szCs w:val="24"/>
          </w:rPr>
          <w:t>lauri.rautio@om.fi</w:t>
        </w:r>
      </w:hyperlink>
    </w:p>
    <w:p w:rsidR="009E6E29" w:rsidRPr="004F5277" w:rsidRDefault="00B31867" w:rsidP="00B35FCC">
      <w:pPr>
        <w:tabs>
          <w:tab w:val="left" w:pos="1134"/>
          <w:tab w:val="left" w:pos="1701"/>
          <w:tab w:val="left" w:pos="6521"/>
          <w:tab w:val="right" w:pos="9639"/>
        </w:tabs>
        <w:rPr>
          <w:rFonts w:asciiTheme="minorHAnsi" w:hAnsiTheme="minorHAnsi"/>
          <w:sz w:val="24"/>
          <w:szCs w:val="24"/>
        </w:rPr>
      </w:pPr>
      <w:hyperlink r:id="rId10" w:history="1"/>
    </w:p>
    <w:p w:rsidR="00492473" w:rsidRPr="004F5277" w:rsidRDefault="00492473" w:rsidP="00B35FCC">
      <w:pPr>
        <w:tabs>
          <w:tab w:val="left" w:pos="1134"/>
          <w:tab w:val="left" w:pos="1701"/>
          <w:tab w:val="left" w:pos="6521"/>
          <w:tab w:val="right" w:pos="9639"/>
        </w:tabs>
        <w:rPr>
          <w:rFonts w:asciiTheme="minorHAnsi" w:hAnsiTheme="minorHAnsi"/>
          <w:sz w:val="24"/>
          <w:szCs w:val="24"/>
        </w:rPr>
      </w:pPr>
    </w:p>
    <w:p w:rsidR="004F5277" w:rsidRPr="004F5277" w:rsidRDefault="004F5277" w:rsidP="004F5277">
      <w:pPr>
        <w:tabs>
          <w:tab w:val="left" w:pos="1134"/>
          <w:tab w:val="left" w:pos="1701"/>
          <w:tab w:val="left" w:pos="6521"/>
          <w:tab w:val="right" w:pos="9639"/>
        </w:tabs>
        <w:rPr>
          <w:rFonts w:asciiTheme="minorHAnsi" w:hAnsiTheme="minorHAnsi" w:cs="Calibri"/>
          <w:sz w:val="24"/>
          <w:szCs w:val="24"/>
        </w:rPr>
      </w:pPr>
      <w:r w:rsidRPr="004F5277">
        <w:rPr>
          <w:rFonts w:asciiTheme="minorHAnsi" w:hAnsiTheme="minorHAnsi" w:cs="Calibri"/>
          <w:sz w:val="24"/>
          <w:szCs w:val="24"/>
        </w:rPr>
        <w:t>Lausuntopyyntönne: OM 8/41/2014, 24.3.2014</w:t>
      </w:r>
    </w:p>
    <w:p w:rsidR="00534913" w:rsidRPr="004F5277" w:rsidRDefault="004F5277" w:rsidP="004F5277">
      <w:pPr>
        <w:tabs>
          <w:tab w:val="left" w:pos="1134"/>
          <w:tab w:val="left" w:pos="1701"/>
          <w:tab w:val="left" w:pos="6521"/>
          <w:tab w:val="right" w:pos="9639"/>
        </w:tabs>
        <w:rPr>
          <w:rFonts w:asciiTheme="minorHAnsi" w:hAnsiTheme="minorHAnsi" w:cs="Calibri"/>
          <w:smallCaps/>
          <w:sz w:val="24"/>
          <w:szCs w:val="24"/>
        </w:rPr>
      </w:pPr>
      <w:r w:rsidRPr="004F5277">
        <w:rPr>
          <w:rFonts w:asciiTheme="minorHAnsi" w:hAnsiTheme="minorHAnsi" w:cs="Calibri"/>
          <w:sz w:val="24"/>
          <w:szCs w:val="24"/>
        </w:rPr>
        <w:t>LIIKETOIMINTAKIELLON TEHOSTAMISTA KOSKEVA ARVIOMUISTIO</w:t>
      </w:r>
    </w:p>
    <w:p w:rsidR="009E6E29" w:rsidRPr="004F5277" w:rsidRDefault="009E6E29" w:rsidP="00B35FCC">
      <w:pPr>
        <w:tabs>
          <w:tab w:val="left" w:pos="1134"/>
          <w:tab w:val="left" w:pos="1701"/>
          <w:tab w:val="left" w:pos="6521"/>
          <w:tab w:val="right" w:pos="9639"/>
        </w:tabs>
        <w:rPr>
          <w:rFonts w:asciiTheme="minorHAnsi" w:hAnsiTheme="minorHAnsi" w:cs="Calibri"/>
          <w:smallCaps/>
          <w:sz w:val="24"/>
          <w:szCs w:val="24"/>
        </w:rPr>
      </w:pPr>
    </w:p>
    <w:p w:rsidR="004F5277" w:rsidRPr="004F5277" w:rsidRDefault="004F5277" w:rsidP="004F5277">
      <w:pPr>
        <w:tabs>
          <w:tab w:val="left" w:pos="1134"/>
          <w:tab w:val="left" w:pos="1701"/>
          <w:tab w:val="left" w:pos="6521"/>
          <w:tab w:val="right" w:pos="9639"/>
        </w:tabs>
        <w:ind w:left="1134"/>
        <w:rPr>
          <w:rFonts w:asciiTheme="minorHAnsi" w:hAnsiTheme="minorHAnsi" w:cs="Calibri"/>
          <w:sz w:val="24"/>
          <w:szCs w:val="24"/>
        </w:rPr>
      </w:pPr>
      <w:r w:rsidRPr="004F5277">
        <w:rPr>
          <w:rFonts w:asciiTheme="minorHAnsi" w:hAnsiTheme="minorHAnsi" w:cs="Calibri"/>
          <w:sz w:val="24"/>
          <w:szCs w:val="24"/>
        </w:rPr>
        <w:t xml:space="preserve">Suomen Asianajajaliitolta (jäljempänä </w:t>
      </w:r>
      <w:r>
        <w:rPr>
          <w:rFonts w:asciiTheme="minorHAnsi" w:hAnsiTheme="minorHAnsi" w:cs="Calibri"/>
          <w:sz w:val="24"/>
          <w:szCs w:val="24"/>
        </w:rPr>
        <w:t>”</w:t>
      </w:r>
      <w:r w:rsidRPr="004F5277">
        <w:rPr>
          <w:rFonts w:asciiTheme="minorHAnsi" w:hAnsiTheme="minorHAnsi" w:cs="Calibri"/>
          <w:sz w:val="24"/>
          <w:szCs w:val="24"/>
        </w:rPr>
        <w:t>Asianajajaliitto</w:t>
      </w:r>
      <w:r>
        <w:rPr>
          <w:rFonts w:asciiTheme="minorHAnsi" w:hAnsiTheme="minorHAnsi" w:cs="Calibri"/>
          <w:sz w:val="24"/>
          <w:szCs w:val="24"/>
        </w:rPr>
        <w:t>”</w:t>
      </w:r>
      <w:r w:rsidRPr="004F5277">
        <w:rPr>
          <w:rFonts w:asciiTheme="minorHAnsi" w:hAnsiTheme="minorHAnsi" w:cs="Calibri"/>
          <w:sz w:val="24"/>
          <w:szCs w:val="24"/>
        </w:rPr>
        <w:t>) on pyydetty lausuntoa virkamiestyönä laaditusta arviomuistiosta liiketoimintakiellon tehostamista koskien.</w:t>
      </w:r>
    </w:p>
    <w:p w:rsidR="004F5277" w:rsidRPr="004F5277" w:rsidRDefault="004F5277" w:rsidP="004F5277">
      <w:pPr>
        <w:tabs>
          <w:tab w:val="left" w:pos="1134"/>
          <w:tab w:val="left" w:pos="1701"/>
          <w:tab w:val="left" w:pos="6521"/>
          <w:tab w:val="right" w:pos="9639"/>
        </w:tabs>
        <w:ind w:left="1134"/>
        <w:rPr>
          <w:rFonts w:asciiTheme="minorHAnsi" w:hAnsiTheme="minorHAnsi" w:cs="Calibri"/>
          <w:sz w:val="24"/>
          <w:szCs w:val="24"/>
        </w:rPr>
      </w:pPr>
    </w:p>
    <w:p w:rsidR="004F5277" w:rsidRPr="004F5277" w:rsidRDefault="004F5277" w:rsidP="004F5277">
      <w:pPr>
        <w:tabs>
          <w:tab w:val="left" w:pos="1134"/>
          <w:tab w:val="left" w:pos="1701"/>
          <w:tab w:val="left" w:pos="6521"/>
          <w:tab w:val="right" w:pos="9639"/>
        </w:tabs>
        <w:ind w:left="1134"/>
        <w:rPr>
          <w:rFonts w:asciiTheme="minorHAnsi" w:hAnsiTheme="minorHAnsi" w:cs="Calibri"/>
          <w:sz w:val="24"/>
          <w:szCs w:val="24"/>
        </w:rPr>
      </w:pPr>
      <w:r w:rsidRPr="004F5277">
        <w:rPr>
          <w:rFonts w:asciiTheme="minorHAnsi" w:hAnsiTheme="minorHAnsi" w:cs="Calibri"/>
          <w:sz w:val="24"/>
          <w:szCs w:val="24"/>
        </w:rPr>
        <w:t>Asianajajaliitto katsoo, että muistiossa esitetyissä näkökohdissa on varsin asianmukaisesti pyritty huolehtimaan oikeusturvatakeiden toteutumisesta.</w:t>
      </w:r>
    </w:p>
    <w:p w:rsidR="004F5277" w:rsidRPr="004F5277" w:rsidRDefault="004F5277" w:rsidP="004F5277">
      <w:pPr>
        <w:tabs>
          <w:tab w:val="left" w:pos="1134"/>
          <w:tab w:val="left" w:pos="1701"/>
          <w:tab w:val="left" w:pos="6521"/>
          <w:tab w:val="right" w:pos="9639"/>
        </w:tabs>
        <w:ind w:left="1134"/>
        <w:rPr>
          <w:rFonts w:asciiTheme="minorHAnsi" w:hAnsiTheme="minorHAnsi" w:cs="Calibri"/>
          <w:sz w:val="24"/>
          <w:szCs w:val="24"/>
        </w:rPr>
      </w:pPr>
    </w:p>
    <w:p w:rsidR="004F5277" w:rsidRPr="004F5277" w:rsidRDefault="004F5277" w:rsidP="004F5277">
      <w:pPr>
        <w:tabs>
          <w:tab w:val="left" w:pos="1134"/>
          <w:tab w:val="left" w:pos="1701"/>
          <w:tab w:val="left" w:pos="6521"/>
          <w:tab w:val="right" w:pos="9639"/>
        </w:tabs>
        <w:ind w:left="1134"/>
        <w:rPr>
          <w:rFonts w:asciiTheme="minorHAnsi" w:hAnsiTheme="minorHAnsi" w:cs="Calibri"/>
          <w:sz w:val="24"/>
          <w:szCs w:val="24"/>
        </w:rPr>
      </w:pPr>
      <w:r w:rsidRPr="004F5277">
        <w:rPr>
          <w:rFonts w:asciiTheme="minorHAnsi" w:hAnsiTheme="minorHAnsi" w:cs="Calibri"/>
          <w:sz w:val="24"/>
          <w:szCs w:val="24"/>
        </w:rPr>
        <w:t xml:space="preserve">Asianajajaliitto toteaa, kuten muistiossakin on todettu, että liiketoimintakiellon kohteena olevien henkilöiden henkilötietojen saattaminen julkiseen verkkolevitykseen on ristiriidassa sekä kansallisen lainsäädännön että Euroopan neuvoston tietosuojaa koskevan yleissopimuksen kanssa. </w:t>
      </w:r>
    </w:p>
    <w:p w:rsidR="004F5277" w:rsidRPr="004F5277" w:rsidRDefault="004F5277" w:rsidP="004F5277">
      <w:pPr>
        <w:tabs>
          <w:tab w:val="left" w:pos="1134"/>
          <w:tab w:val="left" w:pos="1701"/>
          <w:tab w:val="left" w:pos="6521"/>
          <w:tab w:val="right" w:pos="9639"/>
        </w:tabs>
        <w:ind w:left="1134"/>
        <w:rPr>
          <w:rFonts w:asciiTheme="minorHAnsi" w:hAnsiTheme="minorHAnsi" w:cs="Calibri"/>
          <w:sz w:val="24"/>
          <w:szCs w:val="24"/>
        </w:rPr>
      </w:pPr>
    </w:p>
    <w:p w:rsidR="004F5277" w:rsidRPr="004F5277" w:rsidRDefault="004F5277" w:rsidP="004F5277">
      <w:pPr>
        <w:tabs>
          <w:tab w:val="left" w:pos="1134"/>
          <w:tab w:val="left" w:pos="1701"/>
          <w:tab w:val="left" w:pos="6521"/>
          <w:tab w:val="right" w:pos="9639"/>
        </w:tabs>
        <w:ind w:left="1134"/>
        <w:rPr>
          <w:rFonts w:asciiTheme="minorHAnsi" w:hAnsiTheme="minorHAnsi" w:cs="Calibri"/>
          <w:sz w:val="24"/>
          <w:szCs w:val="24"/>
        </w:rPr>
      </w:pPr>
      <w:r w:rsidRPr="004F5277">
        <w:rPr>
          <w:rFonts w:asciiTheme="minorHAnsi" w:hAnsiTheme="minorHAnsi" w:cs="Calibri"/>
          <w:sz w:val="24"/>
          <w:szCs w:val="24"/>
        </w:rPr>
        <w:t xml:space="preserve">Kuten muistiossa todetaan, henkilötunnuksia ei voida luovuttaa julkiseen verkkoon ja yksilöimättömän tiedon julkaiseminen ei palvele liiketoimintakiellon tarkoitusta. Asianajajaliitto toteaa, että nykyiseen käytäntöön liittyvä kiellon julkaiseminen mm. Kauppalehdessä on riittävä. </w:t>
      </w:r>
    </w:p>
    <w:p w:rsidR="004F5277" w:rsidRPr="004F5277" w:rsidRDefault="004F5277" w:rsidP="004F5277">
      <w:pPr>
        <w:tabs>
          <w:tab w:val="left" w:pos="1134"/>
          <w:tab w:val="left" w:pos="1701"/>
          <w:tab w:val="left" w:pos="6521"/>
          <w:tab w:val="right" w:pos="9639"/>
        </w:tabs>
        <w:ind w:left="1134"/>
        <w:rPr>
          <w:rFonts w:asciiTheme="minorHAnsi" w:hAnsiTheme="minorHAnsi" w:cs="Calibri"/>
          <w:sz w:val="24"/>
          <w:szCs w:val="24"/>
        </w:rPr>
      </w:pPr>
    </w:p>
    <w:p w:rsidR="004F5277" w:rsidRPr="004F5277" w:rsidRDefault="004F5277" w:rsidP="004F5277">
      <w:pPr>
        <w:tabs>
          <w:tab w:val="left" w:pos="1134"/>
          <w:tab w:val="left" w:pos="1701"/>
          <w:tab w:val="left" w:pos="6521"/>
          <w:tab w:val="right" w:pos="9639"/>
        </w:tabs>
        <w:ind w:left="1134"/>
        <w:rPr>
          <w:rFonts w:asciiTheme="minorHAnsi" w:hAnsiTheme="minorHAnsi" w:cs="Calibri"/>
          <w:sz w:val="24"/>
          <w:szCs w:val="24"/>
        </w:rPr>
      </w:pPr>
      <w:r w:rsidRPr="004F5277">
        <w:rPr>
          <w:rFonts w:asciiTheme="minorHAnsi" w:hAnsiTheme="minorHAnsi" w:cs="Calibri"/>
          <w:sz w:val="24"/>
          <w:szCs w:val="24"/>
        </w:rPr>
        <w:t>Asianajajaliitto yhtyy siten arviomuistiossa esitettyihin johtopäätöksiin, joiden mukaan julkaisemisen osalta ei ole syytä laajentaa nykykäytäntöä.</w:t>
      </w:r>
    </w:p>
    <w:p w:rsidR="004F5277" w:rsidRPr="004F5277" w:rsidRDefault="004F5277" w:rsidP="004F5277">
      <w:pPr>
        <w:tabs>
          <w:tab w:val="left" w:pos="1134"/>
          <w:tab w:val="left" w:pos="1701"/>
          <w:tab w:val="left" w:pos="6521"/>
          <w:tab w:val="right" w:pos="9639"/>
        </w:tabs>
        <w:ind w:left="1134"/>
        <w:rPr>
          <w:rFonts w:asciiTheme="minorHAnsi" w:hAnsiTheme="minorHAnsi" w:cs="Calibri"/>
          <w:sz w:val="24"/>
          <w:szCs w:val="24"/>
        </w:rPr>
      </w:pPr>
    </w:p>
    <w:p w:rsidR="004F5277" w:rsidRDefault="004F5277" w:rsidP="004F5277">
      <w:pPr>
        <w:tabs>
          <w:tab w:val="left" w:pos="1134"/>
          <w:tab w:val="left" w:pos="1701"/>
          <w:tab w:val="left" w:pos="6521"/>
          <w:tab w:val="right" w:pos="9639"/>
        </w:tabs>
        <w:ind w:left="1134"/>
        <w:rPr>
          <w:rFonts w:asciiTheme="minorHAnsi" w:hAnsiTheme="minorHAnsi" w:cs="Calibri"/>
          <w:sz w:val="24"/>
          <w:szCs w:val="24"/>
        </w:rPr>
      </w:pPr>
      <w:r w:rsidRPr="004F5277">
        <w:rPr>
          <w:rFonts w:asciiTheme="minorHAnsi" w:hAnsiTheme="minorHAnsi" w:cs="Calibri"/>
          <w:sz w:val="24"/>
          <w:szCs w:val="24"/>
        </w:rPr>
        <w:t>Muiden muistiossa esitettyjen, jatkovalmisteluun liittyvien kannanottojen osalta, Asianajajaliitto lausuu seuraavaa:</w:t>
      </w:r>
    </w:p>
    <w:p w:rsidR="004F5277" w:rsidRPr="004F5277" w:rsidRDefault="004F5277" w:rsidP="004F5277">
      <w:pPr>
        <w:pStyle w:val="Luettelokappale"/>
        <w:numPr>
          <w:ilvl w:val="0"/>
          <w:numId w:val="2"/>
        </w:numPr>
        <w:tabs>
          <w:tab w:val="left" w:pos="1134"/>
          <w:tab w:val="left" w:pos="1701"/>
          <w:tab w:val="left" w:pos="6521"/>
          <w:tab w:val="right" w:pos="9639"/>
        </w:tabs>
        <w:rPr>
          <w:rFonts w:asciiTheme="minorHAnsi" w:hAnsiTheme="minorHAnsi" w:cs="Calibri"/>
          <w:sz w:val="24"/>
          <w:szCs w:val="24"/>
        </w:rPr>
      </w:pPr>
      <w:r w:rsidRPr="004F5277">
        <w:rPr>
          <w:rFonts w:asciiTheme="minorHAnsi" w:hAnsiTheme="minorHAnsi" w:cs="Calibri"/>
          <w:sz w:val="24"/>
          <w:szCs w:val="24"/>
        </w:rPr>
        <w:t xml:space="preserve">Asianajajaliitolla ei ole huomautettavaa kohdassa 4.2 esitettyyn näkemykseen muiden esitutkintaviranomaisten tiedonsaannista sekä tutkintaoikeuden laajentamisesta muihin esitutkintaviranomaisiin, </w:t>
      </w:r>
    </w:p>
    <w:p w:rsidR="004F5277" w:rsidRPr="004F5277" w:rsidRDefault="004F5277" w:rsidP="004F5277">
      <w:pPr>
        <w:pStyle w:val="Luettelokappale"/>
        <w:numPr>
          <w:ilvl w:val="0"/>
          <w:numId w:val="2"/>
        </w:numPr>
        <w:tabs>
          <w:tab w:val="left" w:pos="1134"/>
          <w:tab w:val="left" w:pos="1701"/>
          <w:tab w:val="left" w:pos="6521"/>
          <w:tab w:val="right" w:pos="9639"/>
        </w:tabs>
        <w:rPr>
          <w:rFonts w:asciiTheme="minorHAnsi" w:hAnsiTheme="minorHAnsi" w:cs="Calibri"/>
          <w:sz w:val="24"/>
          <w:szCs w:val="24"/>
        </w:rPr>
      </w:pPr>
      <w:r w:rsidRPr="004F5277">
        <w:rPr>
          <w:rFonts w:asciiTheme="minorHAnsi" w:hAnsiTheme="minorHAnsi" w:cs="Calibri"/>
          <w:sz w:val="24"/>
          <w:szCs w:val="24"/>
        </w:rPr>
        <w:t xml:space="preserve">sen sijaan esitutkintaviranomaisille asetettavaksi ehdotettua velvoitetta käynnistää liiketoimintakiellon edellytysten tutkinta muun kuin syyttäjän pyynnöstä Asianajajaliitto pitää tarkoituksettomana ja jopa haitallisena. </w:t>
      </w:r>
    </w:p>
    <w:p w:rsidR="004F5277" w:rsidRDefault="004F5277" w:rsidP="00DA33C7">
      <w:pPr>
        <w:tabs>
          <w:tab w:val="left" w:pos="1134"/>
          <w:tab w:val="left" w:pos="1701"/>
          <w:tab w:val="left" w:pos="6521"/>
          <w:tab w:val="right" w:pos="9639"/>
        </w:tabs>
        <w:ind w:left="2061"/>
        <w:rPr>
          <w:rFonts w:asciiTheme="minorHAnsi" w:hAnsiTheme="minorHAnsi" w:cs="Calibri"/>
          <w:sz w:val="24"/>
          <w:szCs w:val="24"/>
        </w:rPr>
      </w:pPr>
      <w:r w:rsidRPr="00DA33C7">
        <w:rPr>
          <w:rFonts w:asciiTheme="minorHAnsi" w:hAnsiTheme="minorHAnsi" w:cs="Calibri"/>
          <w:sz w:val="24"/>
          <w:szCs w:val="24"/>
        </w:rPr>
        <w:t xml:space="preserve">Liiketoimintakiellon määrää yleinen alioikeus syyttäjän vaatimuksesta myös silloin, kun kysymys on muun kuin rikoksen johdosta määrättävästä liiketoimintakiellosta tai väliaikaisesta liiketoimintakiellosta. Syyttäjällä tulisi siten olla yksinomainen oikeus päättää tutkinnan käynnistämisestä. Vuonna 2014 voimaan tulleen esitutkintalain esitöissä ja lainvalmisteluun liittyvissä </w:t>
      </w:r>
      <w:r w:rsidRPr="00DA33C7">
        <w:rPr>
          <w:rFonts w:asciiTheme="minorHAnsi" w:hAnsiTheme="minorHAnsi" w:cs="Calibri"/>
          <w:sz w:val="24"/>
          <w:szCs w:val="24"/>
        </w:rPr>
        <w:lastRenderedPageBreak/>
        <w:t xml:space="preserve">lausunnoissa on painotettu syyttäjän ja esitutkintaviranomaisten yhteistyön kehittämisen tärkeyttä. Ehdotus olisi esitetyssä muodossa ristiriidassa myös mainitun tavoitteen kanssa. </w:t>
      </w:r>
    </w:p>
    <w:p w:rsidR="00DA33C7" w:rsidRPr="00DA33C7" w:rsidRDefault="00DA33C7" w:rsidP="00DA33C7">
      <w:pPr>
        <w:tabs>
          <w:tab w:val="left" w:pos="1134"/>
          <w:tab w:val="left" w:pos="1701"/>
          <w:tab w:val="left" w:pos="6521"/>
          <w:tab w:val="right" w:pos="9639"/>
        </w:tabs>
        <w:ind w:left="2061"/>
        <w:rPr>
          <w:rFonts w:asciiTheme="minorHAnsi" w:hAnsiTheme="minorHAnsi" w:cs="Calibri"/>
          <w:sz w:val="24"/>
          <w:szCs w:val="24"/>
        </w:rPr>
      </w:pPr>
    </w:p>
    <w:p w:rsidR="004F5277" w:rsidRDefault="004F5277" w:rsidP="00DA33C7">
      <w:pPr>
        <w:tabs>
          <w:tab w:val="left" w:pos="1134"/>
          <w:tab w:val="left" w:pos="1701"/>
          <w:tab w:val="left" w:pos="6521"/>
          <w:tab w:val="right" w:pos="9639"/>
        </w:tabs>
        <w:ind w:left="1134"/>
        <w:rPr>
          <w:rFonts w:asciiTheme="minorHAnsi" w:hAnsiTheme="minorHAnsi" w:cs="Calibri"/>
          <w:sz w:val="24"/>
          <w:szCs w:val="24"/>
        </w:rPr>
      </w:pPr>
      <w:r w:rsidRPr="00DA33C7">
        <w:rPr>
          <w:rFonts w:asciiTheme="minorHAnsi" w:hAnsiTheme="minorHAnsi" w:cs="Calibri"/>
          <w:sz w:val="24"/>
          <w:szCs w:val="24"/>
        </w:rPr>
        <w:t xml:space="preserve">Asianajajaliitolla ei sinänsä ole huomautettavaa muistion kohdissa 4.3 ja 4.4 esitettyyn. Asianajajaliitto pitää tärkeänä, viitaten muistiossakin esiin tuotuun, että asian jatkovalmistelussa turvataan </w:t>
      </w:r>
      <w:proofErr w:type="spellStart"/>
      <w:r w:rsidRPr="00DA33C7">
        <w:rPr>
          <w:rFonts w:asciiTheme="minorHAnsi" w:hAnsiTheme="minorHAnsi" w:cs="Calibri"/>
          <w:sz w:val="24"/>
          <w:szCs w:val="24"/>
        </w:rPr>
        <w:t>itsekriminointisuojan</w:t>
      </w:r>
      <w:proofErr w:type="spellEnd"/>
      <w:r w:rsidRPr="00DA33C7">
        <w:rPr>
          <w:rFonts w:asciiTheme="minorHAnsi" w:hAnsiTheme="minorHAnsi" w:cs="Calibri"/>
          <w:sz w:val="24"/>
          <w:szCs w:val="24"/>
        </w:rPr>
        <w:t xml:space="preserve"> toteutuminen myös liiketoimintakieltoasioissa.</w:t>
      </w:r>
    </w:p>
    <w:p w:rsidR="004F5277" w:rsidRPr="004F5277" w:rsidRDefault="004F5277" w:rsidP="004F5277">
      <w:pPr>
        <w:pStyle w:val="Luettelokappale"/>
        <w:numPr>
          <w:ilvl w:val="0"/>
          <w:numId w:val="1"/>
        </w:numPr>
        <w:tabs>
          <w:tab w:val="left" w:pos="1134"/>
          <w:tab w:val="left" w:pos="1701"/>
          <w:tab w:val="left" w:pos="6521"/>
          <w:tab w:val="right" w:pos="9639"/>
        </w:tabs>
        <w:rPr>
          <w:rFonts w:asciiTheme="minorHAnsi" w:hAnsiTheme="minorHAnsi" w:cs="Calibri"/>
          <w:sz w:val="24"/>
          <w:szCs w:val="24"/>
        </w:rPr>
      </w:pPr>
      <w:r w:rsidRPr="004F5277">
        <w:rPr>
          <w:rFonts w:asciiTheme="minorHAnsi" w:hAnsiTheme="minorHAnsi" w:cs="Calibri"/>
          <w:sz w:val="24"/>
          <w:szCs w:val="24"/>
        </w:rPr>
        <w:t>Asianajajaliitto katsoo kohdassa 4.5 esitettyyn viitaten, että esitys väliaikaisen liiketoimintakiellon pidentämisestä vuodesta kahteen vuoteen ei ole perusteltu. Kuten muistiossakin on todettu, väliaikaisen kiellon määräämiselle asetettu määräämiskynnys on merkittävästi alempi kuin varsinaisen liiketoimintakiellon. Ottaen huomioon väliaikaisesta kiellosta mahdollisesti aiheutuvat vahingot, ei kiellolle asetetun määräajan pidentämiselle ole perusteita. Asianajajaliitto katsoo päinvastoin, että epäillylle määrättyä väliaikaista liiketoimintakieltoa tulisi pitää peru</w:t>
      </w:r>
      <w:r>
        <w:rPr>
          <w:rFonts w:asciiTheme="minorHAnsi" w:hAnsiTheme="minorHAnsi" w:cs="Calibri"/>
          <w:sz w:val="24"/>
          <w:szCs w:val="24"/>
        </w:rPr>
        <w:t>steena asian kiirehtimiselle.</w:t>
      </w:r>
    </w:p>
    <w:p w:rsidR="004F5277" w:rsidRPr="004F5277" w:rsidRDefault="004F5277" w:rsidP="004F5277">
      <w:pPr>
        <w:tabs>
          <w:tab w:val="left" w:pos="1134"/>
          <w:tab w:val="left" w:pos="1701"/>
          <w:tab w:val="left" w:pos="6521"/>
          <w:tab w:val="right" w:pos="9639"/>
        </w:tabs>
        <w:ind w:left="1134"/>
        <w:rPr>
          <w:rFonts w:asciiTheme="minorHAnsi" w:hAnsiTheme="minorHAnsi" w:cs="Calibri"/>
          <w:sz w:val="24"/>
          <w:szCs w:val="24"/>
        </w:rPr>
      </w:pPr>
    </w:p>
    <w:p w:rsidR="004F5277" w:rsidRPr="004F5277" w:rsidRDefault="004F5277" w:rsidP="004F5277">
      <w:pPr>
        <w:tabs>
          <w:tab w:val="left" w:pos="1134"/>
          <w:tab w:val="left" w:pos="1701"/>
          <w:tab w:val="left" w:pos="6521"/>
          <w:tab w:val="right" w:pos="9639"/>
        </w:tabs>
        <w:ind w:left="1134"/>
        <w:rPr>
          <w:rFonts w:asciiTheme="minorHAnsi" w:hAnsiTheme="minorHAnsi" w:cs="Calibri"/>
          <w:sz w:val="24"/>
          <w:szCs w:val="24"/>
        </w:rPr>
      </w:pPr>
      <w:r w:rsidRPr="004F5277">
        <w:rPr>
          <w:rFonts w:asciiTheme="minorHAnsi" w:hAnsiTheme="minorHAnsi" w:cs="Calibri"/>
          <w:sz w:val="24"/>
          <w:szCs w:val="24"/>
        </w:rPr>
        <w:t>Suomen Asianajajaliitto pyytää saada lausua asiasta mahdollisen jatkovalmistelun edetessä.</w:t>
      </w:r>
    </w:p>
    <w:p w:rsidR="004F5277" w:rsidRPr="004F5277" w:rsidRDefault="004F5277" w:rsidP="004F5277">
      <w:pPr>
        <w:tabs>
          <w:tab w:val="left" w:pos="1134"/>
          <w:tab w:val="left" w:pos="1701"/>
          <w:tab w:val="left" w:pos="6521"/>
          <w:tab w:val="right" w:pos="9639"/>
        </w:tabs>
        <w:ind w:left="1134"/>
        <w:rPr>
          <w:rFonts w:asciiTheme="minorHAnsi" w:hAnsiTheme="minorHAnsi" w:cs="Calibri"/>
          <w:sz w:val="24"/>
          <w:szCs w:val="24"/>
        </w:rPr>
      </w:pPr>
    </w:p>
    <w:p w:rsidR="004F5277" w:rsidRPr="004F5277" w:rsidRDefault="004F5277" w:rsidP="004F5277">
      <w:pPr>
        <w:tabs>
          <w:tab w:val="left" w:pos="1134"/>
          <w:tab w:val="left" w:pos="1701"/>
          <w:tab w:val="left" w:pos="6521"/>
          <w:tab w:val="right" w:pos="9639"/>
        </w:tabs>
        <w:ind w:left="1134"/>
        <w:rPr>
          <w:rFonts w:asciiTheme="minorHAnsi" w:hAnsiTheme="minorHAnsi" w:cs="Calibri"/>
          <w:sz w:val="24"/>
          <w:szCs w:val="24"/>
        </w:rPr>
      </w:pPr>
    </w:p>
    <w:p w:rsidR="004F5277" w:rsidRPr="004F5277" w:rsidRDefault="004F5277" w:rsidP="004F5277">
      <w:pPr>
        <w:tabs>
          <w:tab w:val="left" w:pos="1134"/>
          <w:tab w:val="left" w:pos="1701"/>
          <w:tab w:val="left" w:pos="6521"/>
          <w:tab w:val="right" w:pos="9639"/>
        </w:tabs>
        <w:ind w:left="1134"/>
        <w:rPr>
          <w:rFonts w:asciiTheme="minorHAnsi" w:hAnsiTheme="minorHAnsi" w:cs="Calibri"/>
          <w:sz w:val="24"/>
          <w:szCs w:val="24"/>
        </w:rPr>
      </w:pPr>
      <w:r w:rsidRPr="004F5277">
        <w:rPr>
          <w:rFonts w:asciiTheme="minorHAnsi" w:hAnsiTheme="minorHAnsi" w:cs="Calibri"/>
          <w:sz w:val="24"/>
          <w:szCs w:val="24"/>
        </w:rPr>
        <w:t xml:space="preserve">Helsingissä 30. päivänä huhtikuuta, 2014 </w:t>
      </w:r>
    </w:p>
    <w:p w:rsidR="004F5277" w:rsidRPr="004F5277" w:rsidRDefault="004F5277" w:rsidP="004F5277">
      <w:pPr>
        <w:tabs>
          <w:tab w:val="left" w:pos="1134"/>
          <w:tab w:val="left" w:pos="1701"/>
          <w:tab w:val="left" w:pos="6521"/>
          <w:tab w:val="right" w:pos="9639"/>
        </w:tabs>
        <w:ind w:left="1134"/>
        <w:rPr>
          <w:rFonts w:asciiTheme="minorHAnsi" w:hAnsiTheme="minorHAnsi" w:cs="Calibri"/>
          <w:sz w:val="24"/>
          <w:szCs w:val="24"/>
        </w:rPr>
      </w:pPr>
    </w:p>
    <w:p w:rsidR="004F5277" w:rsidRPr="004F5277" w:rsidRDefault="004F5277" w:rsidP="004F5277">
      <w:pPr>
        <w:tabs>
          <w:tab w:val="left" w:pos="1134"/>
          <w:tab w:val="left" w:pos="1701"/>
          <w:tab w:val="left" w:pos="6521"/>
          <w:tab w:val="right" w:pos="9639"/>
        </w:tabs>
        <w:ind w:left="1134"/>
        <w:rPr>
          <w:rFonts w:asciiTheme="minorHAnsi" w:hAnsiTheme="minorHAnsi" w:cs="Calibri"/>
          <w:sz w:val="24"/>
          <w:szCs w:val="24"/>
        </w:rPr>
      </w:pPr>
    </w:p>
    <w:p w:rsidR="004F5277" w:rsidRPr="004F5277" w:rsidRDefault="004F5277" w:rsidP="004F5277">
      <w:pPr>
        <w:tabs>
          <w:tab w:val="left" w:pos="1134"/>
          <w:tab w:val="left" w:pos="1701"/>
          <w:tab w:val="center" w:pos="5386"/>
        </w:tabs>
        <w:ind w:left="1134"/>
        <w:rPr>
          <w:rFonts w:asciiTheme="minorHAnsi" w:hAnsiTheme="minorHAnsi" w:cs="Calibri"/>
          <w:sz w:val="24"/>
          <w:szCs w:val="24"/>
        </w:rPr>
      </w:pPr>
      <w:r w:rsidRPr="004F5277">
        <w:rPr>
          <w:rFonts w:asciiTheme="minorHAnsi" w:hAnsiTheme="minorHAnsi" w:cs="Calibri"/>
          <w:sz w:val="24"/>
          <w:szCs w:val="24"/>
        </w:rPr>
        <w:t>SUOMEN ASIANAJAJALIITTO</w:t>
      </w:r>
    </w:p>
    <w:p w:rsidR="004F5277" w:rsidRPr="004F5277" w:rsidRDefault="004F5277" w:rsidP="004F5277">
      <w:pPr>
        <w:tabs>
          <w:tab w:val="left" w:pos="1134"/>
          <w:tab w:val="left" w:pos="1701"/>
          <w:tab w:val="center" w:pos="5386"/>
        </w:tabs>
        <w:ind w:left="1134"/>
        <w:rPr>
          <w:rFonts w:asciiTheme="minorHAnsi" w:hAnsiTheme="minorHAnsi" w:cs="Calibri"/>
          <w:sz w:val="24"/>
          <w:szCs w:val="24"/>
        </w:rPr>
      </w:pPr>
      <w:r w:rsidRPr="004F5277">
        <w:rPr>
          <w:rFonts w:asciiTheme="minorHAnsi" w:hAnsiTheme="minorHAnsi" w:cs="Times New Roman"/>
          <w:noProof/>
          <w:sz w:val="24"/>
          <w:szCs w:val="24"/>
          <w:lang w:eastAsia="fi-FI"/>
        </w:rPr>
        <w:drawing>
          <wp:inline distT="0" distB="0" distL="0" distR="0" wp14:anchorId="1F482822" wp14:editId="2E386C2E">
            <wp:extent cx="3057525" cy="638175"/>
            <wp:effectExtent l="0" t="0" r="0" b="0"/>
            <wp:docPr id="3" name="Kuva 3" descr="Sipila_R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Sipila_Ris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638175"/>
                    </a:xfrm>
                    <a:prstGeom prst="rect">
                      <a:avLst/>
                    </a:prstGeom>
                    <a:noFill/>
                    <a:ln>
                      <a:noFill/>
                    </a:ln>
                  </pic:spPr>
                </pic:pic>
              </a:graphicData>
            </a:graphic>
          </wp:inline>
        </w:drawing>
      </w:r>
    </w:p>
    <w:p w:rsidR="004F5277" w:rsidRPr="004F5277" w:rsidRDefault="004F5277" w:rsidP="004F5277">
      <w:pPr>
        <w:tabs>
          <w:tab w:val="left" w:pos="1134"/>
          <w:tab w:val="left" w:pos="1701"/>
          <w:tab w:val="center" w:pos="5386"/>
        </w:tabs>
        <w:ind w:left="1134"/>
        <w:rPr>
          <w:rFonts w:asciiTheme="minorHAnsi" w:hAnsiTheme="minorHAnsi" w:cs="Calibri"/>
          <w:sz w:val="24"/>
          <w:szCs w:val="24"/>
        </w:rPr>
      </w:pPr>
    </w:p>
    <w:p w:rsidR="004F5277" w:rsidRPr="004F5277" w:rsidRDefault="004F5277" w:rsidP="004F5277">
      <w:pPr>
        <w:tabs>
          <w:tab w:val="left" w:pos="1134"/>
          <w:tab w:val="left" w:pos="1701"/>
          <w:tab w:val="center" w:pos="5386"/>
        </w:tabs>
        <w:ind w:left="1134"/>
        <w:rPr>
          <w:rFonts w:asciiTheme="minorHAnsi" w:hAnsiTheme="minorHAnsi" w:cs="Calibri"/>
          <w:sz w:val="24"/>
          <w:szCs w:val="24"/>
        </w:rPr>
      </w:pPr>
      <w:r w:rsidRPr="004F5277">
        <w:rPr>
          <w:rFonts w:asciiTheme="minorHAnsi" w:hAnsiTheme="minorHAnsi" w:cs="Calibri"/>
          <w:sz w:val="24"/>
          <w:szCs w:val="24"/>
        </w:rPr>
        <w:t>Risto Sipilä</w:t>
      </w:r>
    </w:p>
    <w:p w:rsidR="004F5277" w:rsidRPr="004F5277" w:rsidRDefault="004F5277" w:rsidP="004F5277">
      <w:pPr>
        <w:tabs>
          <w:tab w:val="left" w:pos="1134"/>
          <w:tab w:val="left" w:pos="1701"/>
          <w:tab w:val="center" w:pos="5386"/>
        </w:tabs>
        <w:ind w:left="1134"/>
        <w:rPr>
          <w:rFonts w:asciiTheme="minorHAnsi" w:hAnsiTheme="minorHAnsi" w:cs="Calibri"/>
          <w:sz w:val="24"/>
          <w:szCs w:val="24"/>
        </w:rPr>
      </w:pPr>
      <w:r w:rsidRPr="004F5277">
        <w:rPr>
          <w:rFonts w:asciiTheme="minorHAnsi" w:hAnsiTheme="minorHAnsi" w:cs="Calibri"/>
          <w:sz w:val="24"/>
          <w:szCs w:val="24"/>
        </w:rPr>
        <w:t>Suomen Asianajajaliiton puheenjohtaja, asianajaja</w:t>
      </w:r>
    </w:p>
    <w:p w:rsidR="004F5277" w:rsidRDefault="004F5277" w:rsidP="004F5277">
      <w:pPr>
        <w:tabs>
          <w:tab w:val="left" w:pos="1134"/>
          <w:tab w:val="left" w:pos="1701"/>
          <w:tab w:val="center" w:pos="5386"/>
        </w:tabs>
        <w:ind w:left="1134"/>
        <w:rPr>
          <w:rFonts w:asciiTheme="minorHAnsi" w:hAnsiTheme="minorHAnsi" w:cs="Calibri"/>
          <w:sz w:val="24"/>
          <w:szCs w:val="24"/>
        </w:rPr>
      </w:pPr>
    </w:p>
    <w:p w:rsidR="004F5277" w:rsidRPr="004F5277" w:rsidRDefault="004F5277" w:rsidP="004F5277">
      <w:pPr>
        <w:tabs>
          <w:tab w:val="left" w:pos="1134"/>
          <w:tab w:val="left" w:pos="1701"/>
          <w:tab w:val="center" w:pos="5386"/>
        </w:tabs>
        <w:ind w:left="1134"/>
        <w:rPr>
          <w:rFonts w:asciiTheme="minorHAnsi" w:hAnsiTheme="minorHAnsi" w:cs="Calibri"/>
          <w:sz w:val="24"/>
          <w:szCs w:val="24"/>
        </w:rPr>
      </w:pPr>
    </w:p>
    <w:p w:rsidR="004F5277" w:rsidRPr="004F5277" w:rsidRDefault="004F5277" w:rsidP="004F5277">
      <w:pPr>
        <w:tabs>
          <w:tab w:val="left" w:pos="1134"/>
          <w:tab w:val="left" w:pos="1701"/>
          <w:tab w:val="left" w:pos="6521"/>
          <w:tab w:val="right" w:pos="9639"/>
        </w:tabs>
        <w:rPr>
          <w:rFonts w:asciiTheme="minorHAnsi" w:hAnsiTheme="minorHAnsi" w:cs="Calibri"/>
          <w:sz w:val="24"/>
          <w:szCs w:val="24"/>
        </w:rPr>
      </w:pPr>
      <w:r w:rsidRPr="004F5277">
        <w:rPr>
          <w:rFonts w:asciiTheme="minorHAnsi" w:hAnsiTheme="minorHAnsi" w:cs="Times New Roman"/>
          <w:sz w:val="24"/>
          <w:szCs w:val="24"/>
        </w:rPr>
        <w:t>LAATI</w:t>
      </w:r>
    </w:p>
    <w:p w:rsidR="009E6E29" w:rsidRPr="004F5277" w:rsidRDefault="004F5277" w:rsidP="004F5277">
      <w:pPr>
        <w:tabs>
          <w:tab w:val="left" w:pos="1134"/>
          <w:tab w:val="left" w:pos="1701"/>
          <w:tab w:val="left" w:pos="6521"/>
          <w:tab w:val="right" w:pos="9639"/>
        </w:tabs>
        <w:ind w:left="1134"/>
        <w:rPr>
          <w:rFonts w:asciiTheme="minorHAnsi" w:hAnsiTheme="minorHAnsi" w:cs="Calibri"/>
          <w:sz w:val="24"/>
          <w:szCs w:val="24"/>
        </w:rPr>
      </w:pPr>
      <w:r w:rsidRPr="004F5277">
        <w:rPr>
          <w:rFonts w:asciiTheme="minorHAnsi" w:hAnsiTheme="minorHAnsi" w:cs="Calibri"/>
          <w:sz w:val="24"/>
          <w:szCs w:val="24"/>
        </w:rPr>
        <w:t xml:space="preserve">Asianajaja Pekka Ylikoski, Asianajotoimisto </w:t>
      </w:r>
      <w:proofErr w:type="spellStart"/>
      <w:r w:rsidRPr="004F5277">
        <w:rPr>
          <w:rFonts w:asciiTheme="minorHAnsi" w:hAnsiTheme="minorHAnsi" w:cs="Calibri"/>
          <w:sz w:val="24"/>
          <w:szCs w:val="24"/>
        </w:rPr>
        <w:t>Justitum</w:t>
      </w:r>
      <w:proofErr w:type="spellEnd"/>
      <w:r w:rsidRPr="004F5277">
        <w:rPr>
          <w:rFonts w:asciiTheme="minorHAnsi" w:hAnsiTheme="minorHAnsi" w:cs="Calibri"/>
          <w:sz w:val="24"/>
          <w:szCs w:val="24"/>
        </w:rPr>
        <w:t xml:space="preserve"> Oy, Helsinki</w:t>
      </w:r>
    </w:p>
    <w:p w:rsidR="009E6E29" w:rsidRPr="004F5277" w:rsidRDefault="009E6E29" w:rsidP="009E6E29">
      <w:pPr>
        <w:tabs>
          <w:tab w:val="left" w:pos="1134"/>
          <w:tab w:val="left" w:pos="1701"/>
          <w:tab w:val="left" w:pos="6521"/>
          <w:tab w:val="right" w:pos="9639"/>
        </w:tabs>
        <w:ind w:left="1134"/>
        <w:rPr>
          <w:rFonts w:asciiTheme="minorHAnsi" w:hAnsiTheme="minorHAnsi" w:cs="Calibri"/>
          <w:sz w:val="24"/>
          <w:szCs w:val="24"/>
        </w:rPr>
      </w:pPr>
    </w:p>
    <w:p w:rsidR="009E6E29" w:rsidRPr="004F5277" w:rsidRDefault="009E6E29" w:rsidP="009E6E29">
      <w:pPr>
        <w:tabs>
          <w:tab w:val="left" w:pos="1134"/>
          <w:tab w:val="left" w:pos="1701"/>
          <w:tab w:val="left" w:pos="6521"/>
          <w:tab w:val="right" w:pos="9639"/>
        </w:tabs>
        <w:ind w:left="1134"/>
        <w:rPr>
          <w:rFonts w:asciiTheme="minorHAnsi" w:hAnsiTheme="minorHAnsi" w:cs="Times New Roman"/>
          <w:i/>
          <w:sz w:val="24"/>
          <w:szCs w:val="24"/>
        </w:rPr>
      </w:pPr>
    </w:p>
    <w:p w:rsidR="00534913" w:rsidRPr="004F5277" w:rsidRDefault="009E6E29" w:rsidP="009E6E29">
      <w:pPr>
        <w:tabs>
          <w:tab w:val="left" w:pos="1134"/>
          <w:tab w:val="left" w:pos="1701"/>
          <w:tab w:val="left" w:pos="6521"/>
          <w:tab w:val="right" w:pos="9639"/>
        </w:tabs>
        <w:ind w:left="1134"/>
        <w:rPr>
          <w:rFonts w:asciiTheme="minorHAnsi" w:hAnsiTheme="minorHAnsi" w:cs="Times New Roman"/>
          <w:sz w:val="24"/>
          <w:szCs w:val="24"/>
        </w:rPr>
      </w:pPr>
      <w:r w:rsidRPr="004F5277">
        <w:rPr>
          <w:rFonts w:asciiTheme="minorHAnsi" w:hAnsiTheme="minorHAnsi" w:cs="Times New Roman"/>
          <w:i/>
          <w:sz w:val="24"/>
          <w:szCs w:val="24"/>
        </w:rPr>
        <w:t>Suomen Asianajajaliiton lausunnot valmistellaan oikeudellisissa asiantuntijaryhmissä, joiden toiminnassa on mukana noin 120 asianajajaa. Tämä lausunto on valmisteltu rikosoikeuden asiantuntijaryhmässä.</w:t>
      </w:r>
    </w:p>
    <w:sectPr w:rsidR="00534913" w:rsidRPr="004F5277" w:rsidSect="00534913">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2127" w:left="1134" w:header="397"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FD" w:rsidRDefault="005B30FD" w:rsidP="00787BB9">
      <w:r>
        <w:separator/>
      </w:r>
    </w:p>
    <w:p w:rsidR="005B30FD" w:rsidRDefault="005B30FD"/>
  </w:endnote>
  <w:endnote w:type="continuationSeparator" w:id="0">
    <w:p w:rsidR="005B30FD" w:rsidRDefault="005B30FD" w:rsidP="00787BB9">
      <w:r>
        <w:continuationSeparator/>
      </w:r>
    </w:p>
    <w:p w:rsidR="005B30FD" w:rsidRDefault="005B3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5D" w:rsidRDefault="00233E5D">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5D" w:rsidRDefault="00233E5D">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5D" w:rsidRDefault="00233E5D">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FD" w:rsidRDefault="005B30FD" w:rsidP="00787BB9">
      <w:r>
        <w:separator/>
      </w:r>
    </w:p>
    <w:p w:rsidR="005B30FD" w:rsidRDefault="005B30FD"/>
  </w:footnote>
  <w:footnote w:type="continuationSeparator" w:id="0">
    <w:p w:rsidR="005B30FD" w:rsidRDefault="005B30FD" w:rsidP="00787BB9">
      <w:r>
        <w:continuationSeparator/>
      </w:r>
    </w:p>
    <w:p w:rsidR="005B30FD" w:rsidRDefault="005B30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80" w:rsidRDefault="00636B80" w:rsidP="006427B9">
    <w:pPr>
      <w:pStyle w:val="Yltunniste"/>
      <w:framePr w:wrap="around" w:vAnchor="text" w:hAnchor="margin" w:xAlign="right" w:y="1"/>
      <w:rPr>
        <w:rStyle w:val="Sivunumero"/>
        <w:rFonts w:cs="CG Times"/>
      </w:rPr>
    </w:pPr>
    <w:r>
      <w:rPr>
        <w:rStyle w:val="Sivunumero"/>
        <w:rFonts w:cs="CG Times"/>
      </w:rPr>
      <w:fldChar w:fldCharType="begin"/>
    </w:r>
    <w:r>
      <w:rPr>
        <w:rStyle w:val="Sivunumero"/>
        <w:rFonts w:cs="CG Times"/>
      </w:rPr>
      <w:instrText xml:space="preserve">PAGE  </w:instrText>
    </w:r>
    <w:r>
      <w:rPr>
        <w:rStyle w:val="Sivunumero"/>
        <w:rFonts w:cs="CG Times"/>
      </w:rPr>
      <w:fldChar w:fldCharType="end"/>
    </w:r>
  </w:p>
  <w:p w:rsidR="00636B80" w:rsidRDefault="00636B80" w:rsidP="006427B9">
    <w:pPr>
      <w:pStyle w:val="Yltunniste"/>
      <w:ind w:right="360"/>
    </w:pPr>
  </w:p>
  <w:p w:rsidR="00411D1C" w:rsidRDefault="00411D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80" w:rsidRDefault="00636B80" w:rsidP="006427B9">
    <w:pPr>
      <w:pStyle w:val="Yltunniste"/>
      <w:framePr w:wrap="around" w:vAnchor="text" w:hAnchor="margin" w:xAlign="right" w:y="1"/>
      <w:rPr>
        <w:rStyle w:val="Sivunumero"/>
        <w:rFonts w:cs="CG Times"/>
      </w:rPr>
    </w:pPr>
    <w:r>
      <w:rPr>
        <w:rStyle w:val="Sivunumero"/>
        <w:rFonts w:cs="CG Times"/>
      </w:rPr>
      <w:fldChar w:fldCharType="begin"/>
    </w:r>
    <w:r>
      <w:rPr>
        <w:rStyle w:val="Sivunumero"/>
        <w:rFonts w:cs="CG Times"/>
      </w:rPr>
      <w:instrText xml:space="preserve">PAGE  </w:instrText>
    </w:r>
    <w:r>
      <w:rPr>
        <w:rStyle w:val="Sivunumero"/>
        <w:rFonts w:cs="CG Times"/>
      </w:rPr>
      <w:fldChar w:fldCharType="separate"/>
    </w:r>
    <w:r w:rsidR="00B31867">
      <w:rPr>
        <w:rStyle w:val="Sivunumero"/>
        <w:rFonts w:cs="CG Times"/>
        <w:noProof/>
      </w:rPr>
      <w:t>2</w:t>
    </w:r>
    <w:r>
      <w:rPr>
        <w:rStyle w:val="Sivunumero"/>
        <w:rFonts w:cs="CG Times"/>
      </w:rPr>
      <w:fldChar w:fldCharType="end"/>
    </w:r>
  </w:p>
  <w:p w:rsidR="00636B80" w:rsidRDefault="00636B80" w:rsidP="006427B9">
    <w:pPr>
      <w:pStyle w:val="Yltunniste"/>
      <w:ind w:right="360"/>
      <w:jc w:val="right"/>
      <w:rPr>
        <w:rStyle w:val="Sivunumero"/>
        <w:rFonts w:cs="CG Times"/>
      </w:rPr>
    </w:pPr>
  </w:p>
  <w:p w:rsidR="00411D1C" w:rsidRDefault="00411D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80" w:rsidRDefault="00636B80" w:rsidP="006427B9">
    <w:pPr>
      <w:pStyle w:val="Yltunniste"/>
      <w:tabs>
        <w:tab w:val="left" w:pos="6237"/>
      </w:tabs>
      <w:jc w:val="right"/>
    </w:pPr>
  </w:p>
  <w:p w:rsidR="00636B80" w:rsidRDefault="00EB354B" w:rsidP="006427B9">
    <w:pPr>
      <w:pStyle w:val="Yltunniste"/>
      <w:tabs>
        <w:tab w:val="left" w:pos="6237"/>
      </w:tabs>
      <w:jc w:val="right"/>
    </w:pPr>
    <w:r>
      <w:rPr>
        <w:noProof/>
        <w:lang w:eastAsia="fi-FI"/>
      </w:rPr>
      <w:drawing>
        <wp:inline distT="0" distB="0" distL="0" distR="0">
          <wp:extent cx="2047875" cy="457200"/>
          <wp:effectExtent l="0" t="0" r="0" b="0"/>
          <wp:docPr id="2"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817DE"/>
    <w:multiLevelType w:val="hybridMultilevel"/>
    <w:tmpl w:val="8FD0CA08"/>
    <w:lvl w:ilvl="0" w:tplc="D4AC7986">
      <w:numFmt w:val="bullet"/>
      <w:lvlText w:val="-"/>
      <w:lvlJc w:val="left"/>
      <w:pPr>
        <w:ind w:left="2061" w:hanging="360"/>
      </w:pPr>
      <w:rPr>
        <w:rFonts w:ascii="Calibri" w:eastAsia="Times New Roman" w:hAnsi="Calibri" w:cs="Calibri"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1">
    <w:nsid w:val="50D12A65"/>
    <w:multiLevelType w:val="hybridMultilevel"/>
    <w:tmpl w:val="94FC1AD8"/>
    <w:lvl w:ilvl="0" w:tplc="103C285C">
      <w:numFmt w:val="bullet"/>
      <w:lvlText w:val="-"/>
      <w:lvlJc w:val="left"/>
      <w:pPr>
        <w:ind w:left="2061" w:hanging="360"/>
      </w:pPr>
      <w:rPr>
        <w:rFonts w:ascii="Calibri" w:eastAsia="Times New Roman" w:hAnsi="Calibri" w:cs="Calibri"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BD"/>
    <w:rsid w:val="000113B6"/>
    <w:rsid w:val="00037A68"/>
    <w:rsid w:val="00053F23"/>
    <w:rsid w:val="000977AD"/>
    <w:rsid w:val="000B1D35"/>
    <w:rsid w:val="000C5C4B"/>
    <w:rsid w:val="000D7033"/>
    <w:rsid w:val="000E1B5C"/>
    <w:rsid w:val="000E30EE"/>
    <w:rsid w:val="000F463F"/>
    <w:rsid w:val="001018FB"/>
    <w:rsid w:val="00106581"/>
    <w:rsid w:val="001073A9"/>
    <w:rsid w:val="001124F0"/>
    <w:rsid w:val="00116176"/>
    <w:rsid w:val="0013221F"/>
    <w:rsid w:val="00134AB3"/>
    <w:rsid w:val="0015281D"/>
    <w:rsid w:val="00157AA5"/>
    <w:rsid w:val="001D209B"/>
    <w:rsid w:val="001E1C3F"/>
    <w:rsid w:val="001E2FF2"/>
    <w:rsid w:val="002269FB"/>
    <w:rsid w:val="00233E5D"/>
    <w:rsid w:val="002453BC"/>
    <w:rsid w:val="002558A1"/>
    <w:rsid w:val="00263E10"/>
    <w:rsid w:val="00270CBC"/>
    <w:rsid w:val="00293971"/>
    <w:rsid w:val="00295BA6"/>
    <w:rsid w:val="002A78BC"/>
    <w:rsid w:val="002C415E"/>
    <w:rsid w:val="00362A98"/>
    <w:rsid w:val="003B5572"/>
    <w:rsid w:val="003C0B51"/>
    <w:rsid w:val="003D5FEE"/>
    <w:rsid w:val="003F12DF"/>
    <w:rsid w:val="00403F4E"/>
    <w:rsid w:val="00411D1C"/>
    <w:rsid w:val="0041439E"/>
    <w:rsid w:val="00414C51"/>
    <w:rsid w:val="00425B2E"/>
    <w:rsid w:val="00464A2E"/>
    <w:rsid w:val="00492473"/>
    <w:rsid w:val="00493974"/>
    <w:rsid w:val="004A65CB"/>
    <w:rsid w:val="004F5277"/>
    <w:rsid w:val="004F54D2"/>
    <w:rsid w:val="00500881"/>
    <w:rsid w:val="0051129D"/>
    <w:rsid w:val="00511B47"/>
    <w:rsid w:val="00516859"/>
    <w:rsid w:val="00527DC7"/>
    <w:rsid w:val="00534913"/>
    <w:rsid w:val="00540069"/>
    <w:rsid w:val="00547649"/>
    <w:rsid w:val="00560799"/>
    <w:rsid w:val="00567700"/>
    <w:rsid w:val="005A6287"/>
    <w:rsid w:val="005B30FD"/>
    <w:rsid w:val="005B757C"/>
    <w:rsid w:val="006076A8"/>
    <w:rsid w:val="00636B80"/>
    <w:rsid w:val="006427B9"/>
    <w:rsid w:val="00645D9C"/>
    <w:rsid w:val="0066182C"/>
    <w:rsid w:val="006B071F"/>
    <w:rsid w:val="006B2E32"/>
    <w:rsid w:val="006C68C0"/>
    <w:rsid w:val="006E16F0"/>
    <w:rsid w:val="007155A4"/>
    <w:rsid w:val="00725B1F"/>
    <w:rsid w:val="007700C2"/>
    <w:rsid w:val="00787BB9"/>
    <w:rsid w:val="007970A3"/>
    <w:rsid w:val="007C4164"/>
    <w:rsid w:val="007C7A7E"/>
    <w:rsid w:val="007E1331"/>
    <w:rsid w:val="007F04FF"/>
    <w:rsid w:val="007F6DA7"/>
    <w:rsid w:val="00801BEF"/>
    <w:rsid w:val="008359AD"/>
    <w:rsid w:val="008567B8"/>
    <w:rsid w:val="00856ABD"/>
    <w:rsid w:val="00865E69"/>
    <w:rsid w:val="00881AAA"/>
    <w:rsid w:val="008C445D"/>
    <w:rsid w:val="008D7136"/>
    <w:rsid w:val="008E0639"/>
    <w:rsid w:val="008E5DB3"/>
    <w:rsid w:val="008F6D41"/>
    <w:rsid w:val="00900A29"/>
    <w:rsid w:val="00905F89"/>
    <w:rsid w:val="00911690"/>
    <w:rsid w:val="00964788"/>
    <w:rsid w:val="00970D3A"/>
    <w:rsid w:val="009957E1"/>
    <w:rsid w:val="00995987"/>
    <w:rsid w:val="00996FEF"/>
    <w:rsid w:val="009C4EAE"/>
    <w:rsid w:val="009E6E29"/>
    <w:rsid w:val="00A06E07"/>
    <w:rsid w:val="00A12F2C"/>
    <w:rsid w:val="00A45D6E"/>
    <w:rsid w:val="00A7551D"/>
    <w:rsid w:val="00A83D86"/>
    <w:rsid w:val="00AE42F2"/>
    <w:rsid w:val="00AF6A64"/>
    <w:rsid w:val="00B00747"/>
    <w:rsid w:val="00B00806"/>
    <w:rsid w:val="00B06EB6"/>
    <w:rsid w:val="00B31867"/>
    <w:rsid w:val="00B35FCC"/>
    <w:rsid w:val="00B4113C"/>
    <w:rsid w:val="00B63455"/>
    <w:rsid w:val="00B65190"/>
    <w:rsid w:val="00B70E03"/>
    <w:rsid w:val="00B7390F"/>
    <w:rsid w:val="00BB2B3D"/>
    <w:rsid w:val="00BB3746"/>
    <w:rsid w:val="00BB4414"/>
    <w:rsid w:val="00C22BB8"/>
    <w:rsid w:val="00C2396B"/>
    <w:rsid w:val="00C44D52"/>
    <w:rsid w:val="00C5104C"/>
    <w:rsid w:val="00C53026"/>
    <w:rsid w:val="00C56E29"/>
    <w:rsid w:val="00C81079"/>
    <w:rsid w:val="00C84538"/>
    <w:rsid w:val="00C85E91"/>
    <w:rsid w:val="00CB2FB1"/>
    <w:rsid w:val="00CC1BA7"/>
    <w:rsid w:val="00CF176B"/>
    <w:rsid w:val="00D002AC"/>
    <w:rsid w:val="00D11650"/>
    <w:rsid w:val="00D6101E"/>
    <w:rsid w:val="00DA33C7"/>
    <w:rsid w:val="00DA7531"/>
    <w:rsid w:val="00DD1BD9"/>
    <w:rsid w:val="00DD4A07"/>
    <w:rsid w:val="00DF52A9"/>
    <w:rsid w:val="00E33EE9"/>
    <w:rsid w:val="00E82D21"/>
    <w:rsid w:val="00E927E2"/>
    <w:rsid w:val="00EA1F2C"/>
    <w:rsid w:val="00EB354B"/>
    <w:rsid w:val="00EC37A9"/>
    <w:rsid w:val="00EF0B4D"/>
    <w:rsid w:val="00F13246"/>
    <w:rsid w:val="00F147DD"/>
    <w:rsid w:val="00F208CA"/>
    <w:rsid w:val="00F273FA"/>
    <w:rsid w:val="00F4071F"/>
    <w:rsid w:val="00F54E1B"/>
    <w:rsid w:val="00F573DD"/>
    <w:rsid w:val="00F663D3"/>
    <w:rsid w:val="00F9724A"/>
    <w:rsid w:val="00FA0B7D"/>
    <w:rsid w:val="00FA6C9C"/>
    <w:rsid w:val="00FB25E3"/>
    <w:rsid w:val="00FC235B"/>
    <w:rsid w:val="00FC63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56ABD"/>
    <w:pPr>
      <w:spacing w:after="0" w:line="240" w:lineRule="auto"/>
    </w:pPr>
    <w:rPr>
      <w:rFonts w:ascii="CG Times" w:hAnsi="CG Times" w:cs="CG Times"/>
      <w:sz w:val="23"/>
      <w:szCs w:val="23"/>
      <w:lang w:eastAsia="ko-K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856ABD"/>
    <w:pPr>
      <w:widowControl w:val="0"/>
      <w:tabs>
        <w:tab w:val="left" w:pos="1701"/>
        <w:tab w:val="center" w:pos="4819"/>
        <w:tab w:val="right" w:pos="9638"/>
      </w:tabs>
    </w:pPr>
    <w:rPr>
      <w:sz w:val="24"/>
      <w:szCs w:val="24"/>
    </w:rPr>
  </w:style>
  <w:style w:type="paragraph" w:styleId="Yltunniste">
    <w:name w:val="header"/>
    <w:basedOn w:val="Normaali"/>
    <w:link w:val="YltunnisteChar"/>
    <w:uiPriority w:val="99"/>
    <w:rsid w:val="00856ABD"/>
    <w:pPr>
      <w:tabs>
        <w:tab w:val="center" w:pos="4819"/>
        <w:tab w:val="right" w:pos="9638"/>
      </w:tabs>
    </w:pPr>
  </w:style>
  <w:style w:type="character" w:customStyle="1" w:styleId="AlatunnisteChar">
    <w:name w:val="Alatunniste Char"/>
    <w:basedOn w:val="Kappaleenoletusfontti"/>
    <w:link w:val="Alatunniste"/>
    <w:uiPriority w:val="99"/>
    <w:locked/>
    <w:rsid w:val="00856ABD"/>
    <w:rPr>
      <w:rFonts w:ascii="CG Times" w:hAnsi="CG Times" w:cs="CG Times"/>
      <w:sz w:val="24"/>
      <w:szCs w:val="24"/>
      <w:lang w:val="x-none" w:eastAsia="ko-KR"/>
    </w:rPr>
  </w:style>
  <w:style w:type="character" w:styleId="Sivunumero">
    <w:name w:val="page number"/>
    <w:basedOn w:val="Kappaleenoletusfontti"/>
    <w:uiPriority w:val="99"/>
    <w:rsid w:val="00856ABD"/>
    <w:rPr>
      <w:rFonts w:cs="Times New Roman"/>
    </w:rPr>
  </w:style>
  <w:style w:type="character" w:customStyle="1" w:styleId="YltunnisteChar">
    <w:name w:val="Ylätunniste Char"/>
    <w:basedOn w:val="Kappaleenoletusfontti"/>
    <w:link w:val="Yltunniste"/>
    <w:uiPriority w:val="99"/>
    <w:locked/>
    <w:rsid w:val="00856ABD"/>
    <w:rPr>
      <w:rFonts w:ascii="CG Times" w:hAnsi="CG Times" w:cs="CG Times"/>
      <w:sz w:val="23"/>
      <w:szCs w:val="23"/>
      <w:lang w:val="x-none" w:eastAsia="ko-KR"/>
    </w:rPr>
  </w:style>
  <w:style w:type="paragraph" w:styleId="Seliteteksti">
    <w:name w:val="Balloon Text"/>
    <w:basedOn w:val="Normaali"/>
    <w:link w:val="SelitetekstiChar"/>
    <w:uiPriority w:val="99"/>
    <w:semiHidden/>
    <w:unhideWhenUsed/>
    <w:rsid w:val="00856ABD"/>
    <w:rPr>
      <w:rFonts w:ascii="Tahoma" w:hAnsi="Tahoma" w:cs="Tahoma"/>
      <w:sz w:val="16"/>
      <w:szCs w:val="16"/>
    </w:rPr>
  </w:style>
  <w:style w:type="paragraph" w:customStyle="1" w:styleId="klihavoituerilliotsikko">
    <w:name w:val="klihavoituerilliotsikko"/>
    <w:basedOn w:val="Normaali"/>
    <w:rsid w:val="008D7136"/>
    <w:pPr>
      <w:spacing w:before="100" w:beforeAutospacing="1" w:after="100" w:afterAutospacing="1"/>
    </w:pPr>
    <w:rPr>
      <w:rFonts w:ascii="Times New Roman" w:hAnsi="Times New Roman" w:cs="Times New Roman"/>
      <w:sz w:val="24"/>
      <w:szCs w:val="24"/>
      <w:lang w:eastAsia="fi-FI"/>
    </w:rPr>
  </w:style>
  <w:style w:type="character" w:customStyle="1" w:styleId="SelitetekstiChar">
    <w:name w:val="Seliteteksti Char"/>
    <w:basedOn w:val="Kappaleenoletusfontti"/>
    <w:link w:val="Seliteteksti"/>
    <w:uiPriority w:val="99"/>
    <w:semiHidden/>
    <w:locked/>
    <w:rsid w:val="00856ABD"/>
    <w:rPr>
      <w:rFonts w:ascii="Tahoma" w:hAnsi="Tahoma" w:cs="Tahoma"/>
      <w:sz w:val="16"/>
      <w:szCs w:val="16"/>
      <w:lang w:val="x-none" w:eastAsia="ko-KR"/>
    </w:rPr>
  </w:style>
  <w:style w:type="character" w:styleId="Hyperlinkki">
    <w:name w:val="Hyperlink"/>
    <w:basedOn w:val="Kappaleenoletusfontti"/>
    <w:uiPriority w:val="99"/>
    <w:unhideWhenUsed/>
    <w:rsid w:val="000C5C4B"/>
    <w:rPr>
      <w:rFonts w:cs="Times New Roman"/>
      <w:color w:val="0000FF" w:themeColor="hyperlink"/>
      <w:u w:val="single"/>
    </w:rPr>
  </w:style>
  <w:style w:type="paragraph" w:styleId="Luettelokappale">
    <w:name w:val="List Paragraph"/>
    <w:basedOn w:val="Normaali"/>
    <w:uiPriority w:val="34"/>
    <w:qFormat/>
    <w:rsid w:val="004F52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56ABD"/>
    <w:pPr>
      <w:spacing w:after="0" w:line="240" w:lineRule="auto"/>
    </w:pPr>
    <w:rPr>
      <w:rFonts w:ascii="CG Times" w:hAnsi="CG Times" w:cs="CG Times"/>
      <w:sz w:val="23"/>
      <w:szCs w:val="23"/>
      <w:lang w:eastAsia="ko-K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856ABD"/>
    <w:pPr>
      <w:widowControl w:val="0"/>
      <w:tabs>
        <w:tab w:val="left" w:pos="1701"/>
        <w:tab w:val="center" w:pos="4819"/>
        <w:tab w:val="right" w:pos="9638"/>
      </w:tabs>
    </w:pPr>
    <w:rPr>
      <w:sz w:val="24"/>
      <w:szCs w:val="24"/>
    </w:rPr>
  </w:style>
  <w:style w:type="paragraph" w:styleId="Yltunniste">
    <w:name w:val="header"/>
    <w:basedOn w:val="Normaali"/>
    <w:link w:val="YltunnisteChar"/>
    <w:uiPriority w:val="99"/>
    <w:rsid w:val="00856ABD"/>
    <w:pPr>
      <w:tabs>
        <w:tab w:val="center" w:pos="4819"/>
        <w:tab w:val="right" w:pos="9638"/>
      </w:tabs>
    </w:pPr>
  </w:style>
  <w:style w:type="character" w:customStyle="1" w:styleId="AlatunnisteChar">
    <w:name w:val="Alatunniste Char"/>
    <w:basedOn w:val="Kappaleenoletusfontti"/>
    <w:link w:val="Alatunniste"/>
    <w:uiPriority w:val="99"/>
    <w:locked/>
    <w:rsid w:val="00856ABD"/>
    <w:rPr>
      <w:rFonts w:ascii="CG Times" w:hAnsi="CG Times" w:cs="CG Times"/>
      <w:sz w:val="24"/>
      <w:szCs w:val="24"/>
      <w:lang w:val="x-none" w:eastAsia="ko-KR"/>
    </w:rPr>
  </w:style>
  <w:style w:type="character" w:styleId="Sivunumero">
    <w:name w:val="page number"/>
    <w:basedOn w:val="Kappaleenoletusfontti"/>
    <w:uiPriority w:val="99"/>
    <w:rsid w:val="00856ABD"/>
    <w:rPr>
      <w:rFonts w:cs="Times New Roman"/>
    </w:rPr>
  </w:style>
  <w:style w:type="character" w:customStyle="1" w:styleId="YltunnisteChar">
    <w:name w:val="Ylätunniste Char"/>
    <w:basedOn w:val="Kappaleenoletusfontti"/>
    <w:link w:val="Yltunniste"/>
    <w:uiPriority w:val="99"/>
    <w:locked/>
    <w:rsid w:val="00856ABD"/>
    <w:rPr>
      <w:rFonts w:ascii="CG Times" w:hAnsi="CG Times" w:cs="CG Times"/>
      <w:sz w:val="23"/>
      <w:szCs w:val="23"/>
      <w:lang w:val="x-none" w:eastAsia="ko-KR"/>
    </w:rPr>
  </w:style>
  <w:style w:type="paragraph" w:styleId="Seliteteksti">
    <w:name w:val="Balloon Text"/>
    <w:basedOn w:val="Normaali"/>
    <w:link w:val="SelitetekstiChar"/>
    <w:uiPriority w:val="99"/>
    <w:semiHidden/>
    <w:unhideWhenUsed/>
    <w:rsid w:val="00856ABD"/>
    <w:rPr>
      <w:rFonts w:ascii="Tahoma" w:hAnsi="Tahoma" w:cs="Tahoma"/>
      <w:sz w:val="16"/>
      <w:szCs w:val="16"/>
    </w:rPr>
  </w:style>
  <w:style w:type="paragraph" w:customStyle="1" w:styleId="klihavoituerilliotsikko">
    <w:name w:val="klihavoituerilliotsikko"/>
    <w:basedOn w:val="Normaali"/>
    <w:rsid w:val="008D7136"/>
    <w:pPr>
      <w:spacing w:before="100" w:beforeAutospacing="1" w:after="100" w:afterAutospacing="1"/>
    </w:pPr>
    <w:rPr>
      <w:rFonts w:ascii="Times New Roman" w:hAnsi="Times New Roman" w:cs="Times New Roman"/>
      <w:sz w:val="24"/>
      <w:szCs w:val="24"/>
      <w:lang w:eastAsia="fi-FI"/>
    </w:rPr>
  </w:style>
  <w:style w:type="character" w:customStyle="1" w:styleId="SelitetekstiChar">
    <w:name w:val="Seliteteksti Char"/>
    <w:basedOn w:val="Kappaleenoletusfontti"/>
    <w:link w:val="Seliteteksti"/>
    <w:uiPriority w:val="99"/>
    <w:semiHidden/>
    <w:locked/>
    <w:rsid w:val="00856ABD"/>
    <w:rPr>
      <w:rFonts w:ascii="Tahoma" w:hAnsi="Tahoma" w:cs="Tahoma"/>
      <w:sz w:val="16"/>
      <w:szCs w:val="16"/>
      <w:lang w:val="x-none" w:eastAsia="ko-KR"/>
    </w:rPr>
  </w:style>
  <w:style w:type="character" w:styleId="Hyperlinkki">
    <w:name w:val="Hyperlink"/>
    <w:basedOn w:val="Kappaleenoletusfontti"/>
    <w:uiPriority w:val="99"/>
    <w:unhideWhenUsed/>
    <w:rsid w:val="000C5C4B"/>
    <w:rPr>
      <w:rFonts w:cs="Times New Roman"/>
      <w:color w:val="0000FF" w:themeColor="hyperlink"/>
      <w:u w:val="single"/>
    </w:rPr>
  </w:style>
  <w:style w:type="paragraph" w:styleId="Luettelokappale">
    <w:name w:val="List Paragraph"/>
    <w:basedOn w:val="Normaali"/>
    <w:uiPriority w:val="34"/>
    <w:qFormat/>
    <w:rsid w:val="004F5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7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keusministerio@om.fi"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ulina.tallroth@om.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uri.rautio@om.f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3514</Characters>
  <Application>Microsoft Office Word</Application>
  <DocSecurity>4</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3859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2014-05-02T05:06:00Z</dcterms:created>
  <dcterms:modified xsi:type="dcterms:W3CDTF">2014-05-02T05:06:00Z</dcterms:modified>
</cp:coreProperties>
</file>