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6A60C1" w:rsidRPr="00123BF5">
        <w:trPr>
          <w:gridAfter w:val="1"/>
          <w:wAfter w:w="4925" w:type="dxa"/>
          <w:trHeight w:val="2143"/>
        </w:trPr>
        <w:tc>
          <w:tcPr>
            <w:tcW w:w="4990" w:type="dxa"/>
          </w:tcPr>
          <w:p w:rsidR="006A60C1" w:rsidRPr="00123BF5" w:rsidRDefault="006A60C1" w:rsidP="00123BF5">
            <w:pPr>
              <w:jc w:val="both"/>
              <w:rPr>
                <w:szCs w:val="24"/>
              </w:rPr>
            </w:pPr>
            <w:bookmarkStart w:id="0" w:name="zLetterReceiver"/>
            <w:bookmarkStart w:id="1" w:name="_GoBack"/>
            <w:bookmarkEnd w:id="1"/>
            <w:r w:rsidRPr="00123BF5">
              <w:rPr>
                <w:szCs w:val="24"/>
              </w:rPr>
              <w:t>oikeusministerio@om.fi</w:t>
            </w:r>
          </w:p>
          <w:p w:rsidR="006A60C1" w:rsidRPr="00123BF5" w:rsidRDefault="006A60C1" w:rsidP="00123BF5">
            <w:pPr>
              <w:jc w:val="both"/>
              <w:rPr>
                <w:szCs w:val="24"/>
              </w:rPr>
            </w:pPr>
          </w:p>
        </w:tc>
      </w:tr>
      <w:tr w:rsidR="006A60C1" w:rsidRPr="00123BF5">
        <w:tc>
          <w:tcPr>
            <w:tcW w:w="9915" w:type="dxa"/>
            <w:gridSpan w:val="2"/>
          </w:tcPr>
          <w:p w:rsidR="006A60C1" w:rsidRPr="00123BF5" w:rsidRDefault="006A60C1" w:rsidP="00123BF5">
            <w:pPr>
              <w:jc w:val="both"/>
              <w:rPr>
                <w:szCs w:val="24"/>
              </w:rPr>
            </w:pPr>
            <w:bookmarkStart w:id="2" w:name="dref"/>
            <w:bookmarkEnd w:id="0"/>
            <w:bookmarkEnd w:id="2"/>
            <w:r w:rsidRPr="00123BF5">
              <w:rPr>
                <w:szCs w:val="24"/>
              </w:rPr>
              <w:t>OM 8/41/2014</w:t>
            </w:r>
          </w:p>
        </w:tc>
      </w:tr>
      <w:tr w:rsidR="006A60C1" w:rsidRPr="00123BF5">
        <w:trPr>
          <w:trHeight w:val="240"/>
        </w:trPr>
        <w:tc>
          <w:tcPr>
            <w:tcW w:w="9915" w:type="dxa"/>
            <w:gridSpan w:val="2"/>
          </w:tcPr>
          <w:p w:rsidR="006A60C1" w:rsidRPr="00123BF5" w:rsidRDefault="006A60C1" w:rsidP="00123BF5">
            <w:pPr>
              <w:jc w:val="both"/>
              <w:rPr>
                <w:szCs w:val="24"/>
              </w:rPr>
            </w:pPr>
          </w:p>
        </w:tc>
      </w:tr>
      <w:tr w:rsidR="006A60C1" w:rsidRPr="00123BF5">
        <w:trPr>
          <w:trHeight w:val="549"/>
        </w:trPr>
        <w:tc>
          <w:tcPr>
            <w:tcW w:w="9915" w:type="dxa"/>
            <w:gridSpan w:val="2"/>
          </w:tcPr>
          <w:p w:rsidR="006A60C1" w:rsidRPr="00123BF5" w:rsidRDefault="006A60C1" w:rsidP="00123BF5">
            <w:pPr>
              <w:pStyle w:val="PaaOtsikko"/>
              <w:jc w:val="both"/>
            </w:pPr>
            <w:bookmarkStart w:id="3" w:name="DTITLE"/>
            <w:bookmarkEnd w:id="3"/>
            <w:r w:rsidRPr="00123BF5">
              <w:t>LAUSUNTOPYYNTÖ LIIKETOIMINTAKIELLON TEHOSTAMISTA KOSKEVASTA ARVIOMUISTIOSTA</w:t>
            </w:r>
          </w:p>
        </w:tc>
      </w:tr>
    </w:tbl>
    <w:p w:rsidR="006A60C1" w:rsidRPr="00123BF5" w:rsidRDefault="006A60C1" w:rsidP="00123BF5">
      <w:pPr>
        <w:pStyle w:val="Sis2"/>
        <w:jc w:val="both"/>
        <w:rPr>
          <w:szCs w:val="24"/>
        </w:rPr>
      </w:pP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  <w:proofErr w:type="spellStart"/>
      <w:r w:rsidRPr="00123BF5">
        <w:rPr>
          <w:rFonts w:cs="Arial"/>
          <w:szCs w:val="24"/>
        </w:rPr>
        <w:t>EK:lta</w:t>
      </w:r>
      <w:proofErr w:type="spellEnd"/>
      <w:r w:rsidRPr="00123BF5">
        <w:rPr>
          <w:rFonts w:cs="Arial"/>
          <w:szCs w:val="24"/>
        </w:rPr>
        <w:t xml:space="preserve"> on pyydetty lausuntoa arviomuistiosta liiketoimintakiellon tehostamisesta. EK kiittää mahdollisuudesta lausua asiassa ja toteaa lausunnossaan seuraavaa.</w:t>
      </w:r>
    </w:p>
    <w:p w:rsidR="00123BF5" w:rsidRPr="00123BF5" w:rsidRDefault="00123BF5" w:rsidP="00123BF5">
      <w:pPr>
        <w:jc w:val="both"/>
        <w:rPr>
          <w:rFonts w:cs="Arial"/>
          <w:szCs w:val="24"/>
        </w:rPr>
      </w:pP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  <w:r w:rsidRPr="00123BF5">
        <w:rPr>
          <w:rFonts w:cs="Arial"/>
          <w:b/>
          <w:szCs w:val="24"/>
        </w:rPr>
        <w:t>Yleistä</w:t>
      </w: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</w:p>
    <w:p w:rsidR="00775AF9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Yleisöjulkisuuden lisäämistä pohdittaessa tulee tarkoin punnita julkisuuden lisääm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sen tarvetta ja hyötyjä suhteessa julkisuuden lisäämisen kautta aiheutuvaan henk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lötietojen suojan kaventumiseen ja sen seurauksiin. Henkilötietojen suojaaminen liittyy vahvasti henkilön yksityisyyden suojaan ja liityntä perusoikeuksiin tässä liik</w:t>
      </w:r>
      <w:r w:rsidRPr="00123BF5">
        <w:rPr>
          <w:rFonts w:cs="Arial"/>
          <w:szCs w:val="24"/>
        </w:rPr>
        <w:t>e</w:t>
      </w:r>
      <w:r w:rsidRPr="00123BF5">
        <w:rPr>
          <w:rFonts w:cs="Arial"/>
          <w:szCs w:val="24"/>
        </w:rPr>
        <w:t>toimintakiellon tehostamisasiassa on vahva.</w:t>
      </w:r>
      <w:r w:rsidR="00775AF9">
        <w:rPr>
          <w:rFonts w:cs="Arial"/>
          <w:szCs w:val="24"/>
        </w:rPr>
        <w:t xml:space="preserve"> Henkilötietojen suojan kaventamisen perusteiden tulee olla</w:t>
      </w:r>
      <w:r w:rsidR="001D10D5">
        <w:rPr>
          <w:rFonts w:cs="Arial"/>
          <w:szCs w:val="24"/>
        </w:rPr>
        <w:t xml:space="preserve"> </w:t>
      </w:r>
      <w:r w:rsidR="00775AF9">
        <w:rPr>
          <w:rFonts w:cs="Arial"/>
          <w:szCs w:val="24"/>
        </w:rPr>
        <w:t>olennaisia ja perusteltuja.</w:t>
      </w:r>
    </w:p>
    <w:p w:rsidR="00123BF5" w:rsidRPr="00123BF5" w:rsidRDefault="00123BF5" w:rsidP="00775AF9">
      <w:pPr>
        <w:jc w:val="both"/>
        <w:rPr>
          <w:rFonts w:cs="Arial"/>
          <w:szCs w:val="24"/>
        </w:rPr>
      </w:pP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  <w:r w:rsidRPr="00123BF5">
        <w:rPr>
          <w:rFonts w:cs="Arial"/>
          <w:b/>
          <w:szCs w:val="24"/>
        </w:rPr>
        <w:t>Yksityiskohtaiset perustelut</w:t>
      </w: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</w:p>
    <w:p w:rsidR="00123BF5" w:rsidRPr="00775AF9" w:rsidRDefault="00123BF5" w:rsidP="00123BF5">
      <w:pPr>
        <w:jc w:val="both"/>
        <w:rPr>
          <w:rFonts w:cs="Arial"/>
          <w:b/>
          <w:szCs w:val="24"/>
        </w:rPr>
      </w:pPr>
      <w:proofErr w:type="gramStart"/>
      <w:r w:rsidRPr="00775AF9">
        <w:rPr>
          <w:rFonts w:cs="Arial"/>
          <w:b/>
          <w:szCs w:val="24"/>
        </w:rPr>
        <w:t>Kommentteja kohdissa 4.1.1. – 4.1.3. esitettyihin näkemyksiin</w:t>
      </w:r>
      <w:proofErr w:type="gramEnd"/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Arviomuistion sivulla 3 viitataan perustuslain 8 §:n 1 momenttiin. Oikeampi viittaus lienee kuitenkin perustuslain 10 §:n 1 momentti.</w:t>
      </w: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Pr="00775AF9" w:rsidRDefault="00123BF5" w:rsidP="00123BF5">
      <w:pPr>
        <w:jc w:val="both"/>
        <w:rPr>
          <w:rFonts w:cs="Arial"/>
          <w:b/>
          <w:szCs w:val="24"/>
        </w:rPr>
      </w:pPr>
      <w:r w:rsidRPr="00775AF9">
        <w:rPr>
          <w:rFonts w:cs="Arial"/>
          <w:b/>
          <w:szCs w:val="24"/>
        </w:rPr>
        <w:t>Henkilötietojen luovuttamisen rajoittaminen</w:t>
      </w: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Arviomuistiossa on asianmukaisesti viitattu henkilötietojen luovuttamisen rajoittam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seen yleisessä tietoverkossa. Lisääntyneiden identiteettivarkauksien vuoksi henk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lötietojen luovutettavuutta on rajoitettu ja yhtenä esimerkkinä tästä on myös a</w:t>
      </w:r>
      <w:r w:rsidRPr="00123BF5">
        <w:rPr>
          <w:rFonts w:cs="Arial"/>
          <w:szCs w:val="24"/>
        </w:rPr>
        <w:t>r</w:t>
      </w:r>
      <w:r w:rsidRPr="00123BF5">
        <w:rPr>
          <w:rFonts w:cs="Arial"/>
          <w:szCs w:val="24"/>
        </w:rPr>
        <w:t>viomuistiossa viitattu kaupparekisterilainsäädännön muutos, jonka mukaan kaupp</w:t>
      </w:r>
      <w:r w:rsidRPr="00123BF5">
        <w:rPr>
          <w:rFonts w:cs="Arial"/>
          <w:szCs w:val="24"/>
        </w:rPr>
        <w:t>a</w:t>
      </w:r>
      <w:r w:rsidRPr="00123BF5">
        <w:rPr>
          <w:rFonts w:cs="Arial"/>
          <w:szCs w:val="24"/>
        </w:rPr>
        <w:t>rekisteristä luovutettavista asiakirjoista ei saa enää ilmetä henkilön henkilötunnus. EK oli vahvasti vaikuttamassa kaupparekisterilainsäädännön muutokseen ja ka</w:t>
      </w:r>
      <w:r w:rsidRPr="00123BF5">
        <w:rPr>
          <w:rFonts w:cs="Arial"/>
          <w:szCs w:val="24"/>
        </w:rPr>
        <w:t>t</w:t>
      </w:r>
      <w:r w:rsidRPr="00123BF5">
        <w:rPr>
          <w:rFonts w:cs="Arial"/>
          <w:szCs w:val="24"/>
        </w:rPr>
        <w:t>soo, että tehty lainm</w:t>
      </w:r>
      <w:r w:rsidR="00DA4E84">
        <w:rPr>
          <w:rFonts w:cs="Arial"/>
          <w:szCs w:val="24"/>
        </w:rPr>
        <w:t>uutos oli erittäin tarpeellinen henkilön yksityisyyden suojaam</w:t>
      </w:r>
      <w:r w:rsidR="00DA4E84">
        <w:rPr>
          <w:rFonts w:cs="Arial"/>
          <w:szCs w:val="24"/>
        </w:rPr>
        <w:t>i</w:t>
      </w:r>
      <w:r w:rsidR="00DA4E84">
        <w:rPr>
          <w:rFonts w:cs="Arial"/>
          <w:szCs w:val="24"/>
        </w:rPr>
        <w:t>seksi.</w:t>
      </w:r>
    </w:p>
    <w:p w:rsidR="00D30BA1" w:rsidRPr="00123BF5" w:rsidRDefault="00D30BA1" w:rsidP="00123BF5">
      <w:pPr>
        <w:ind w:left="1304"/>
        <w:jc w:val="both"/>
        <w:rPr>
          <w:rFonts w:cs="Arial"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Laaja yleisöjulkisuus liiketoimintakieltorekisterin osalta ei ole kannatettava asia, koska tällöin henkilön yksilöinnin puutteellisuus voi synnyttää epäselvyyttä ja vä</w:t>
      </w:r>
      <w:r w:rsidRPr="00123BF5">
        <w:rPr>
          <w:rFonts w:cs="Arial"/>
          <w:szCs w:val="24"/>
        </w:rPr>
        <w:t>ä</w:t>
      </w:r>
      <w:r w:rsidRPr="00123BF5">
        <w:rPr>
          <w:rFonts w:cs="Arial"/>
          <w:szCs w:val="24"/>
        </w:rPr>
        <w:t>rinkäsityksiä siitä, kuka tarkalleen ottaen on asetettu liiketoimintakieltoon. Sen s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lastRenderedPageBreak/>
        <w:t>jaan asiaa kirjallisesti liiketoimintakieltorekisteristä tiedusteltaessa, kysyjä saa ti</w:t>
      </w:r>
      <w:r w:rsidRPr="00123BF5">
        <w:rPr>
          <w:rFonts w:cs="Arial"/>
          <w:szCs w:val="24"/>
        </w:rPr>
        <w:t>e</w:t>
      </w:r>
      <w:r w:rsidRPr="00123BF5">
        <w:rPr>
          <w:rFonts w:cs="Arial"/>
          <w:szCs w:val="24"/>
        </w:rPr>
        <w:t xml:space="preserve">toonsa riittävät tiedot henkilön yksilöimiseksi. </w:t>
      </w:r>
    </w:p>
    <w:p w:rsidR="00123BF5" w:rsidRPr="00123BF5" w:rsidRDefault="00123BF5" w:rsidP="00DA4E84">
      <w:pPr>
        <w:jc w:val="both"/>
        <w:rPr>
          <w:rFonts w:cs="Arial"/>
          <w:szCs w:val="24"/>
        </w:rPr>
      </w:pPr>
    </w:p>
    <w:p w:rsidR="00123BF5" w:rsidRPr="00775AF9" w:rsidRDefault="00123BF5" w:rsidP="00123BF5">
      <w:pPr>
        <w:jc w:val="both"/>
        <w:rPr>
          <w:rFonts w:cs="Arial"/>
          <w:b/>
          <w:szCs w:val="24"/>
        </w:rPr>
      </w:pPr>
      <w:r w:rsidRPr="00775AF9">
        <w:rPr>
          <w:rFonts w:cs="Arial"/>
          <w:b/>
          <w:szCs w:val="24"/>
        </w:rPr>
        <w:t>Väliaikaiset liiketoimintakiellot</w:t>
      </w: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Ongelmallista liiketoimintakieltorekisterin julkisuuden lisäämisen osalta on myös k</w:t>
      </w:r>
      <w:r w:rsidRPr="00123BF5">
        <w:rPr>
          <w:rFonts w:cs="Arial"/>
          <w:szCs w:val="24"/>
        </w:rPr>
        <w:t>y</w:t>
      </w:r>
      <w:r w:rsidRPr="00123BF5">
        <w:rPr>
          <w:rFonts w:cs="Arial"/>
          <w:szCs w:val="24"/>
        </w:rPr>
        <w:t>symys väliaikaisten liiketoimintakieltojen julkisuudesta. Ei voida katsoa olevan ta</w:t>
      </w:r>
      <w:r w:rsidRPr="00123BF5">
        <w:rPr>
          <w:rFonts w:cs="Arial"/>
          <w:szCs w:val="24"/>
        </w:rPr>
        <w:t>r</w:t>
      </w:r>
      <w:r w:rsidRPr="00123BF5">
        <w:rPr>
          <w:rFonts w:cs="Arial"/>
          <w:szCs w:val="24"/>
        </w:rPr>
        <w:t xml:space="preserve">koituksenmukaista, että rikoksesta epäiltynä olevan henkilön tiedot olisivat laajasti yleisöjulkisia. </w:t>
      </w: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</w:p>
    <w:p w:rsidR="00F50965" w:rsidRDefault="00123BF5" w:rsidP="00775AF9">
      <w:pPr>
        <w:jc w:val="both"/>
        <w:rPr>
          <w:rFonts w:cs="Arial"/>
          <w:b/>
          <w:szCs w:val="24"/>
        </w:rPr>
      </w:pPr>
      <w:r w:rsidRPr="00775AF9">
        <w:rPr>
          <w:rFonts w:cs="Arial"/>
          <w:b/>
          <w:szCs w:val="24"/>
        </w:rPr>
        <w:t xml:space="preserve">Kommentteja kohtaan 4.2. </w:t>
      </w:r>
    </w:p>
    <w:p w:rsidR="00F50965" w:rsidRDefault="00F50965" w:rsidP="00775AF9">
      <w:pPr>
        <w:jc w:val="both"/>
        <w:rPr>
          <w:rFonts w:cs="Arial"/>
          <w:b/>
          <w:szCs w:val="24"/>
        </w:rPr>
      </w:pPr>
    </w:p>
    <w:p w:rsidR="00775AF9" w:rsidRPr="00775AF9" w:rsidRDefault="00775AF9" w:rsidP="00775AF9">
      <w:pPr>
        <w:jc w:val="both"/>
        <w:rPr>
          <w:rFonts w:cs="Arial"/>
          <w:b/>
          <w:szCs w:val="24"/>
        </w:rPr>
      </w:pPr>
      <w:proofErr w:type="gramStart"/>
      <w:r w:rsidRPr="00775AF9">
        <w:rPr>
          <w:rFonts w:cs="Arial"/>
          <w:b/>
          <w:szCs w:val="24"/>
        </w:rPr>
        <w:t>Päättyneiden liiketoimintakieltojen salassapito</w:t>
      </w:r>
      <w:r w:rsidR="00DA4E84">
        <w:rPr>
          <w:rFonts w:cs="Arial"/>
          <w:b/>
          <w:szCs w:val="24"/>
        </w:rPr>
        <w:t xml:space="preserve"> ja esitutkintaviranomaispiirin laajentam</w:t>
      </w:r>
      <w:r w:rsidR="00DA4E84">
        <w:rPr>
          <w:rFonts w:cs="Arial"/>
          <w:b/>
          <w:szCs w:val="24"/>
        </w:rPr>
        <w:t>i</w:t>
      </w:r>
      <w:r w:rsidR="00DA4E84">
        <w:rPr>
          <w:rFonts w:cs="Arial"/>
          <w:b/>
          <w:szCs w:val="24"/>
        </w:rPr>
        <w:t>nen</w:t>
      </w:r>
      <w:proofErr w:type="gramEnd"/>
    </w:p>
    <w:p w:rsidR="00775AF9" w:rsidRDefault="00775AF9" w:rsidP="00123BF5">
      <w:pPr>
        <w:ind w:left="1304"/>
        <w:jc w:val="both"/>
        <w:rPr>
          <w:rFonts w:cs="Arial"/>
          <w:szCs w:val="24"/>
        </w:rPr>
      </w:pPr>
    </w:p>
    <w:p w:rsidR="00123BF5" w:rsidRDefault="00123BF5" w:rsidP="00DA4E84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Liiketoimintakieltolain 21.5 §:n mukaan tiedot päättyneistä liiketoimintakielloista on pidettävä salassa. Liiketoimintakieltojen saatavuus sähköisesti internetistä tekisi kielloista käytännössä ikuisesti julkisia, mikäli oletetaan, että kerran internetiin laite</w:t>
      </w:r>
      <w:r w:rsidRPr="00123BF5">
        <w:rPr>
          <w:rFonts w:cs="Arial"/>
          <w:szCs w:val="24"/>
        </w:rPr>
        <w:t>t</w:t>
      </w:r>
      <w:r w:rsidRPr="00123BF5">
        <w:rPr>
          <w:rFonts w:cs="Arial"/>
          <w:szCs w:val="24"/>
        </w:rPr>
        <w:t xml:space="preserve">tua tietoa on sieltä käytännössä kovin vaikea lopullisesti poistaa. </w:t>
      </w:r>
    </w:p>
    <w:p w:rsidR="00775AF9" w:rsidRPr="00123BF5" w:rsidRDefault="00775AF9" w:rsidP="00775AF9">
      <w:pPr>
        <w:jc w:val="both"/>
        <w:rPr>
          <w:rFonts w:cs="Arial"/>
          <w:szCs w:val="24"/>
        </w:rPr>
      </w:pPr>
    </w:p>
    <w:p w:rsidR="00123BF5" w:rsidRDefault="00123BF5" w:rsidP="00123BF5">
      <w:pPr>
        <w:ind w:left="1304" w:firstLine="1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Vuosittain määrättävien liiketoimintakieltojen lukumäärien valossa emme näe ta</w:t>
      </w:r>
      <w:r w:rsidRPr="00123BF5">
        <w:rPr>
          <w:rFonts w:cs="Arial"/>
          <w:szCs w:val="24"/>
        </w:rPr>
        <w:t>r</w:t>
      </w:r>
      <w:r w:rsidRPr="00123BF5">
        <w:rPr>
          <w:rFonts w:cs="Arial"/>
          <w:szCs w:val="24"/>
        </w:rPr>
        <w:t xml:space="preserve">vetta laajentaa </w:t>
      </w:r>
      <w:r w:rsidR="00DA4E84">
        <w:rPr>
          <w:rFonts w:cs="Arial"/>
          <w:szCs w:val="24"/>
        </w:rPr>
        <w:t>esitutkintaviranomaisten piiriä</w:t>
      </w:r>
      <w:r w:rsidRPr="00123BF5">
        <w:rPr>
          <w:rFonts w:cs="Arial"/>
          <w:szCs w:val="24"/>
        </w:rPr>
        <w:t xml:space="preserve"> nykyisestä.</w:t>
      </w:r>
      <w:r w:rsidR="00DA4E84">
        <w:rPr>
          <w:rFonts w:cs="Arial"/>
          <w:szCs w:val="24"/>
        </w:rPr>
        <w:t xml:space="preserve"> Mikäli kuitenkin kats</w:t>
      </w:r>
      <w:r w:rsidR="00DA4E84">
        <w:rPr>
          <w:rFonts w:cs="Arial"/>
          <w:szCs w:val="24"/>
        </w:rPr>
        <w:t>o</w:t>
      </w:r>
      <w:r w:rsidR="00DA4E84">
        <w:rPr>
          <w:rFonts w:cs="Arial"/>
          <w:szCs w:val="24"/>
        </w:rPr>
        <w:t>taan, että viranomaispiiriä laajentamalla voitaisiin tehokkaasti lyhentää käsittelya</w:t>
      </w:r>
      <w:r w:rsidR="00DA4E84">
        <w:rPr>
          <w:rFonts w:cs="Arial"/>
          <w:szCs w:val="24"/>
        </w:rPr>
        <w:t>i</w:t>
      </w:r>
      <w:r w:rsidR="00DA4E84">
        <w:rPr>
          <w:rFonts w:cs="Arial"/>
          <w:szCs w:val="24"/>
        </w:rPr>
        <w:t xml:space="preserve">koja, voi ehdotettu esitutkintaviranomaispiirin laajentaminen olla perusteltavissa. </w:t>
      </w:r>
    </w:p>
    <w:p w:rsidR="00123BF5" w:rsidRPr="00123BF5" w:rsidRDefault="00123BF5" w:rsidP="00123BF5">
      <w:pPr>
        <w:ind w:left="1304" w:firstLine="1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 xml:space="preserve"> </w:t>
      </w:r>
    </w:p>
    <w:p w:rsidR="00F50965" w:rsidRDefault="00123BF5" w:rsidP="00775AF9">
      <w:pPr>
        <w:jc w:val="both"/>
        <w:rPr>
          <w:rFonts w:cs="Arial"/>
          <w:b/>
          <w:szCs w:val="24"/>
        </w:rPr>
      </w:pPr>
      <w:r w:rsidRPr="00775AF9">
        <w:rPr>
          <w:rFonts w:cs="Arial"/>
          <w:b/>
          <w:szCs w:val="24"/>
        </w:rPr>
        <w:t>Kommentteja kohtaan 4.3.</w:t>
      </w:r>
      <w:r w:rsidR="00F50965">
        <w:rPr>
          <w:rFonts w:cs="Arial"/>
          <w:b/>
          <w:szCs w:val="24"/>
        </w:rPr>
        <w:t xml:space="preserve"> </w:t>
      </w:r>
    </w:p>
    <w:p w:rsidR="00F50965" w:rsidRDefault="00F50965" w:rsidP="00775AF9">
      <w:pPr>
        <w:jc w:val="both"/>
        <w:rPr>
          <w:rFonts w:cs="Arial"/>
          <w:b/>
          <w:szCs w:val="24"/>
        </w:rPr>
      </w:pPr>
    </w:p>
    <w:p w:rsidR="00775AF9" w:rsidRPr="00775AF9" w:rsidRDefault="00775AF9" w:rsidP="00775AF9">
      <w:pPr>
        <w:jc w:val="both"/>
        <w:rPr>
          <w:rFonts w:cs="Arial"/>
          <w:b/>
          <w:szCs w:val="24"/>
        </w:rPr>
      </w:pPr>
      <w:proofErr w:type="spellStart"/>
      <w:r w:rsidRPr="00775AF9">
        <w:rPr>
          <w:rFonts w:cs="Arial"/>
          <w:b/>
          <w:szCs w:val="24"/>
        </w:rPr>
        <w:t>Itsekriminointisuoja</w:t>
      </w:r>
      <w:proofErr w:type="spellEnd"/>
    </w:p>
    <w:p w:rsidR="00775AF9" w:rsidRDefault="00775AF9" w:rsidP="00123BF5">
      <w:pPr>
        <w:ind w:left="1304" w:firstLine="1"/>
        <w:jc w:val="both"/>
        <w:rPr>
          <w:rFonts w:cs="Arial"/>
          <w:szCs w:val="24"/>
        </w:rPr>
      </w:pPr>
    </w:p>
    <w:p w:rsidR="00123BF5" w:rsidRDefault="00123BF5" w:rsidP="00123BF5">
      <w:pPr>
        <w:ind w:left="1304" w:firstLine="1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Arviomuistiossa esitetyn perusteella ei käy ilmi selkeästi, onko kuvattu tiedonant</w:t>
      </w:r>
      <w:r w:rsidRPr="00123BF5">
        <w:rPr>
          <w:rFonts w:cs="Arial"/>
          <w:szCs w:val="24"/>
        </w:rPr>
        <w:t>o</w:t>
      </w:r>
      <w:r w:rsidRPr="00123BF5">
        <w:rPr>
          <w:rFonts w:cs="Arial"/>
          <w:szCs w:val="24"/>
        </w:rPr>
        <w:t xml:space="preserve">velvollisuus tosiaankin käytännössä ongelmallinen syytetyn </w:t>
      </w:r>
      <w:proofErr w:type="spellStart"/>
      <w:r w:rsidRPr="00123BF5">
        <w:rPr>
          <w:rFonts w:cs="Arial"/>
          <w:szCs w:val="24"/>
        </w:rPr>
        <w:t>itsekriminointisuojan</w:t>
      </w:r>
      <w:proofErr w:type="spellEnd"/>
      <w:r w:rsidRPr="00123BF5">
        <w:rPr>
          <w:rFonts w:cs="Arial"/>
          <w:szCs w:val="24"/>
        </w:rPr>
        <w:t xml:space="preserve"> kannalta suhteessa viitatun poliisilain säännökseen. </w:t>
      </w:r>
    </w:p>
    <w:p w:rsidR="00123BF5" w:rsidRPr="00123BF5" w:rsidRDefault="00123BF5" w:rsidP="00123BF5">
      <w:pPr>
        <w:ind w:left="1304" w:firstLine="1"/>
        <w:jc w:val="both"/>
        <w:rPr>
          <w:rFonts w:cs="Arial"/>
          <w:szCs w:val="24"/>
        </w:rPr>
      </w:pPr>
    </w:p>
    <w:p w:rsidR="00123BF5" w:rsidRDefault="00123BF5" w:rsidP="00123BF5">
      <w:pPr>
        <w:ind w:left="1304" w:firstLine="1"/>
        <w:jc w:val="both"/>
        <w:rPr>
          <w:rFonts w:cs="Arial"/>
          <w:szCs w:val="24"/>
        </w:rPr>
      </w:pPr>
      <w:proofErr w:type="spellStart"/>
      <w:r w:rsidRPr="00123BF5">
        <w:rPr>
          <w:rFonts w:cs="Arial"/>
          <w:szCs w:val="24"/>
        </w:rPr>
        <w:t>Itsekriminointisuojakysymys</w:t>
      </w:r>
      <w:proofErr w:type="spellEnd"/>
      <w:r w:rsidRPr="00123BF5">
        <w:rPr>
          <w:rFonts w:cs="Arial"/>
          <w:szCs w:val="24"/>
        </w:rPr>
        <w:t xml:space="preserve"> on erillinen kysymys liiketoimintarekisterin julkisuuden lisäämishankkeesta ja katsomme, että mahdollinen epäselvä oikeustila olisi hyödy</w:t>
      </w:r>
      <w:r w:rsidRPr="00123BF5">
        <w:rPr>
          <w:rFonts w:cs="Arial"/>
          <w:szCs w:val="24"/>
        </w:rPr>
        <w:t>l</w:t>
      </w:r>
      <w:r w:rsidRPr="00123BF5">
        <w:rPr>
          <w:rFonts w:cs="Arial"/>
          <w:szCs w:val="24"/>
        </w:rPr>
        <w:t xml:space="preserve">listä jatkossa selvittää, vaikka arviomuistion mukaista liiketoimintakieltorekisterin tehostamista ei edistettäisikään jatkossa. </w:t>
      </w:r>
    </w:p>
    <w:p w:rsidR="00F50965" w:rsidRDefault="00F50965" w:rsidP="00F50965">
      <w:pPr>
        <w:jc w:val="both"/>
        <w:rPr>
          <w:rFonts w:cs="Arial"/>
          <w:szCs w:val="24"/>
        </w:rPr>
      </w:pPr>
    </w:p>
    <w:p w:rsidR="00F50965" w:rsidRPr="00F50965" w:rsidRDefault="00F50965" w:rsidP="00F50965">
      <w:pPr>
        <w:jc w:val="both"/>
        <w:rPr>
          <w:rFonts w:cs="Arial"/>
          <w:b/>
          <w:szCs w:val="24"/>
        </w:rPr>
      </w:pPr>
      <w:r w:rsidRPr="00F50965">
        <w:rPr>
          <w:rFonts w:cs="Arial"/>
          <w:b/>
          <w:szCs w:val="24"/>
        </w:rPr>
        <w:t>Kommentteja kohtaan 4.5.</w:t>
      </w:r>
    </w:p>
    <w:p w:rsidR="00F50965" w:rsidRDefault="00F50965" w:rsidP="00F50965">
      <w:pPr>
        <w:jc w:val="both"/>
        <w:rPr>
          <w:rFonts w:cs="Arial"/>
          <w:szCs w:val="24"/>
        </w:rPr>
      </w:pPr>
    </w:p>
    <w:p w:rsidR="00F50965" w:rsidRPr="00F50965" w:rsidRDefault="00F50965" w:rsidP="00F50965">
      <w:pPr>
        <w:jc w:val="both"/>
        <w:rPr>
          <w:rFonts w:cs="Arial"/>
          <w:b/>
          <w:szCs w:val="24"/>
        </w:rPr>
      </w:pPr>
      <w:r w:rsidRPr="00F50965">
        <w:rPr>
          <w:rFonts w:cs="Arial"/>
          <w:b/>
          <w:szCs w:val="24"/>
        </w:rPr>
        <w:t>Väliaikaisen kiellon pituus</w:t>
      </w:r>
    </w:p>
    <w:p w:rsidR="00F50965" w:rsidRDefault="00F50965" w:rsidP="00F50965">
      <w:pPr>
        <w:jc w:val="both"/>
        <w:rPr>
          <w:rFonts w:cs="Arial"/>
          <w:szCs w:val="24"/>
        </w:rPr>
      </w:pPr>
    </w:p>
    <w:p w:rsidR="00123BF5" w:rsidRDefault="00F50965" w:rsidP="00123BF5">
      <w:pPr>
        <w:ind w:left="1304" w:firstLine="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Katsomme, että väliaikaisen liiketoimintakiellon luonteesta johtuen sen pituutta ei ole tarkoituksenmukaista lisätä nykyisestä. </w:t>
      </w:r>
      <w:r w:rsidR="005D5490">
        <w:rPr>
          <w:rFonts w:cs="Arial"/>
          <w:szCs w:val="24"/>
        </w:rPr>
        <w:t xml:space="preserve">Pidemmän </w:t>
      </w:r>
      <w:r>
        <w:rPr>
          <w:rFonts w:cs="Arial"/>
          <w:szCs w:val="24"/>
        </w:rPr>
        <w:t xml:space="preserve">liiketoimintakiellon </w:t>
      </w:r>
      <w:r w:rsidR="005D5490">
        <w:rPr>
          <w:rFonts w:cs="Arial"/>
          <w:szCs w:val="24"/>
        </w:rPr>
        <w:t>käytt</w:t>
      </w:r>
      <w:r w:rsidR="005D5490">
        <w:rPr>
          <w:rFonts w:cs="Arial"/>
          <w:szCs w:val="24"/>
        </w:rPr>
        <w:t>ö</w:t>
      </w:r>
      <w:r w:rsidR="005D5490">
        <w:rPr>
          <w:rFonts w:cs="Arial"/>
          <w:szCs w:val="24"/>
        </w:rPr>
        <w:t>mahdollisuus vain</w:t>
      </w:r>
      <w:r>
        <w:rPr>
          <w:rFonts w:cs="Arial"/>
          <w:szCs w:val="24"/>
        </w:rPr>
        <w:t xml:space="preserve"> </w:t>
      </w:r>
      <w:r w:rsidR="005D5490">
        <w:rPr>
          <w:rFonts w:cs="Arial"/>
          <w:szCs w:val="24"/>
        </w:rPr>
        <w:t xml:space="preserve">todennäköisesti pidentäisi </w:t>
      </w:r>
      <w:r>
        <w:rPr>
          <w:rFonts w:cs="Arial"/>
          <w:szCs w:val="24"/>
        </w:rPr>
        <w:t>käsittelyaiko</w:t>
      </w:r>
      <w:r w:rsidR="005D5490">
        <w:rPr>
          <w:rFonts w:cs="Arial"/>
          <w:szCs w:val="24"/>
        </w:rPr>
        <w:t>ja</w:t>
      </w:r>
      <w:r w:rsidR="009E0A1C">
        <w:rPr>
          <w:rFonts w:cs="Arial"/>
          <w:szCs w:val="24"/>
        </w:rPr>
        <w:t>.</w:t>
      </w:r>
      <w:r w:rsidR="005D5490">
        <w:rPr>
          <w:rFonts w:cs="Arial"/>
          <w:szCs w:val="24"/>
        </w:rPr>
        <w:t xml:space="preserve"> Julkisuudessa on ollut esillä tapauksia, joissa poliisin suorittama esitutkinta on kestänyt perusteettoman kauan ja nyt ehdotetun kaltainen kiellon pituuden lisääminen </w:t>
      </w:r>
      <w:r w:rsidR="000D0866">
        <w:rPr>
          <w:rFonts w:cs="Arial"/>
          <w:szCs w:val="24"/>
        </w:rPr>
        <w:t>voisi käytännössä va</w:t>
      </w:r>
      <w:r w:rsidR="000D0866">
        <w:rPr>
          <w:rFonts w:cs="Arial"/>
          <w:szCs w:val="24"/>
        </w:rPr>
        <w:t>i</w:t>
      </w:r>
      <w:r w:rsidR="000D0866">
        <w:rPr>
          <w:rFonts w:cs="Arial"/>
          <w:szCs w:val="24"/>
        </w:rPr>
        <w:t>kuttaa haitallisesti esitutkinnan kestoon.</w:t>
      </w:r>
      <w:r w:rsidR="005D5490">
        <w:rPr>
          <w:rFonts w:cs="Arial"/>
          <w:szCs w:val="24"/>
        </w:rPr>
        <w:t xml:space="preserve"> </w:t>
      </w:r>
    </w:p>
    <w:p w:rsidR="005D5490" w:rsidRPr="00123BF5" w:rsidRDefault="005D5490" w:rsidP="00123BF5">
      <w:pPr>
        <w:ind w:left="1304" w:firstLine="1"/>
        <w:jc w:val="both"/>
        <w:rPr>
          <w:rFonts w:cs="Arial"/>
          <w:szCs w:val="24"/>
        </w:rPr>
      </w:pPr>
    </w:p>
    <w:p w:rsidR="0097377A" w:rsidRDefault="0097377A" w:rsidP="00123BF5">
      <w:pPr>
        <w:jc w:val="both"/>
        <w:rPr>
          <w:rFonts w:cs="Arial"/>
          <w:b/>
          <w:szCs w:val="24"/>
        </w:rPr>
      </w:pPr>
    </w:p>
    <w:p w:rsidR="00123BF5" w:rsidRDefault="00123BF5" w:rsidP="00123BF5">
      <w:pPr>
        <w:jc w:val="both"/>
        <w:rPr>
          <w:rFonts w:cs="Arial"/>
          <w:b/>
          <w:szCs w:val="24"/>
        </w:rPr>
      </w:pPr>
      <w:r w:rsidRPr="00123BF5">
        <w:rPr>
          <w:rFonts w:cs="Arial"/>
          <w:b/>
          <w:szCs w:val="24"/>
        </w:rPr>
        <w:t>Lopuksi</w:t>
      </w:r>
    </w:p>
    <w:p w:rsidR="00123BF5" w:rsidRPr="00123BF5" w:rsidRDefault="00123BF5" w:rsidP="00123BF5">
      <w:pPr>
        <w:jc w:val="both"/>
        <w:rPr>
          <w:rFonts w:cs="Arial"/>
          <w:b/>
          <w:szCs w:val="24"/>
        </w:rPr>
      </w:pP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Nykylainsäädännön mukainen julkisuus on mielestämme riittävällä tasolla. Jokaise</w:t>
      </w:r>
      <w:r w:rsidRPr="00123BF5">
        <w:rPr>
          <w:rFonts w:cs="Arial"/>
          <w:szCs w:val="24"/>
        </w:rPr>
        <w:t>l</w:t>
      </w:r>
      <w:r w:rsidRPr="00123BF5">
        <w:rPr>
          <w:rFonts w:cs="Arial"/>
          <w:szCs w:val="24"/>
        </w:rPr>
        <w:t>la on oikeus saada otteita liiketoimintakieltorekisteristä niitä pyydettäessä. Kirjall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nen ote maksaa 22 euroa, mutta puhelimitse tiedusteltaessa tiedon saa ilmaiseksi. Katsomme myös, että elinkeinoelämä saa riittävästi tietoa luottotietorekisterin kau</w:t>
      </w:r>
      <w:r w:rsidRPr="00123BF5">
        <w:rPr>
          <w:rFonts w:cs="Arial"/>
          <w:szCs w:val="24"/>
        </w:rPr>
        <w:t>t</w:t>
      </w:r>
      <w:r w:rsidRPr="00123BF5">
        <w:rPr>
          <w:rFonts w:cs="Arial"/>
          <w:szCs w:val="24"/>
        </w:rPr>
        <w:t xml:space="preserve">ta eikä tarvetta liiketoimintarekisterin julkisuuden lisäämiseksi tämän vuoksi ole. </w:t>
      </w: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On huomioitava lisäksi, et</w:t>
      </w:r>
      <w:r w:rsidR="009E0A1C">
        <w:rPr>
          <w:rFonts w:cs="Arial"/>
          <w:szCs w:val="24"/>
        </w:rPr>
        <w:t xml:space="preserve">tä liiketoimintakieltorekisterin avaamisessa julkiseksi </w:t>
      </w:r>
      <w:r w:rsidRPr="00123BF5">
        <w:rPr>
          <w:rFonts w:cs="Arial"/>
          <w:szCs w:val="24"/>
        </w:rPr>
        <w:t>ei ole kyse pelkästään henkilötietojen luovuttamisesta, vaan arkaluonteisten henkil</w:t>
      </w:r>
      <w:r w:rsidRPr="00123BF5">
        <w:rPr>
          <w:rFonts w:cs="Arial"/>
          <w:szCs w:val="24"/>
        </w:rPr>
        <w:t>ö</w:t>
      </w:r>
      <w:r w:rsidRPr="00123BF5">
        <w:rPr>
          <w:rFonts w:cs="Arial"/>
          <w:szCs w:val="24"/>
        </w:rPr>
        <w:t>tietojen luovuttamisesta, jolloin yleisöjulkisuuden lisäämisen tueksi tulisi olla erity</w:t>
      </w:r>
      <w:r w:rsidRPr="00123BF5">
        <w:rPr>
          <w:rFonts w:cs="Arial"/>
          <w:szCs w:val="24"/>
        </w:rPr>
        <w:t>i</w:t>
      </w:r>
      <w:r w:rsidRPr="00123BF5">
        <w:rPr>
          <w:rFonts w:cs="Arial"/>
          <w:szCs w:val="24"/>
        </w:rPr>
        <w:t>sen painavia argumentteja.</w:t>
      </w: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Katsomme arviomuistiossa esitettyjen johtopäätösten mukaisesti, että liiketoimint</w:t>
      </w:r>
      <w:r w:rsidRPr="00123BF5">
        <w:rPr>
          <w:rFonts w:cs="Arial"/>
          <w:szCs w:val="24"/>
        </w:rPr>
        <w:t>a</w:t>
      </w:r>
      <w:r w:rsidRPr="00123BF5">
        <w:rPr>
          <w:rFonts w:cs="Arial"/>
          <w:szCs w:val="24"/>
        </w:rPr>
        <w:t xml:space="preserve">kieltorekisterin avaamiselle yleiseen maailmanlaajuiseen käyttöön ei ole perusteita. </w:t>
      </w:r>
      <w:r w:rsidR="000D0866">
        <w:rPr>
          <w:rFonts w:cs="Arial"/>
          <w:szCs w:val="24"/>
        </w:rPr>
        <w:t>R</w:t>
      </w:r>
      <w:r w:rsidRPr="00123BF5">
        <w:rPr>
          <w:rFonts w:cs="Arial"/>
          <w:szCs w:val="24"/>
        </w:rPr>
        <w:t xml:space="preserve">ekisteristä </w:t>
      </w:r>
      <w:r w:rsidR="000D0866">
        <w:rPr>
          <w:rFonts w:cs="Arial"/>
          <w:szCs w:val="24"/>
        </w:rPr>
        <w:t xml:space="preserve">tietoa </w:t>
      </w:r>
      <w:r w:rsidRPr="00123BF5">
        <w:rPr>
          <w:rFonts w:cs="Arial"/>
          <w:szCs w:val="24"/>
        </w:rPr>
        <w:t xml:space="preserve">tarvitsevat tahot saavat sitä riittävän tehokkaasti ja perusteluita ja syitä laajemman julkisuuden tarpeellisuudelle ei ole arviomuistiossa tuotu esille. </w:t>
      </w: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 xml:space="preserve">Viime vuonna </w:t>
      </w:r>
      <w:r w:rsidR="000D0866">
        <w:rPr>
          <w:rFonts w:cs="Arial"/>
          <w:szCs w:val="24"/>
        </w:rPr>
        <w:t xml:space="preserve">liiketoimintakieltorekisteriin tehtiin </w:t>
      </w:r>
      <w:r w:rsidRPr="00123BF5">
        <w:rPr>
          <w:rFonts w:cs="Arial"/>
          <w:szCs w:val="24"/>
        </w:rPr>
        <w:t>tiedusteluja 1604 kappaletta ja vuonna 2012 1809 kappaletta. Tiedusteluvolyymin ollessa näinkin maltillinen, ka</w:t>
      </w:r>
      <w:r w:rsidRPr="00123BF5">
        <w:rPr>
          <w:rFonts w:cs="Arial"/>
          <w:szCs w:val="24"/>
        </w:rPr>
        <w:t>t</w:t>
      </w:r>
      <w:r w:rsidRPr="00123BF5">
        <w:rPr>
          <w:rFonts w:cs="Arial"/>
          <w:szCs w:val="24"/>
        </w:rPr>
        <w:t>somme, että todellista tarvetta julkisuuden lisäämiselle näiden tietojen osalta ei ole olemassa. Luvuissa ovat mukana sekä viranomaisten että yksityisten ihmisten t</w:t>
      </w:r>
      <w:r w:rsidRPr="00123BF5">
        <w:rPr>
          <w:rFonts w:cs="Arial"/>
          <w:szCs w:val="24"/>
        </w:rPr>
        <w:t>e</w:t>
      </w:r>
      <w:r w:rsidRPr="00123BF5">
        <w:rPr>
          <w:rFonts w:cs="Arial"/>
          <w:szCs w:val="24"/>
        </w:rPr>
        <w:t xml:space="preserve">kemät tiedustelut liiketoimintakieltorekisteriin. </w:t>
      </w: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Default="00123BF5" w:rsidP="00123BF5">
      <w:pPr>
        <w:ind w:left="1304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 xml:space="preserve">Edellä mainitun valossa katsomme, että intressit henkilötietojen suojaamiseksi ovat suuremmat kuin näiden tietojen laajan yleisöjulkisuuden edistäminen. </w:t>
      </w:r>
      <w:r>
        <w:rPr>
          <w:rFonts w:cs="Arial"/>
          <w:szCs w:val="24"/>
        </w:rPr>
        <w:t xml:space="preserve">EK ei </w:t>
      </w:r>
      <w:r w:rsidRPr="00123BF5">
        <w:rPr>
          <w:rFonts w:cs="Arial"/>
          <w:szCs w:val="24"/>
        </w:rPr>
        <w:t>kann</w:t>
      </w:r>
      <w:r w:rsidRPr="00123BF5">
        <w:rPr>
          <w:rFonts w:cs="Arial"/>
          <w:szCs w:val="24"/>
        </w:rPr>
        <w:t>a</w:t>
      </w:r>
      <w:r w:rsidRPr="00123BF5">
        <w:rPr>
          <w:rFonts w:cs="Arial"/>
          <w:szCs w:val="24"/>
        </w:rPr>
        <w:t>ta liiketoimintakieltorekisterin avoimuuden lisäämistä tietojen julkistamisella intern</w:t>
      </w:r>
      <w:r w:rsidRPr="00123BF5">
        <w:rPr>
          <w:rFonts w:cs="Arial"/>
          <w:szCs w:val="24"/>
        </w:rPr>
        <w:t>e</w:t>
      </w:r>
      <w:r w:rsidRPr="00123BF5">
        <w:rPr>
          <w:rFonts w:cs="Arial"/>
          <w:szCs w:val="24"/>
        </w:rPr>
        <w:t xml:space="preserve">tissä. </w:t>
      </w:r>
    </w:p>
    <w:p w:rsidR="00123BF5" w:rsidRPr="00123BF5" w:rsidRDefault="00123BF5" w:rsidP="00123BF5">
      <w:pPr>
        <w:ind w:left="1304"/>
        <w:jc w:val="both"/>
        <w:rPr>
          <w:rFonts w:cs="Arial"/>
          <w:szCs w:val="24"/>
        </w:rPr>
      </w:pPr>
    </w:p>
    <w:p w:rsidR="00123BF5" w:rsidRPr="00123BF5" w:rsidRDefault="00123BF5" w:rsidP="00123BF5">
      <w:pPr>
        <w:ind w:left="1304" w:firstLine="1"/>
        <w:jc w:val="both"/>
        <w:rPr>
          <w:rFonts w:cs="Arial"/>
          <w:szCs w:val="24"/>
        </w:rPr>
      </w:pPr>
      <w:r w:rsidRPr="00123BF5">
        <w:rPr>
          <w:rFonts w:cs="Arial"/>
          <w:szCs w:val="24"/>
        </w:rPr>
        <w:t>Katsomme arviomuistiossa esitetyn mukaisesti, että mikäli asian jatkovalmisteluun kuitenkin päädytään, olisi tärkeää selvittää, mitkä ovat niitä tahoja, jotka eivät saa tietoja nykyään riittävän tehokkaasti ja mitkä ovat tarkemmat perustelut avoimu</w:t>
      </w:r>
      <w:r w:rsidRPr="00123BF5">
        <w:rPr>
          <w:rFonts w:cs="Arial"/>
          <w:szCs w:val="24"/>
        </w:rPr>
        <w:t>u</w:t>
      </w:r>
      <w:r w:rsidRPr="00123BF5">
        <w:rPr>
          <w:rFonts w:cs="Arial"/>
          <w:szCs w:val="24"/>
        </w:rPr>
        <w:t xml:space="preserve">den lisäämisen taustalla. Yhtä tärkeää olisi myös </w:t>
      </w:r>
      <w:proofErr w:type="gramStart"/>
      <w:r w:rsidRPr="00123BF5">
        <w:rPr>
          <w:rFonts w:cs="Arial"/>
          <w:szCs w:val="24"/>
        </w:rPr>
        <w:t>selvittää</w:t>
      </w:r>
      <w:proofErr w:type="gramEnd"/>
      <w:r w:rsidRPr="00123BF5">
        <w:rPr>
          <w:rFonts w:cs="Arial"/>
          <w:szCs w:val="24"/>
        </w:rPr>
        <w:t xml:space="preserve"> ju</w:t>
      </w:r>
      <w:r w:rsidR="009E0A1C">
        <w:rPr>
          <w:rFonts w:cs="Arial"/>
          <w:szCs w:val="24"/>
        </w:rPr>
        <w:t>lkisuuden lisäämisen edellytykset ja mahdollisuudet</w:t>
      </w:r>
      <w:r w:rsidRPr="00123BF5">
        <w:rPr>
          <w:rFonts w:cs="Arial"/>
          <w:szCs w:val="24"/>
        </w:rPr>
        <w:t xml:space="preserve"> perustuslain valossa.</w:t>
      </w:r>
    </w:p>
    <w:p w:rsidR="00123BF5" w:rsidRPr="00123BF5" w:rsidRDefault="00123BF5" w:rsidP="00123BF5">
      <w:pPr>
        <w:jc w:val="both"/>
        <w:rPr>
          <w:rFonts w:cs="Arial"/>
          <w:szCs w:val="24"/>
        </w:rPr>
      </w:pPr>
    </w:p>
    <w:p w:rsidR="006A60C1" w:rsidRPr="00123BF5" w:rsidRDefault="006A60C1" w:rsidP="00173650">
      <w:pPr>
        <w:pStyle w:val="Sis2"/>
        <w:ind w:left="0"/>
        <w:jc w:val="both"/>
        <w:rPr>
          <w:szCs w:val="24"/>
        </w:rPr>
      </w:pPr>
    </w:p>
    <w:p w:rsidR="006A60C1" w:rsidRPr="00123BF5" w:rsidRDefault="006A60C1" w:rsidP="00123BF5">
      <w:pPr>
        <w:pStyle w:val="Sis2"/>
        <w:jc w:val="both"/>
        <w:rPr>
          <w:szCs w:val="24"/>
        </w:rPr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6A60C1" w:rsidRPr="00123BF5"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  <w:r w:rsidRPr="00123BF5">
              <w:rPr>
                <w:szCs w:val="24"/>
              </w:rPr>
              <w:t>Kunnioittavasti</w:t>
            </w:r>
          </w:p>
        </w:tc>
      </w:tr>
      <w:tr w:rsidR="006A60C1" w:rsidRPr="00123BF5"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</w:p>
        </w:tc>
      </w:tr>
      <w:tr w:rsidR="006A60C1" w:rsidRPr="00123BF5"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  <w:r w:rsidRPr="00123BF5">
              <w:rPr>
                <w:szCs w:val="24"/>
              </w:rPr>
              <w:t>Elinkeinoelämän keskusliitto EK</w:t>
            </w:r>
          </w:p>
        </w:tc>
      </w:tr>
      <w:tr w:rsidR="006A60C1" w:rsidRPr="00123BF5">
        <w:trPr>
          <w:trHeight w:val="851"/>
        </w:trPr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  <w:r w:rsidRPr="00123BF5">
              <w:rPr>
                <w:szCs w:val="24"/>
              </w:rPr>
              <w:t>Lainsäädäntö ja hallinto</w:t>
            </w:r>
          </w:p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</w:p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</w:p>
        </w:tc>
      </w:tr>
      <w:tr w:rsidR="006A60C1" w:rsidRPr="00123BF5"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  <w:bookmarkStart w:id="4" w:name="dsignaturename"/>
            <w:bookmarkEnd w:id="4"/>
            <w:r w:rsidRPr="00123BF5">
              <w:rPr>
                <w:szCs w:val="24"/>
              </w:rPr>
              <w:t>Hannu Rautiainen</w:t>
            </w:r>
          </w:p>
        </w:tc>
      </w:tr>
      <w:tr w:rsidR="006A60C1" w:rsidRPr="00123BF5">
        <w:tc>
          <w:tcPr>
            <w:tcW w:w="7307" w:type="dxa"/>
          </w:tcPr>
          <w:p w:rsidR="006A60C1" w:rsidRPr="00123BF5" w:rsidRDefault="006A60C1" w:rsidP="00123BF5">
            <w:pPr>
              <w:pStyle w:val="Sis2"/>
              <w:ind w:left="0"/>
              <w:jc w:val="both"/>
              <w:rPr>
                <w:szCs w:val="24"/>
              </w:rPr>
            </w:pPr>
            <w:bookmarkStart w:id="5" w:name="dsignaturetitle"/>
            <w:bookmarkEnd w:id="5"/>
            <w:r w:rsidRPr="00123BF5">
              <w:rPr>
                <w:szCs w:val="24"/>
              </w:rPr>
              <w:t>johtaja</w:t>
            </w:r>
          </w:p>
        </w:tc>
      </w:tr>
    </w:tbl>
    <w:p w:rsidR="006A60C1" w:rsidRPr="00123BF5" w:rsidRDefault="006A60C1" w:rsidP="002112B2">
      <w:pPr>
        <w:pStyle w:val="Sis2"/>
        <w:ind w:left="0"/>
        <w:jc w:val="both"/>
        <w:rPr>
          <w:szCs w:val="24"/>
          <w:lang w:val="en-GB"/>
        </w:rPr>
      </w:pPr>
    </w:p>
    <w:sectPr w:rsidR="006A60C1" w:rsidRPr="00123BF5" w:rsidSect="00B53183">
      <w:headerReference w:type="default" r:id="rId8"/>
      <w:headerReference w:type="first" r:id="rId9"/>
      <w:footerReference w:type="first" r:id="rId10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29" w:rsidRDefault="00605029" w:rsidP="00A87A76">
      <w:r>
        <w:separator/>
      </w:r>
    </w:p>
  </w:endnote>
  <w:endnote w:type="continuationSeparator" w:id="0">
    <w:p w:rsidR="00605029" w:rsidRDefault="00605029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6A60C1" w:rsidTr="00F31A57">
      <w:tc>
        <w:tcPr>
          <w:tcW w:w="7307" w:type="dxa"/>
          <w:hideMark/>
        </w:tcPr>
        <w:p w:rsidR="006A60C1" w:rsidRDefault="006A60C1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6A60C1" w:rsidTr="00F31A57">
      <w:tc>
        <w:tcPr>
          <w:tcW w:w="7307" w:type="dxa"/>
          <w:hideMark/>
        </w:tcPr>
        <w:p w:rsidR="006A60C1" w:rsidRDefault="006A60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PL 30 · Eteläranta 10, 00131 Helsinki · </w:t>
          </w:r>
          <w:proofErr w:type="gramStart"/>
          <w:r>
            <w:rPr>
              <w:sz w:val="16"/>
              <w:szCs w:val="16"/>
            </w:rPr>
            <w:t>Puhelin 09 42020</w:t>
          </w:r>
          <w:proofErr w:type="gramEnd"/>
        </w:p>
      </w:tc>
    </w:tr>
    <w:tr w:rsidR="006A60C1" w:rsidTr="00F31A57">
      <w:tc>
        <w:tcPr>
          <w:tcW w:w="7307" w:type="dxa"/>
          <w:hideMark/>
        </w:tcPr>
        <w:p w:rsidR="006A60C1" w:rsidRDefault="006A60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:rsidR="006A60C1" w:rsidRPr="006A60C1" w:rsidRDefault="006A60C1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29" w:rsidRDefault="00605029" w:rsidP="00A87A76">
      <w:r>
        <w:separator/>
      </w:r>
    </w:p>
  </w:footnote>
  <w:footnote w:type="continuationSeparator" w:id="0">
    <w:p w:rsidR="00605029" w:rsidRDefault="00605029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6A60C1" w:rsidP="003A17F0">
          <w:pPr>
            <w:pStyle w:val="Yltunniste"/>
            <w:rPr>
              <w:caps/>
              <w:szCs w:val="24"/>
            </w:rPr>
          </w:pPr>
          <w:bookmarkStart w:id="6" w:name="dtextlogo_2"/>
          <w:bookmarkEnd w:id="6"/>
          <w:r>
            <w:rPr>
              <w:caps/>
              <w:szCs w:val="24"/>
            </w:rPr>
            <w:t>ELINKEINOELÄMÄN KESKUSLIITTO EK</w:t>
          </w:r>
        </w:p>
      </w:tc>
      <w:tc>
        <w:tcPr>
          <w:tcW w:w="2608" w:type="dxa"/>
        </w:tcPr>
        <w:p w:rsidR="00193DC7" w:rsidRPr="00A35D9F" w:rsidRDefault="006A60C1" w:rsidP="003A17F0">
          <w:pPr>
            <w:pStyle w:val="Yltunniste"/>
            <w:rPr>
              <w:caps/>
              <w:szCs w:val="24"/>
            </w:rPr>
          </w:pPr>
          <w:r>
            <w:rPr>
              <w:caps/>
              <w:szCs w:val="24"/>
            </w:rPr>
            <w:t>LAUSUNTO</w:t>
          </w:r>
        </w:p>
      </w:tc>
      <w:bookmarkStart w:id="7" w:name="dfieldpages_2"/>
      <w:bookmarkEnd w:id="7"/>
      <w:tc>
        <w:tcPr>
          <w:tcW w:w="1716" w:type="dxa"/>
        </w:tcPr>
        <w:p w:rsidR="00193DC7" w:rsidRDefault="006A60C1" w:rsidP="003A17F0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819C1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2819C1">
            <w:fldChar w:fldCharType="begin"/>
          </w:r>
          <w:r w:rsidR="002819C1">
            <w:instrText xml:space="preserve"> NUMPAGES  \* MERGEFORMAT </w:instrText>
          </w:r>
          <w:r w:rsidR="002819C1">
            <w:fldChar w:fldCharType="separate"/>
          </w:r>
          <w:r w:rsidR="002819C1">
            <w:rPr>
              <w:noProof/>
            </w:rPr>
            <w:t>3</w:t>
          </w:r>
          <w:r w:rsidR="002819C1"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6A60C1" w:rsidP="003A17F0">
          <w:pPr>
            <w:pStyle w:val="Yltunniste"/>
          </w:pPr>
          <w:r>
            <w:t>Lainsäädäntö ja hallinto/Yrityslainsäädäntö</w:t>
          </w:r>
        </w:p>
      </w:tc>
      <w:tc>
        <w:tcPr>
          <w:tcW w:w="2608" w:type="dxa"/>
        </w:tcPr>
        <w:p w:rsidR="00193DC7" w:rsidRDefault="00193DC7" w:rsidP="003A17F0">
          <w:pPr>
            <w:pStyle w:val="Yltunniste"/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6A60C1" w:rsidP="002112B2">
          <w:pPr>
            <w:pStyle w:val="Yltunniste"/>
          </w:pPr>
          <w:r>
            <w:t xml:space="preserve">Hannu </w:t>
          </w:r>
          <w:r w:rsidR="002112B2">
            <w:t>Ylänen</w:t>
          </w:r>
        </w:p>
      </w:tc>
      <w:tc>
        <w:tcPr>
          <w:tcW w:w="2608" w:type="dxa"/>
        </w:tcPr>
        <w:p w:rsidR="00193DC7" w:rsidRDefault="006A60C1" w:rsidP="003A17F0">
          <w:pPr>
            <w:pStyle w:val="Yltunniste"/>
          </w:pPr>
          <w:r>
            <w:t>30.5.2014</w:t>
          </w:r>
        </w:p>
      </w:tc>
      <w:tc>
        <w:tcPr>
          <w:tcW w:w="1716" w:type="dxa"/>
        </w:tcPr>
        <w:p w:rsidR="00193DC7" w:rsidRDefault="006A60C1" w:rsidP="003A17F0">
          <w:pPr>
            <w:pStyle w:val="Yltunniste"/>
            <w:jc w:val="right"/>
          </w:pPr>
          <w:r>
            <w:t>EK-</w:t>
          </w:r>
          <w:proofErr w:type="gramStart"/>
          <w:r>
            <w:t>2014-74</w:t>
          </w:r>
          <w:proofErr w:type="gramEnd"/>
        </w:p>
      </w:tc>
      <w:tc>
        <w:tcPr>
          <w:tcW w:w="892" w:type="dxa"/>
        </w:tcPr>
        <w:p w:rsidR="00193DC7" w:rsidRDefault="00193DC7" w:rsidP="003A17F0">
          <w:pPr>
            <w:pStyle w:val="Yltunniste"/>
          </w:pPr>
        </w:p>
      </w:tc>
    </w:tr>
  </w:tbl>
  <w:p w:rsidR="00193DC7" w:rsidRDefault="00193DC7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193DC7" w:rsidTr="003A17F0">
      <w:trPr>
        <w:cantSplit/>
        <w:trHeight w:hRule="exact" w:val="20"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caps/>
              <w:noProof/>
              <w:szCs w:val="24"/>
            </w:rPr>
          </w:pPr>
          <w:bookmarkStart w:id="8" w:name="dtextlogo"/>
          <w:bookmarkEnd w:id="8"/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b/>
              <w:caps/>
              <w:noProof/>
              <w:szCs w:val="24"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6A60C1" w:rsidP="001745D3">
          <w:pPr>
            <w:pStyle w:val="Yltunniste"/>
            <w:rPr>
              <w:noProof/>
            </w:rPr>
          </w:pPr>
          <w:bookmarkStart w:id="9" w:name="dsector_respunit"/>
          <w:bookmarkEnd w:id="9"/>
          <w:r>
            <w:rPr>
              <w:noProof/>
            </w:rPr>
            <w:t>Lainsäädäntö ja hallinto/Yrityslainsäädäntö</w:t>
          </w: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5216" w:type="dxa"/>
        </w:tcPr>
        <w:p w:rsidR="00193DC7" w:rsidRDefault="006A60C1" w:rsidP="006A60C1">
          <w:pPr>
            <w:pStyle w:val="Yltunniste"/>
            <w:rPr>
              <w:noProof/>
            </w:rPr>
          </w:pPr>
          <w:bookmarkStart w:id="10" w:name="duname"/>
          <w:bookmarkEnd w:id="10"/>
          <w:r>
            <w:rPr>
              <w:noProof/>
            </w:rPr>
            <w:t>Hannu Ylänen</w:t>
          </w:r>
        </w:p>
      </w:tc>
      <w:tc>
        <w:tcPr>
          <w:tcW w:w="2608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193DC7" w:rsidRDefault="00193DC7" w:rsidP="003A17F0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193DC7" w:rsidRDefault="00193DC7" w:rsidP="003A17F0">
          <w:pPr>
            <w:pStyle w:val="Yltunniste"/>
            <w:rPr>
              <w:noProof/>
            </w:rPr>
          </w:pPr>
        </w:p>
      </w:tc>
    </w:tr>
  </w:tbl>
  <w:p w:rsidR="00193DC7" w:rsidRDefault="00193DC7" w:rsidP="00193DC7">
    <w:pPr>
      <w:pStyle w:val="Yltunniste"/>
      <w:rPr>
        <w:noProof/>
        <w:sz w:val="2"/>
        <w:szCs w:val="2"/>
      </w:rPr>
    </w:pPr>
  </w:p>
  <w:tbl>
    <w:tblPr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193DC7" w:rsidTr="003A17F0">
      <w:trPr>
        <w:cantSplit/>
      </w:trPr>
      <w:tc>
        <w:tcPr>
          <w:tcW w:w="2605" w:type="dxa"/>
        </w:tcPr>
        <w:p w:rsidR="00193DC7" w:rsidRPr="00A35D9F" w:rsidRDefault="006A60C1" w:rsidP="00193DC7">
          <w:pPr>
            <w:pStyle w:val="Yltunniste"/>
            <w:framePr w:hSpace="57" w:wrap="around" w:vAnchor="page" w:hAnchor="page" w:x="6368" w:y="2269" w:anchorLock="1"/>
            <w:rPr>
              <w:caps/>
              <w:noProof/>
              <w:szCs w:val="24"/>
            </w:rPr>
          </w:pPr>
          <w:bookmarkStart w:id="11" w:name="dname"/>
          <w:bookmarkEnd w:id="11"/>
          <w:r>
            <w:rPr>
              <w:caps/>
              <w:noProof/>
              <w:szCs w:val="24"/>
            </w:rPr>
            <w:t>LAUSUNTO</w:t>
          </w:r>
        </w:p>
      </w:tc>
      <w:bookmarkStart w:id="12" w:name="dfieldpages"/>
      <w:bookmarkEnd w:id="12"/>
      <w:tc>
        <w:tcPr>
          <w:tcW w:w="1716" w:type="dxa"/>
        </w:tcPr>
        <w:p w:rsidR="00193DC7" w:rsidRDefault="006A60C1" w:rsidP="00193DC7">
          <w:pPr>
            <w:pStyle w:val="Yltunniste"/>
            <w:framePr w:hSpace="57" w:wrap="around" w:vAnchor="page" w:hAnchor="page" w:x="6368" w:y="2269" w:anchorLock="1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2819C1"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2819C1">
            <w:rPr>
              <w:caps/>
              <w:noProof/>
              <w:szCs w:val="24"/>
            </w:rPr>
            <w:t>3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5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2605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  <w:bookmarkStart w:id="13" w:name="dclass"/>
          <w:bookmarkEnd w:id="13"/>
        </w:p>
      </w:tc>
      <w:tc>
        <w:tcPr>
          <w:tcW w:w="1715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jc w:val="right"/>
            <w:rPr>
              <w:noProof/>
            </w:rPr>
          </w:pPr>
          <w:bookmarkStart w:id="14" w:name="dencl"/>
          <w:bookmarkEnd w:id="14"/>
        </w:p>
      </w:tc>
      <w:tc>
        <w:tcPr>
          <w:tcW w:w="896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2605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</w:p>
      </w:tc>
      <w:tc>
        <w:tcPr>
          <w:tcW w:w="2611" w:type="dxa"/>
          <w:gridSpan w:val="2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</w:p>
      </w:tc>
    </w:tr>
    <w:tr w:rsidR="00193DC7" w:rsidTr="003A17F0">
      <w:trPr>
        <w:cantSplit/>
      </w:trPr>
      <w:tc>
        <w:tcPr>
          <w:tcW w:w="2605" w:type="dxa"/>
        </w:tcPr>
        <w:p w:rsidR="00193DC7" w:rsidRDefault="006A60C1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  <w:bookmarkStart w:id="15" w:name="ddate"/>
          <w:bookmarkEnd w:id="15"/>
          <w:r>
            <w:rPr>
              <w:noProof/>
            </w:rPr>
            <w:t>30.5.2014</w:t>
          </w:r>
        </w:p>
      </w:tc>
      <w:tc>
        <w:tcPr>
          <w:tcW w:w="1716" w:type="dxa"/>
        </w:tcPr>
        <w:p w:rsidR="00193DC7" w:rsidRDefault="006A60C1" w:rsidP="00193DC7">
          <w:pPr>
            <w:pStyle w:val="Yltunniste"/>
            <w:framePr w:hSpace="57" w:wrap="around" w:vAnchor="page" w:hAnchor="page" w:x="6368" w:y="2269" w:anchorLock="1"/>
            <w:jc w:val="right"/>
            <w:rPr>
              <w:noProof/>
            </w:rPr>
          </w:pPr>
          <w:bookmarkStart w:id="16" w:name="dcode"/>
          <w:bookmarkEnd w:id="16"/>
          <w:r>
            <w:rPr>
              <w:noProof/>
            </w:rPr>
            <w:t>EK-2014-74</w:t>
          </w:r>
        </w:p>
      </w:tc>
      <w:tc>
        <w:tcPr>
          <w:tcW w:w="895" w:type="dxa"/>
        </w:tcPr>
        <w:p w:rsidR="00193DC7" w:rsidRDefault="00193DC7" w:rsidP="00193DC7">
          <w:pPr>
            <w:pStyle w:val="Yltunniste"/>
            <w:framePr w:hSpace="57" w:wrap="around" w:vAnchor="page" w:hAnchor="page" w:x="6368" w:y="2269" w:anchorLock="1"/>
            <w:rPr>
              <w:noProof/>
            </w:rPr>
          </w:pPr>
        </w:p>
      </w:tc>
    </w:tr>
  </w:tbl>
  <w:p w:rsidR="00193DC7" w:rsidRDefault="00193DC7" w:rsidP="00193DC7">
    <w:pPr>
      <w:pStyle w:val="Yltunniste"/>
      <w:framePr w:hSpace="57" w:wrap="around" w:vAnchor="page" w:hAnchor="page" w:x="6368" w:y="2269" w:anchorLock="1"/>
      <w:rPr>
        <w:noProof/>
        <w:sz w:val="2"/>
        <w:szCs w:val="2"/>
      </w:rPr>
    </w:pPr>
  </w:p>
  <w:p w:rsidR="006A60C1" w:rsidRDefault="006A60C1" w:rsidP="00211976">
    <w:pPr>
      <w:framePr w:hSpace="141" w:wrap="around" w:vAnchor="page" w:hAnchor="page" w:x="8646" w:y="624"/>
      <w:rPr>
        <w:noProof/>
      </w:rPr>
    </w:pPr>
    <w:r>
      <w:rPr>
        <w:noProof/>
      </w:rPr>
      <w:drawing>
        <wp:inline distT="0" distB="0" distL="0" distR="0" wp14:anchorId="55E755F9" wp14:editId="26DA21B4">
          <wp:extent cx="762000" cy="762000"/>
          <wp:effectExtent l="0" t="0" r="0" b="0"/>
          <wp:docPr id="1" name="Kuva 1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DC7" w:rsidRPr="007178D1" w:rsidRDefault="00193DC7" w:rsidP="00193DC7">
    <w:pPr>
      <w:pStyle w:val="Yltunnist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2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3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5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6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7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C1"/>
    <w:rsid w:val="00023369"/>
    <w:rsid w:val="0005163C"/>
    <w:rsid w:val="000A20F0"/>
    <w:rsid w:val="000A4C53"/>
    <w:rsid w:val="000D0617"/>
    <w:rsid w:val="000D0866"/>
    <w:rsid w:val="000E5871"/>
    <w:rsid w:val="001149E8"/>
    <w:rsid w:val="00123BF5"/>
    <w:rsid w:val="00130178"/>
    <w:rsid w:val="00173650"/>
    <w:rsid w:val="001745D3"/>
    <w:rsid w:val="001862C8"/>
    <w:rsid w:val="00193DC7"/>
    <w:rsid w:val="001A277A"/>
    <w:rsid w:val="001A297B"/>
    <w:rsid w:val="001D10D5"/>
    <w:rsid w:val="001D3008"/>
    <w:rsid w:val="002112B2"/>
    <w:rsid w:val="00244CA4"/>
    <w:rsid w:val="00266624"/>
    <w:rsid w:val="002763D0"/>
    <w:rsid w:val="002819C1"/>
    <w:rsid w:val="002A4233"/>
    <w:rsid w:val="002F775C"/>
    <w:rsid w:val="003308B8"/>
    <w:rsid w:val="00371754"/>
    <w:rsid w:val="003B774D"/>
    <w:rsid w:val="003B7AF8"/>
    <w:rsid w:val="003D7069"/>
    <w:rsid w:val="00410982"/>
    <w:rsid w:val="0043310C"/>
    <w:rsid w:val="00434376"/>
    <w:rsid w:val="0045264B"/>
    <w:rsid w:val="0048254B"/>
    <w:rsid w:val="00494399"/>
    <w:rsid w:val="004948B8"/>
    <w:rsid w:val="004A3719"/>
    <w:rsid w:val="005207DA"/>
    <w:rsid w:val="0054140C"/>
    <w:rsid w:val="005C2B9D"/>
    <w:rsid w:val="005C6BB3"/>
    <w:rsid w:val="005D5490"/>
    <w:rsid w:val="005F00B2"/>
    <w:rsid w:val="005F4355"/>
    <w:rsid w:val="00603E8B"/>
    <w:rsid w:val="00605029"/>
    <w:rsid w:val="006076A8"/>
    <w:rsid w:val="006A4CF0"/>
    <w:rsid w:val="006A60C1"/>
    <w:rsid w:val="006D54DF"/>
    <w:rsid w:val="006E2718"/>
    <w:rsid w:val="00705ADA"/>
    <w:rsid w:val="0071137E"/>
    <w:rsid w:val="007526E3"/>
    <w:rsid w:val="00755784"/>
    <w:rsid w:val="00775AF9"/>
    <w:rsid w:val="007C4F78"/>
    <w:rsid w:val="007D7FA6"/>
    <w:rsid w:val="007E0549"/>
    <w:rsid w:val="007E54AD"/>
    <w:rsid w:val="007E6337"/>
    <w:rsid w:val="008114C5"/>
    <w:rsid w:val="00835035"/>
    <w:rsid w:val="00876647"/>
    <w:rsid w:val="00880683"/>
    <w:rsid w:val="008B5917"/>
    <w:rsid w:val="008C47FA"/>
    <w:rsid w:val="008E281C"/>
    <w:rsid w:val="008E755A"/>
    <w:rsid w:val="008F1043"/>
    <w:rsid w:val="00906330"/>
    <w:rsid w:val="00920EE0"/>
    <w:rsid w:val="0092451F"/>
    <w:rsid w:val="00957FAB"/>
    <w:rsid w:val="00962F50"/>
    <w:rsid w:val="00971F35"/>
    <w:rsid w:val="0097377A"/>
    <w:rsid w:val="009B12FD"/>
    <w:rsid w:val="009E0A1C"/>
    <w:rsid w:val="00A04FC3"/>
    <w:rsid w:val="00A27938"/>
    <w:rsid w:val="00A35D9F"/>
    <w:rsid w:val="00A3744A"/>
    <w:rsid w:val="00A425FE"/>
    <w:rsid w:val="00A87A76"/>
    <w:rsid w:val="00AD0DA4"/>
    <w:rsid w:val="00AD7C81"/>
    <w:rsid w:val="00B01F6F"/>
    <w:rsid w:val="00B0465C"/>
    <w:rsid w:val="00B53183"/>
    <w:rsid w:val="00B558F4"/>
    <w:rsid w:val="00B67523"/>
    <w:rsid w:val="00B75753"/>
    <w:rsid w:val="00B821B5"/>
    <w:rsid w:val="00B958E6"/>
    <w:rsid w:val="00BC0CE9"/>
    <w:rsid w:val="00BC5CD4"/>
    <w:rsid w:val="00BD3498"/>
    <w:rsid w:val="00BE50EA"/>
    <w:rsid w:val="00C17299"/>
    <w:rsid w:val="00C2043F"/>
    <w:rsid w:val="00C43049"/>
    <w:rsid w:val="00C9603F"/>
    <w:rsid w:val="00CF4AF0"/>
    <w:rsid w:val="00D058CA"/>
    <w:rsid w:val="00D10E33"/>
    <w:rsid w:val="00D30BA1"/>
    <w:rsid w:val="00D41751"/>
    <w:rsid w:val="00D74CD9"/>
    <w:rsid w:val="00D823DE"/>
    <w:rsid w:val="00D835F0"/>
    <w:rsid w:val="00DA4E84"/>
    <w:rsid w:val="00DB0214"/>
    <w:rsid w:val="00DE4261"/>
    <w:rsid w:val="00E15C03"/>
    <w:rsid w:val="00E200FD"/>
    <w:rsid w:val="00E24049"/>
    <w:rsid w:val="00E40083"/>
    <w:rsid w:val="00E50EB0"/>
    <w:rsid w:val="00E74BE4"/>
    <w:rsid w:val="00EB0243"/>
    <w:rsid w:val="00EE173C"/>
    <w:rsid w:val="00EF4E2D"/>
    <w:rsid w:val="00F30917"/>
    <w:rsid w:val="00F33760"/>
    <w:rsid w:val="00F47679"/>
    <w:rsid w:val="00F50965"/>
    <w:rsid w:val="00F60D64"/>
    <w:rsid w:val="00F641B2"/>
    <w:rsid w:val="00F75A8E"/>
    <w:rsid w:val="00F936DA"/>
    <w:rsid w:val="00F94814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75A8E"/>
    <w:pPr>
      <w:spacing w:after="0" w:line="240" w:lineRule="auto"/>
    </w:pPr>
    <w:rPr>
      <w:rFonts w:ascii="Arial" w:eastAsia="Times New Roman" w:hAnsi="Arial" w:cs="Times New Roman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6A60C1"/>
    <w:pPr>
      <w:keepNext/>
      <w:spacing w:before="240" w:after="240"/>
      <w:outlineLvl w:val="0"/>
    </w:pPr>
    <w:rPr>
      <w:rFonts w:cs="Arial"/>
      <w:bCs/>
    </w:rPr>
  </w:style>
  <w:style w:type="paragraph" w:styleId="Otsikko2">
    <w:name w:val="heading 2"/>
    <w:basedOn w:val="Normaali"/>
    <w:next w:val="Sis2"/>
    <w:link w:val="Otsikko2Char"/>
    <w:qFormat/>
    <w:rsid w:val="006A60C1"/>
    <w:pPr>
      <w:keepNext/>
      <w:spacing w:before="240" w:after="240"/>
      <w:outlineLvl w:val="1"/>
    </w:pPr>
    <w:rPr>
      <w:rFonts w:cs="Arial"/>
      <w:bCs/>
      <w:iCs/>
    </w:rPr>
  </w:style>
  <w:style w:type="paragraph" w:styleId="Otsikko3">
    <w:name w:val="heading 3"/>
    <w:basedOn w:val="Normaali"/>
    <w:next w:val="Sis2"/>
    <w:link w:val="Otsikko3Char"/>
    <w:qFormat/>
    <w:rsid w:val="006A60C1"/>
    <w:pPr>
      <w:keepNext/>
      <w:spacing w:before="240" w:after="240"/>
      <w:outlineLvl w:val="2"/>
    </w:pPr>
    <w:rPr>
      <w:rFonts w:cs="Arial"/>
      <w:bCs/>
    </w:rPr>
  </w:style>
  <w:style w:type="paragraph" w:styleId="Otsikko4">
    <w:name w:val="heading 4"/>
    <w:basedOn w:val="Normaali"/>
    <w:next w:val="Sis2"/>
    <w:link w:val="Otsikko4Char"/>
    <w:semiHidden/>
    <w:rsid w:val="006A60C1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6A60C1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6A60C1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6A60C1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6A60C1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6A60C1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bottom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bottom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bottom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bottom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bottom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bottom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Ind w:w="0" w:type="dxa"/>
      <w:tblBorders>
        <w:top w:val="single" w:sz="8" w:space="0" w:color="2D338E" w:themeColor="accent1"/>
        <w:bottom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Ind w:w="0" w:type="dxa"/>
      <w:tblBorders>
        <w:top w:val="single" w:sz="8" w:space="0" w:color="BAC405" w:themeColor="accent2"/>
        <w:bottom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Ind w:w="0" w:type="dxa"/>
      <w:tblBorders>
        <w:top w:val="single" w:sz="8" w:space="0" w:color="8E2344" w:themeColor="accent3"/>
        <w:bottom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Ind w:w="0" w:type="dxa"/>
      <w:tblBorders>
        <w:top w:val="single" w:sz="8" w:space="0" w:color="0091C9" w:themeColor="accent4"/>
        <w:bottom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Ind w:w="0" w:type="dxa"/>
      <w:tblBorders>
        <w:top w:val="single" w:sz="8" w:space="0" w:color="E28C05" w:themeColor="accent5"/>
        <w:bottom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Ind w:w="0" w:type="dxa"/>
      <w:tblBorders>
        <w:top w:val="single" w:sz="8" w:space="0" w:color="D10056" w:themeColor="accent6"/>
        <w:bottom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F75A8E"/>
    <w:pPr>
      <w:spacing w:after="240"/>
    </w:pPr>
    <w:rPr>
      <w:b/>
      <w:caps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F75A8E"/>
    <w:pPr>
      <w:spacing w:after="0" w:line="240" w:lineRule="auto"/>
    </w:pPr>
    <w:rPr>
      <w:rFonts w:ascii="Arial" w:eastAsia="Times New Roman" w:hAnsi="Arial" w:cs="Times New Roman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6A60C1"/>
    <w:pPr>
      <w:keepNext/>
      <w:spacing w:before="240" w:after="240"/>
      <w:outlineLvl w:val="0"/>
    </w:pPr>
    <w:rPr>
      <w:rFonts w:cs="Arial"/>
      <w:bCs/>
    </w:rPr>
  </w:style>
  <w:style w:type="paragraph" w:styleId="Otsikko2">
    <w:name w:val="heading 2"/>
    <w:basedOn w:val="Normaali"/>
    <w:next w:val="Sis2"/>
    <w:link w:val="Otsikko2Char"/>
    <w:qFormat/>
    <w:rsid w:val="006A60C1"/>
    <w:pPr>
      <w:keepNext/>
      <w:spacing w:before="240" w:after="240"/>
      <w:outlineLvl w:val="1"/>
    </w:pPr>
    <w:rPr>
      <w:rFonts w:cs="Arial"/>
      <w:bCs/>
      <w:iCs/>
    </w:rPr>
  </w:style>
  <w:style w:type="paragraph" w:styleId="Otsikko3">
    <w:name w:val="heading 3"/>
    <w:basedOn w:val="Normaali"/>
    <w:next w:val="Sis2"/>
    <w:link w:val="Otsikko3Char"/>
    <w:qFormat/>
    <w:rsid w:val="006A60C1"/>
    <w:pPr>
      <w:keepNext/>
      <w:spacing w:before="240" w:after="240"/>
      <w:outlineLvl w:val="2"/>
    </w:pPr>
    <w:rPr>
      <w:rFonts w:cs="Arial"/>
      <w:bCs/>
    </w:rPr>
  </w:style>
  <w:style w:type="paragraph" w:styleId="Otsikko4">
    <w:name w:val="heading 4"/>
    <w:basedOn w:val="Normaali"/>
    <w:next w:val="Sis2"/>
    <w:link w:val="Otsikko4Char"/>
    <w:semiHidden/>
    <w:rsid w:val="006A60C1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6A60C1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6A60C1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6A60C1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6A60C1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6A60C1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bottom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bottom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bottom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bottom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bottom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bottom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Ind w:w="0" w:type="dxa"/>
      <w:tblBorders>
        <w:top w:val="single" w:sz="8" w:space="0" w:color="2D338E" w:themeColor="accent1"/>
        <w:bottom w:val="single" w:sz="8" w:space="0" w:color="2D338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Ind w:w="0" w:type="dxa"/>
      <w:tblBorders>
        <w:top w:val="single" w:sz="8" w:space="0" w:color="BAC405" w:themeColor="accent2"/>
        <w:bottom w:val="single" w:sz="8" w:space="0" w:color="BAC40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Ind w:w="0" w:type="dxa"/>
      <w:tblBorders>
        <w:top w:val="single" w:sz="8" w:space="0" w:color="8E2344" w:themeColor="accent3"/>
        <w:bottom w:val="single" w:sz="8" w:space="0" w:color="8E234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Ind w:w="0" w:type="dxa"/>
      <w:tblBorders>
        <w:top w:val="single" w:sz="8" w:space="0" w:color="0091C9" w:themeColor="accent4"/>
        <w:bottom w:val="single" w:sz="8" w:space="0" w:color="0091C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Ind w:w="0" w:type="dxa"/>
      <w:tblBorders>
        <w:top w:val="single" w:sz="8" w:space="0" w:color="E28C05" w:themeColor="accent5"/>
        <w:bottom w:val="single" w:sz="8" w:space="0" w:color="E28C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Ind w:w="0" w:type="dxa"/>
      <w:tblBorders>
        <w:top w:val="single" w:sz="8" w:space="0" w:color="D10056" w:themeColor="accent6"/>
        <w:bottom w:val="single" w:sz="8" w:space="0" w:color="D1005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F75A8E"/>
    <w:pPr>
      <w:spacing w:after="240"/>
    </w:pPr>
    <w:rPr>
      <w:b/>
      <w:caps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5662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2014-04-29T11:13:00Z</dcterms:created>
  <dcterms:modified xsi:type="dcterms:W3CDTF">2014-04-29T11:13:00Z</dcterms:modified>
</cp:coreProperties>
</file>