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DA" w:rsidRPr="001241E9" w:rsidRDefault="00854ADA" w:rsidP="001241E9">
      <w:pPr>
        <w:pStyle w:val="AKPnormaali0"/>
      </w:pPr>
      <w:bookmarkStart w:id="0" w:name="_GoBack"/>
      <w:bookmarkEnd w:id="0"/>
    </w:p>
    <w:p w:rsidR="001241E9" w:rsidRPr="001241E9" w:rsidRDefault="001241E9" w:rsidP="001241E9">
      <w:pPr>
        <w:pStyle w:val="AKPnormaali0"/>
      </w:pPr>
    </w:p>
    <w:p w:rsidR="001241E9" w:rsidRPr="001241E9" w:rsidRDefault="001241E9" w:rsidP="001241E9">
      <w:pPr>
        <w:pStyle w:val="AKPnormaali0"/>
      </w:pPr>
    </w:p>
    <w:p w:rsidR="001241E9" w:rsidRPr="001241E9" w:rsidRDefault="001241E9" w:rsidP="001241E9">
      <w:pPr>
        <w:pStyle w:val="AKPnormaali0"/>
      </w:pPr>
    </w:p>
    <w:p w:rsidR="001241E9" w:rsidRPr="001241E9" w:rsidRDefault="001241E9" w:rsidP="001241E9">
      <w:pPr>
        <w:pStyle w:val="AKPnormaali0"/>
      </w:pPr>
    </w:p>
    <w:p w:rsidR="001241E9" w:rsidRPr="00631E4F" w:rsidRDefault="00203E6E" w:rsidP="001241E9">
      <w:pPr>
        <w:pStyle w:val="AKPnormaali0"/>
        <w:rPr>
          <w:i/>
        </w:rPr>
      </w:pPr>
      <w:r>
        <w:rPr>
          <w:i/>
        </w:rPr>
        <w:t>Työ- ja elinkeinoministeriölle</w:t>
      </w:r>
    </w:p>
    <w:p w:rsidR="001241E9" w:rsidRPr="001241E9" w:rsidRDefault="001241E9" w:rsidP="001241E9">
      <w:pPr>
        <w:pStyle w:val="AKPnormaali0"/>
      </w:pPr>
    </w:p>
    <w:p w:rsidR="00821A4C" w:rsidRPr="00262449" w:rsidRDefault="001241E9" w:rsidP="00446FB8">
      <w:pPr>
        <w:pStyle w:val="akpviite"/>
        <w:rPr>
          <w:lang w:val="fi-FI"/>
        </w:rPr>
      </w:pPr>
      <w:r w:rsidRPr="00262449">
        <w:rPr>
          <w:lang w:val="fi-FI"/>
        </w:rPr>
        <w:t>Lausuntopyyntönne</w:t>
      </w:r>
      <w:r w:rsidR="00AB518A" w:rsidRPr="00262449">
        <w:rPr>
          <w:lang w:val="fi-FI"/>
        </w:rPr>
        <w:t xml:space="preserve"> </w:t>
      </w:r>
      <w:r w:rsidR="00203E6E" w:rsidRPr="00262449">
        <w:rPr>
          <w:lang w:val="fi-FI"/>
        </w:rPr>
        <w:t>22.6.2017</w:t>
      </w:r>
      <w:r w:rsidRPr="00262449">
        <w:rPr>
          <w:lang w:val="fi-FI"/>
        </w:rPr>
        <w:t xml:space="preserve"> </w:t>
      </w:r>
    </w:p>
    <w:p w:rsidR="00446FB8" w:rsidRPr="00446FB8" w:rsidRDefault="00203E6E" w:rsidP="00446FB8">
      <w:pPr>
        <w:pStyle w:val="akpperus"/>
      </w:pPr>
      <w:r>
        <w:t>TEM/1334/03.01.01/2017</w:t>
      </w:r>
    </w:p>
    <w:p w:rsidR="001241E9" w:rsidRPr="001241E9" w:rsidRDefault="001241E9" w:rsidP="001241E9">
      <w:pPr>
        <w:pStyle w:val="AKPnormaali0"/>
      </w:pPr>
    </w:p>
    <w:p w:rsidR="001241E9" w:rsidRPr="00721AEE" w:rsidRDefault="001241E9" w:rsidP="00721AEE">
      <w:pPr>
        <w:pStyle w:val="akpasia"/>
        <w:rPr>
          <w:lang w:val="fi-FI"/>
        </w:rPr>
      </w:pPr>
      <w:r w:rsidRPr="001241E9">
        <w:rPr>
          <w:b/>
          <w:lang w:val="fi-FI"/>
        </w:rPr>
        <w:t>LAUSUNTO</w:t>
      </w:r>
      <w:r w:rsidR="002D07E7">
        <w:rPr>
          <w:b/>
          <w:lang w:val="fi-FI"/>
        </w:rPr>
        <w:t xml:space="preserve"> LUONNOKSESTA HALLITUKSEN ESITYKSEKSI </w:t>
      </w:r>
      <w:r w:rsidR="00203E6E">
        <w:rPr>
          <w:b/>
          <w:lang w:val="fi-FI"/>
        </w:rPr>
        <w:t xml:space="preserve">LAIKSI INNOVAATIORAHOITUSKESKUS BUSINESS FINLANDISTA JA BUSINESS FINLAND -NIMISESTÄ OSAKEYHTIÖSTÄ </w:t>
      </w:r>
    </w:p>
    <w:p w:rsidR="001241E9" w:rsidRPr="001241E9" w:rsidRDefault="001241E9" w:rsidP="001241E9">
      <w:pPr>
        <w:pStyle w:val="AKPleipteksti"/>
      </w:pPr>
    </w:p>
    <w:p w:rsidR="00446FB8" w:rsidRPr="00631E4F" w:rsidRDefault="00203E6E" w:rsidP="00AB518A">
      <w:pPr>
        <w:pStyle w:val="AKPleipteksti"/>
        <w:rPr>
          <w:i/>
        </w:rPr>
      </w:pPr>
      <w:r>
        <w:t>Työ- ja elinkeino</w:t>
      </w:r>
      <w:r w:rsidR="00AB518A">
        <w:t>ministeriö</w:t>
      </w:r>
      <w:r w:rsidR="00B4471F">
        <w:t xml:space="preserve"> </w:t>
      </w:r>
      <w:r w:rsidR="002D07E7">
        <w:t>on pyytänyt oikeusministeriöltä lausuntoa o</w:t>
      </w:r>
      <w:r w:rsidR="002D07E7">
        <w:t>t</w:t>
      </w:r>
      <w:r w:rsidR="002D07E7">
        <w:t>sikossa mainitussa asiassa.</w:t>
      </w:r>
      <w:r w:rsidR="00631E4F">
        <w:t xml:space="preserve"> Esitysluonnoksessa ehdotetaan </w:t>
      </w:r>
      <w:r w:rsidR="00262449">
        <w:t>Innovaatiok</w:t>
      </w:r>
      <w:r w:rsidR="00262449">
        <w:t>e</w:t>
      </w:r>
      <w:r w:rsidR="00262449">
        <w:t>kus Tekesin nimen muuttamista Innovaatiorahoituskeskus Business Fi</w:t>
      </w:r>
      <w:r w:rsidR="00262449">
        <w:t>n</w:t>
      </w:r>
      <w:r w:rsidR="00262449">
        <w:t>landiksi sekä Finpro Oy:n nimen muuttamista Business Finland Oy:ksi. S</w:t>
      </w:r>
      <w:r w:rsidR="00262449">
        <w:t>a</w:t>
      </w:r>
      <w:r w:rsidR="00262449">
        <w:t>malla näiden toimijoiden tehtäviä järjestettäisiin</w:t>
      </w:r>
      <w:r w:rsidR="0008634E">
        <w:t xml:space="preserve"> uudelleen</w:t>
      </w:r>
      <w:r w:rsidR="00262449">
        <w:t>.</w:t>
      </w:r>
    </w:p>
    <w:p w:rsidR="00446FB8" w:rsidRPr="00631E4F" w:rsidRDefault="00446FB8" w:rsidP="00446FB8">
      <w:pPr>
        <w:pStyle w:val="AKPleipteksti"/>
        <w:rPr>
          <w:i/>
        </w:rPr>
      </w:pPr>
    </w:p>
    <w:p w:rsidR="00307214" w:rsidRDefault="00415A36" w:rsidP="000D0F5E">
      <w:pPr>
        <w:pStyle w:val="AKPleipteksti"/>
      </w:pPr>
      <w:r>
        <w:t>Esitysluonnos on hyvin puutteellinen ja keskeneräinen erityisesti perust</w:t>
      </w:r>
      <w:r>
        <w:t>e</w:t>
      </w:r>
      <w:r>
        <w:t>luiltaan, mikä on vaikeuttanut merkittävästi lausunnon antamista.</w:t>
      </w:r>
      <w:r w:rsidR="00DE7B42">
        <w:t xml:space="preserve"> Ehd</w:t>
      </w:r>
      <w:r w:rsidR="00DE7B42">
        <w:t>o</w:t>
      </w:r>
      <w:r w:rsidR="00DE7B42">
        <w:t>tuksia on monin paikoin mahdoton arvioida, koska niitä ei ole perusteltu eikä nykytilaa selostettu tarpeeksi kattavasti.</w:t>
      </w:r>
      <w:r w:rsidR="00307214">
        <w:t xml:space="preserve"> </w:t>
      </w:r>
    </w:p>
    <w:p w:rsidR="00307214" w:rsidRDefault="00307214" w:rsidP="000D0F5E">
      <w:pPr>
        <w:pStyle w:val="AKPleipteksti"/>
      </w:pPr>
    </w:p>
    <w:p w:rsidR="000D0F5E" w:rsidRDefault="006469EE" w:rsidP="000D0F5E">
      <w:pPr>
        <w:pStyle w:val="AKPleipteksti"/>
      </w:pPr>
      <w:r w:rsidRPr="00631E4F">
        <w:t>Oikeusministeriö esittää lausuntonaan seuraavan</w:t>
      </w:r>
      <w:r w:rsidR="000D0F5E">
        <w:t>.</w:t>
      </w:r>
    </w:p>
    <w:p w:rsidR="00752362" w:rsidRDefault="00752362" w:rsidP="00CE1150">
      <w:pPr>
        <w:pStyle w:val="Alaotsikko"/>
      </w:pPr>
    </w:p>
    <w:p w:rsidR="009418A1" w:rsidRDefault="009418A1" w:rsidP="00CE1150">
      <w:pPr>
        <w:pStyle w:val="Alaotsikko"/>
      </w:pPr>
      <w:r>
        <w:t>Yhtiön perustaminen</w:t>
      </w:r>
    </w:p>
    <w:p w:rsidR="009418A1" w:rsidRDefault="009418A1" w:rsidP="00863C60"/>
    <w:p w:rsidR="00CA5B91" w:rsidRDefault="00CA5B91" w:rsidP="00CA5B91">
      <w:pPr>
        <w:pStyle w:val="AKPleipteksti"/>
      </w:pPr>
      <w:r>
        <w:t>Esitysluonnoksessa uudeksi organisaatiomuodoksi ehdotetaan viraston ja yhtiön muodostamaa kokonaisuutta: Yleisperusteluiden mukaan Raho</w:t>
      </w:r>
      <w:r>
        <w:t>i</w:t>
      </w:r>
      <w:r>
        <w:t>tuskeskuksen tehtävänä olisi strateginen johtaminen, yhtiön omistajao</w:t>
      </w:r>
      <w:r>
        <w:t>h</w:t>
      </w:r>
      <w:r>
        <w:t>jaus sekä viranomaistehtävät. Business Finland Oy (yhtiö) puolestaan tuottaisi tutkimus-, kehitys- ja innovaatiotoimintaa sekä kansainvälistym</w:t>
      </w:r>
      <w:r>
        <w:t>i</w:t>
      </w:r>
      <w:r>
        <w:t>seen, ulkomaisiin investointeihin ja matkailun edistämiseen liittyviä palv</w:t>
      </w:r>
      <w:r>
        <w:t>e</w:t>
      </w:r>
      <w:r>
        <w:t>luita Rahoituskeskuksen ja yhtiön välisen palvelusopimuksen perusteella.</w:t>
      </w:r>
    </w:p>
    <w:p w:rsidR="00307214" w:rsidRDefault="00307214" w:rsidP="00CA5B91">
      <w:pPr>
        <w:ind w:left="2596"/>
        <w:rPr>
          <w:sz w:val="24"/>
          <w:szCs w:val="24"/>
        </w:rPr>
      </w:pPr>
    </w:p>
    <w:p w:rsidR="00CA5B91" w:rsidRPr="005C3EF7" w:rsidRDefault="00CA5B91" w:rsidP="00CA5B91">
      <w:pPr>
        <w:ind w:left="2596"/>
        <w:rPr>
          <w:sz w:val="24"/>
          <w:szCs w:val="24"/>
        </w:rPr>
      </w:pPr>
      <w:r>
        <w:rPr>
          <w:sz w:val="24"/>
          <w:szCs w:val="24"/>
        </w:rPr>
        <w:lastRenderedPageBreak/>
        <w:t>L</w:t>
      </w:r>
      <w:r w:rsidRPr="005C3EF7">
        <w:rPr>
          <w:sz w:val="24"/>
          <w:szCs w:val="24"/>
        </w:rPr>
        <w:t>uonnoksen 1 §:ssä säädettäisiin, että ”</w:t>
      </w:r>
      <w:r w:rsidRPr="00863C60">
        <w:rPr>
          <w:i/>
          <w:sz w:val="24"/>
          <w:szCs w:val="24"/>
        </w:rPr>
        <w:t>Rahoituskeskus voisi huolehtia te</w:t>
      </w:r>
      <w:r w:rsidRPr="00863C60">
        <w:rPr>
          <w:i/>
          <w:sz w:val="24"/>
          <w:szCs w:val="24"/>
        </w:rPr>
        <w:t>h</w:t>
      </w:r>
      <w:r w:rsidRPr="00863C60">
        <w:rPr>
          <w:i/>
          <w:sz w:val="24"/>
          <w:szCs w:val="24"/>
        </w:rPr>
        <w:t>tävistään hallinnoimalla valtion kokonaan omistamia yhtiöitä kuten B</w:t>
      </w:r>
      <w:r w:rsidRPr="00863C60">
        <w:rPr>
          <w:i/>
          <w:sz w:val="24"/>
          <w:szCs w:val="24"/>
        </w:rPr>
        <w:t>u</w:t>
      </w:r>
      <w:r w:rsidRPr="00863C60">
        <w:rPr>
          <w:i/>
          <w:sz w:val="24"/>
          <w:szCs w:val="24"/>
        </w:rPr>
        <w:t>siness Finland osakeyhtiötä ja vastaamalla niiden omistajaohjauksesta s</w:t>
      </w:r>
      <w:r w:rsidRPr="00863C60">
        <w:rPr>
          <w:i/>
          <w:sz w:val="24"/>
          <w:szCs w:val="24"/>
        </w:rPr>
        <w:t>i</w:t>
      </w:r>
      <w:r w:rsidRPr="00863C60">
        <w:rPr>
          <w:i/>
          <w:sz w:val="24"/>
          <w:szCs w:val="24"/>
        </w:rPr>
        <w:t>ten kuin valtion yhtiöomistuksesta ja omistajaohjauksesta annetun lain 6 §:ssä säädetään.”.</w:t>
      </w:r>
      <w:r w:rsidRPr="005C3EF7">
        <w:rPr>
          <w:sz w:val="24"/>
          <w:szCs w:val="24"/>
        </w:rPr>
        <w:t xml:space="preserve"> Ehdotettu sääntely siten mahdollistaisi useampien y</w:t>
      </w:r>
      <w:r w:rsidRPr="005C3EF7">
        <w:rPr>
          <w:sz w:val="24"/>
          <w:szCs w:val="24"/>
        </w:rPr>
        <w:t>h</w:t>
      </w:r>
      <w:r w:rsidRPr="005C3EF7">
        <w:rPr>
          <w:sz w:val="24"/>
          <w:szCs w:val="24"/>
        </w:rPr>
        <w:t>tiöiden perustamisen, ja Business Finland Oy va</w:t>
      </w:r>
      <w:r w:rsidR="00382687">
        <w:rPr>
          <w:sz w:val="24"/>
          <w:szCs w:val="24"/>
        </w:rPr>
        <w:t>in mainitaan esimerkkinä yhdestä tällaisesta yhtiöstä</w:t>
      </w:r>
      <w:r w:rsidRPr="005C3EF7">
        <w:rPr>
          <w:sz w:val="24"/>
          <w:szCs w:val="24"/>
        </w:rPr>
        <w:t>.</w:t>
      </w:r>
      <w:r>
        <w:rPr>
          <w:sz w:val="24"/>
          <w:szCs w:val="24"/>
        </w:rPr>
        <w:t xml:space="preserve"> Tällaista ratkaisua ei ole </w:t>
      </w:r>
      <w:r w:rsidR="00382687">
        <w:rPr>
          <w:sz w:val="24"/>
          <w:szCs w:val="24"/>
        </w:rPr>
        <w:t>millään tavoin</w:t>
      </w:r>
      <w:r>
        <w:rPr>
          <w:sz w:val="24"/>
          <w:szCs w:val="24"/>
        </w:rPr>
        <w:t xml:space="preserve"> peru</w:t>
      </w:r>
      <w:r>
        <w:rPr>
          <w:sz w:val="24"/>
          <w:szCs w:val="24"/>
        </w:rPr>
        <w:t>s</w:t>
      </w:r>
      <w:r>
        <w:rPr>
          <w:sz w:val="24"/>
          <w:szCs w:val="24"/>
        </w:rPr>
        <w:t>teltu esitysluonnoksessa.</w:t>
      </w:r>
    </w:p>
    <w:p w:rsidR="00CA5B91" w:rsidRDefault="00CA5B91" w:rsidP="00863C60">
      <w:pPr>
        <w:ind w:left="2596"/>
      </w:pPr>
    </w:p>
    <w:p w:rsidR="00CA5B91" w:rsidRDefault="00CA5B91" w:rsidP="00863C60">
      <w:pPr>
        <w:ind w:left="2596"/>
      </w:pPr>
      <w:r>
        <w:rPr>
          <w:sz w:val="24"/>
          <w:szCs w:val="24"/>
        </w:rPr>
        <w:t>Oikeusministeriö kiinnittää erityistä huomiota siihen, että luonnoksesta</w:t>
      </w:r>
      <w:r w:rsidR="009418A1" w:rsidRPr="00863C60">
        <w:rPr>
          <w:sz w:val="24"/>
          <w:szCs w:val="24"/>
        </w:rPr>
        <w:t xml:space="preserve"> puuttuu asianmukainen arviointi siitä, minkä vuoksi yhtiö </w:t>
      </w:r>
      <w:r>
        <w:rPr>
          <w:sz w:val="24"/>
          <w:szCs w:val="24"/>
        </w:rPr>
        <w:t>tulee</w:t>
      </w:r>
      <w:r w:rsidR="009418A1" w:rsidRPr="00863C60">
        <w:rPr>
          <w:sz w:val="24"/>
          <w:szCs w:val="24"/>
        </w:rPr>
        <w:t xml:space="preserve"> perustaa ja tarkalleen</w:t>
      </w:r>
      <w:r w:rsidR="00BB24E9" w:rsidRPr="00863C60">
        <w:rPr>
          <w:sz w:val="24"/>
          <w:szCs w:val="24"/>
        </w:rPr>
        <w:t xml:space="preserve"> </w:t>
      </w:r>
      <w:r w:rsidR="009418A1" w:rsidRPr="00863C60">
        <w:rPr>
          <w:sz w:val="24"/>
          <w:szCs w:val="24"/>
        </w:rPr>
        <w:t>ottaen</w:t>
      </w:r>
      <w:r>
        <w:rPr>
          <w:sz w:val="24"/>
          <w:szCs w:val="24"/>
        </w:rPr>
        <w:t>,</w:t>
      </w:r>
      <w:r w:rsidR="009418A1" w:rsidRPr="00863C60">
        <w:rPr>
          <w:sz w:val="24"/>
          <w:szCs w:val="24"/>
        </w:rPr>
        <w:t xml:space="preserve"> mitä tehtäviä yhtiölle siirrettäisiin.</w:t>
      </w:r>
      <w:r>
        <w:rPr>
          <w:sz w:val="24"/>
          <w:szCs w:val="24"/>
        </w:rPr>
        <w:t xml:space="preserve"> </w:t>
      </w:r>
      <w:r w:rsidR="007504E7" w:rsidRPr="00863C60">
        <w:rPr>
          <w:sz w:val="24"/>
          <w:szCs w:val="24"/>
        </w:rPr>
        <w:t>Yhtiöittämisen ta</w:t>
      </w:r>
      <w:r w:rsidR="007504E7" w:rsidRPr="00863C60">
        <w:rPr>
          <w:sz w:val="24"/>
          <w:szCs w:val="24"/>
        </w:rPr>
        <w:t>r</w:t>
      </w:r>
      <w:r w:rsidR="007504E7" w:rsidRPr="00863C60">
        <w:rPr>
          <w:sz w:val="24"/>
          <w:szCs w:val="24"/>
        </w:rPr>
        <w:t xml:space="preserve">vetta </w:t>
      </w:r>
      <w:r>
        <w:rPr>
          <w:sz w:val="24"/>
          <w:szCs w:val="24"/>
        </w:rPr>
        <w:t xml:space="preserve">ei </w:t>
      </w:r>
      <w:r w:rsidR="007504E7" w:rsidRPr="00863C60">
        <w:rPr>
          <w:sz w:val="24"/>
          <w:szCs w:val="24"/>
        </w:rPr>
        <w:t>arvioida asianmukaisesti tarkoituksenmukaisuuden näkökulmasta</w:t>
      </w:r>
      <w:r>
        <w:rPr>
          <w:sz w:val="24"/>
          <w:szCs w:val="24"/>
        </w:rPr>
        <w:t xml:space="preserve"> (PL 124 §)</w:t>
      </w:r>
      <w:r w:rsidR="007504E7" w:rsidRPr="00863C60">
        <w:rPr>
          <w:sz w:val="24"/>
          <w:szCs w:val="24"/>
        </w:rPr>
        <w:t xml:space="preserve">. </w:t>
      </w:r>
    </w:p>
    <w:p w:rsidR="00CA5B91" w:rsidRDefault="00CA5B91" w:rsidP="00863C60">
      <w:pPr>
        <w:ind w:left="2596"/>
      </w:pPr>
    </w:p>
    <w:p w:rsidR="007504E7" w:rsidRPr="00863C60" w:rsidRDefault="00CA5B91" w:rsidP="00863C60">
      <w:pPr>
        <w:ind w:left="2596"/>
      </w:pPr>
      <w:r>
        <w:rPr>
          <w:sz w:val="24"/>
          <w:szCs w:val="24"/>
        </w:rPr>
        <w:t>Luonnoksen p</w:t>
      </w:r>
      <w:r w:rsidRPr="005C3EF7">
        <w:rPr>
          <w:sz w:val="24"/>
          <w:szCs w:val="24"/>
        </w:rPr>
        <w:t xml:space="preserve">erusteluissa on todettu, että </w:t>
      </w:r>
      <w:r w:rsidRPr="00863C60">
        <w:rPr>
          <w:i/>
          <w:sz w:val="24"/>
          <w:szCs w:val="24"/>
        </w:rPr>
        <w:t>”yhtiömuodossa on helpompi turvata esimerkiksi kansainvälisen liiketoiminnan asiantuntijoiden rekr</w:t>
      </w:r>
      <w:r w:rsidRPr="00863C60">
        <w:rPr>
          <w:i/>
          <w:sz w:val="24"/>
          <w:szCs w:val="24"/>
        </w:rPr>
        <w:t>y</w:t>
      </w:r>
      <w:r w:rsidRPr="00863C60">
        <w:rPr>
          <w:i/>
          <w:sz w:val="24"/>
          <w:szCs w:val="24"/>
        </w:rPr>
        <w:t>tointi, toiminnan painopistealueiden nopea muuttaminen ja tarvittava r</w:t>
      </w:r>
      <w:r w:rsidRPr="00863C60">
        <w:rPr>
          <w:i/>
          <w:sz w:val="24"/>
          <w:szCs w:val="24"/>
        </w:rPr>
        <w:t>e</w:t>
      </w:r>
      <w:r w:rsidRPr="00863C60">
        <w:rPr>
          <w:i/>
          <w:sz w:val="24"/>
          <w:szCs w:val="24"/>
        </w:rPr>
        <w:t xml:space="preserve">surssien uudelleenkohdentaminen tarvittaessa” </w:t>
      </w:r>
      <w:r w:rsidRPr="005C3EF7">
        <w:rPr>
          <w:sz w:val="24"/>
          <w:szCs w:val="24"/>
        </w:rPr>
        <w:t>(s. 15)</w:t>
      </w:r>
      <w:r>
        <w:rPr>
          <w:sz w:val="24"/>
          <w:szCs w:val="24"/>
        </w:rPr>
        <w:t xml:space="preserve">. </w:t>
      </w:r>
      <w:r w:rsidR="00382687">
        <w:rPr>
          <w:sz w:val="24"/>
          <w:szCs w:val="24"/>
        </w:rPr>
        <w:t>Oikeusministeriö huomauttaa, että m</w:t>
      </w:r>
      <w:r w:rsidRPr="005C3EF7">
        <w:rPr>
          <w:sz w:val="24"/>
          <w:szCs w:val="24"/>
        </w:rPr>
        <w:t>yös viranomaisen on mahdollista käyttää esimerkiksi tilapäisiä asiantuntijoita</w:t>
      </w:r>
      <w:r w:rsidR="000C5AAF">
        <w:rPr>
          <w:sz w:val="24"/>
          <w:szCs w:val="24"/>
        </w:rPr>
        <w:t>, ja yhtiön toimintaan sen hoitaessa julkisia halli</w:t>
      </w:r>
      <w:r w:rsidR="000C5AAF">
        <w:rPr>
          <w:sz w:val="24"/>
          <w:szCs w:val="24"/>
        </w:rPr>
        <w:t>n</w:t>
      </w:r>
      <w:r w:rsidR="000C5AAF">
        <w:rPr>
          <w:sz w:val="24"/>
          <w:szCs w:val="24"/>
        </w:rPr>
        <w:t>totehtäviä tulevat sovellettaviksi hallinnon yleislait.</w:t>
      </w:r>
    </w:p>
    <w:p w:rsidR="00CA5B91" w:rsidRDefault="00CA5B91" w:rsidP="00863C60">
      <w:pPr>
        <w:ind w:left="2596"/>
      </w:pPr>
    </w:p>
    <w:p w:rsidR="009418A1" w:rsidRPr="00863C60" w:rsidRDefault="00CA5B91" w:rsidP="00863C60">
      <w:pPr>
        <w:ind w:left="2596"/>
      </w:pPr>
      <w:r>
        <w:rPr>
          <w:sz w:val="24"/>
          <w:szCs w:val="24"/>
        </w:rPr>
        <w:t>Esitysluonnoksesta</w:t>
      </w:r>
      <w:r w:rsidR="00BB24E9" w:rsidRPr="00863C60">
        <w:rPr>
          <w:sz w:val="24"/>
          <w:szCs w:val="24"/>
        </w:rPr>
        <w:t xml:space="preserve"> ei </w:t>
      </w:r>
      <w:r w:rsidR="00382687">
        <w:rPr>
          <w:sz w:val="24"/>
          <w:szCs w:val="24"/>
        </w:rPr>
        <w:t xml:space="preserve">myöskään saa </w:t>
      </w:r>
      <w:r w:rsidR="00BB24E9" w:rsidRPr="00863C60">
        <w:rPr>
          <w:sz w:val="24"/>
          <w:szCs w:val="24"/>
        </w:rPr>
        <w:t>käsitystä</w:t>
      </w:r>
      <w:r w:rsidR="00382687">
        <w:rPr>
          <w:sz w:val="24"/>
          <w:szCs w:val="24"/>
        </w:rPr>
        <w:t xml:space="preserve"> siitä</w:t>
      </w:r>
      <w:r w:rsidR="00BB24E9" w:rsidRPr="00863C60">
        <w:rPr>
          <w:sz w:val="24"/>
          <w:szCs w:val="24"/>
        </w:rPr>
        <w:t>, mikä yhtiön ja koko</w:t>
      </w:r>
      <w:r w:rsidR="00382687">
        <w:rPr>
          <w:sz w:val="24"/>
          <w:szCs w:val="24"/>
        </w:rPr>
        <w:t xml:space="preserve"> hallinnollisen</w:t>
      </w:r>
      <w:r w:rsidR="00BB24E9" w:rsidRPr="00863C60">
        <w:rPr>
          <w:sz w:val="24"/>
          <w:szCs w:val="24"/>
        </w:rPr>
        <w:t xml:space="preserve"> rakennelman idea on, eivätkä perustelut vakuuta. </w:t>
      </w:r>
      <w:r>
        <w:rPr>
          <w:sz w:val="24"/>
          <w:szCs w:val="24"/>
        </w:rPr>
        <w:t>Perust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luissa on todettu, että </w:t>
      </w:r>
      <w:r w:rsidRPr="00863C60">
        <w:rPr>
          <w:i/>
          <w:sz w:val="24"/>
          <w:szCs w:val="24"/>
        </w:rPr>
        <w:t>”Myös</w:t>
      </w:r>
      <w:r w:rsidR="009418A1" w:rsidRPr="00863C60">
        <w:rPr>
          <w:i/>
          <w:sz w:val="24"/>
          <w:szCs w:val="24"/>
        </w:rPr>
        <w:t xml:space="preserve"> ministeriön ohjauksen kannalta erilliset o</w:t>
      </w:r>
      <w:r w:rsidR="009418A1" w:rsidRPr="00863C60">
        <w:rPr>
          <w:i/>
          <w:sz w:val="24"/>
          <w:szCs w:val="24"/>
        </w:rPr>
        <w:t>r</w:t>
      </w:r>
      <w:r w:rsidR="009418A1" w:rsidRPr="00863C60">
        <w:rPr>
          <w:i/>
          <w:sz w:val="24"/>
          <w:szCs w:val="24"/>
        </w:rPr>
        <w:t>ganisaatiot vaikeuttavat kokonaisuuden johtamista (s. 8)”</w:t>
      </w:r>
      <w:r w:rsidRPr="00863C60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Kuitenkin e</w:t>
      </w:r>
      <w:r>
        <w:rPr>
          <w:sz w:val="24"/>
          <w:szCs w:val="24"/>
        </w:rPr>
        <w:t>h</w:t>
      </w:r>
      <w:r>
        <w:rPr>
          <w:sz w:val="24"/>
          <w:szCs w:val="24"/>
        </w:rPr>
        <w:t>dotetulla sääntelyllä mahdollistettaisiin useiden yhtiöiden perustaminen sekä näiden tytäryhtiöt.</w:t>
      </w:r>
      <w:r w:rsidR="00181D2C">
        <w:rPr>
          <w:sz w:val="24"/>
          <w:szCs w:val="24"/>
        </w:rPr>
        <w:t xml:space="preserve"> Lisäksi tarkoituksena on, että Rahoituskeskus t</w:t>
      </w:r>
      <w:r w:rsidR="00181D2C">
        <w:rPr>
          <w:sz w:val="24"/>
          <w:szCs w:val="24"/>
        </w:rPr>
        <w:t>i</w:t>
      </w:r>
      <w:r w:rsidR="00181D2C">
        <w:rPr>
          <w:sz w:val="24"/>
          <w:szCs w:val="24"/>
        </w:rPr>
        <w:t>laisi merkittävän osan tehtävistään yhtiöltä palvelusopimuksella.</w:t>
      </w:r>
    </w:p>
    <w:p w:rsidR="00990828" w:rsidRPr="00863C60" w:rsidRDefault="00990828" w:rsidP="00863C60"/>
    <w:p w:rsidR="00990828" w:rsidRPr="00863C60" w:rsidRDefault="00CA5B91" w:rsidP="00863C60">
      <w:pPr>
        <w:ind w:left="2596"/>
      </w:pPr>
      <w:r>
        <w:rPr>
          <w:sz w:val="24"/>
          <w:szCs w:val="24"/>
        </w:rPr>
        <w:t>Sen lisäksi, että yhtiö</w:t>
      </w:r>
      <w:r w:rsidR="00181D2C">
        <w:rPr>
          <w:sz w:val="24"/>
          <w:szCs w:val="24"/>
        </w:rPr>
        <w:t>n</w:t>
      </w:r>
      <w:r>
        <w:rPr>
          <w:sz w:val="24"/>
          <w:szCs w:val="24"/>
        </w:rPr>
        <w:t xml:space="preserve"> tarkoitus ja tarkoituksenmukaisuus jää</w:t>
      </w:r>
      <w:r w:rsidR="000C6B6E">
        <w:rPr>
          <w:sz w:val="24"/>
          <w:szCs w:val="24"/>
        </w:rPr>
        <w:t>vät</w:t>
      </w:r>
      <w:r>
        <w:rPr>
          <w:sz w:val="24"/>
          <w:szCs w:val="24"/>
        </w:rPr>
        <w:t xml:space="preserve"> epäse</w:t>
      </w:r>
      <w:r>
        <w:rPr>
          <w:sz w:val="24"/>
          <w:szCs w:val="24"/>
        </w:rPr>
        <w:t>l</w:t>
      </w:r>
      <w:r>
        <w:rPr>
          <w:sz w:val="24"/>
          <w:szCs w:val="24"/>
        </w:rPr>
        <w:t xml:space="preserve">väksi, </w:t>
      </w:r>
      <w:r w:rsidR="00181D2C">
        <w:rPr>
          <w:sz w:val="24"/>
          <w:szCs w:val="24"/>
        </w:rPr>
        <w:t>myös sen tehtävät jäävät</w:t>
      </w:r>
      <w:r w:rsidR="00990828" w:rsidRPr="00863C60">
        <w:rPr>
          <w:sz w:val="24"/>
          <w:szCs w:val="24"/>
        </w:rPr>
        <w:t xml:space="preserve"> epäselviksi. Luonnoksen 11 §:n mukaan yhtiön tehtävä olisi tuottaa lain 3 §:n tehtäviin liittyviä palveluita Raho</w:t>
      </w:r>
      <w:r w:rsidR="00990828" w:rsidRPr="00863C60">
        <w:rPr>
          <w:sz w:val="24"/>
          <w:szCs w:val="24"/>
        </w:rPr>
        <w:t>i</w:t>
      </w:r>
      <w:r w:rsidR="00990828" w:rsidRPr="00863C60">
        <w:rPr>
          <w:sz w:val="24"/>
          <w:szCs w:val="24"/>
        </w:rPr>
        <w:t>tuskeskuksen ohjauksessa Rahoituskeskuksen kanssa laadittavan palvel</w:t>
      </w:r>
      <w:r w:rsidR="00990828" w:rsidRPr="00863C60">
        <w:rPr>
          <w:sz w:val="24"/>
          <w:szCs w:val="24"/>
        </w:rPr>
        <w:t>u</w:t>
      </w:r>
      <w:r w:rsidR="00990828" w:rsidRPr="00863C60">
        <w:rPr>
          <w:sz w:val="24"/>
          <w:szCs w:val="24"/>
        </w:rPr>
        <w:t>sopimuksen mukaisesti. Luonnokses</w:t>
      </w:r>
      <w:r>
        <w:rPr>
          <w:sz w:val="24"/>
          <w:szCs w:val="24"/>
        </w:rPr>
        <w:t xml:space="preserve">ta ei ilmene, </w:t>
      </w:r>
      <w:r w:rsidR="00990828" w:rsidRPr="00863C60">
        <w:rPr>
          <w:sz w:val="24"/>
          <w:szCs w:val="24"/>
        </w:rPr>
        <w:t>mitä nämä 3 §:n teht</w:t>
      </w:r>
      <w:r w:rsidR="00990828" w:rsidRPr="00863C60">
        <w:rPr>
          <w:sz w:val="24"/>
          <w:szCs w:val="24"/>
        </w:rPr>
        <w:t>ä</w:t>
      </w:r>
      <w:r w:rsidR="00990828" w:rsidRPr="00863C60">
        <w:rPr>
          <w:sz w:val="24"/>
          <w:szCs w:val="24"/>
        </w:rPr>
        <w:t>viin liittyvät palvelut ovat. Lisäksi 14 §:n 1 momentin mukaan yhtiö tekisi myös muun muassa rahoituspäätöksiä.</w:t>
      </w:r>
    </w:p>
    <w:p w:rsidR="009418A1" w:rsidRDefault="009418A1" w:rsidP="00CE1150">
      <w:pPr>
        <w:pStyle w:val="Alaotsikko"/>
      </w:pPr>
    </w:p>
    <w:p w:rsidR="00CA5B91" w:rsidRDefault="00CA5B91" w:rsidP="00CA5B91">
      <w:pPr>
        <w:pStyle w:val="Alaotsikko"/>
      </w:pPr>
      <w:r>
        <w:t>Perustuslain 124 §</w:t>
      </w:r>
      <w:r w:rsidR="008E764C">
        <w:t>:n asettamia lähtökohtia</w:t>
      </w:r>
    </w:p>
    <w:p w:rsidR="00CA5B91" w:rsidRDefault="00CA5B91" w:rsidP="00CA5B91">
      <w:pPr>
        <w:pStyle w:val="AKPleipteksti"/>
      </w:pPr>
    </w:p>
    <w:p w:rsidR="00CA5B91" w:rsidRDefault="00CA5B91" w:rsidP="00CA5B91">
      <w:pPr>
        <w:pStyle w:val="AKPleipteksti"/>
      </w:pPr>
      <w:r>
        <w:t>Yhtiötä ja Rahoituskeskusta koskeva sääntely on merkityksellisiä perustu</w:t>
      </w:r>
      <w:r>
        <w:t>s</w:t>
      </w:r>
      <w:r>
        <w:t>lain 124 §:n kannalta. Säännöksen mukaan julkinen hallintotehtävä vo</w:t>
      </w:r>
      <w:r>
        <w:t>i</w:t>
      </w:r>
      <w:r>
        <w:t>daan antaa muulle kuin viranomaiselle vain lailla tai lain nojalla, jos se on tarpeen tehtävän tarkoituksenmukaiseksi hoitamiseksi eikä vaaranna p</w:t>
      </w:r>
      <w:r>
        <w:t>e</w:t>
      </w:r>
      <w:r>
        <w:t>rusoikeuksia, oikeusturvaa tai muita hyvän hallinnon vaatimuksia. Merki</w:t>
      </w:r>
      <w:r>
        <w:t>t</w:t>
      </w:r>
      <w:r>
        <w:t>tävää julkisen vallan käyttöä sisältäviä tehtäviä voidaan kuitenkin antaa vain viranomaiselle.</w:t>
      </w:r>
    </w:p>
    <w:p w:rsidR="00181D2C" w:rsidRDefault="00181D2C" w:rsidP="00CA5B91">
      <w:pPr>
        <w:pStyle w:val="AKPleipteksti"/>
      </w:pPr>
    </w:p>
    <w:p w:rsidR="00CA5B91" w:rsidRDefault="00CA5B91" w:rsidP="00CA5B91">
      <w:pPr>
        <w:pStyle w:val="AKPleipteksti"/>
      </w:pPr>
      <w:r>
        <w:t>Tarkoituksenmukaisuusarvioinnissa tulee hallinnon tehokkuuden ja mu</w:t>
      </w:r>
      <w:r>
        <w:t>i</w:t>
      </w:r>
      <w:r>
        <w:t>den hallinnon sisäisiksi luonnehdittavien tarpeiden lisäksi kiinnittää er</w:t>
      </w:r>
      <w:r>
        <w:t>i</w:t>
      </w:r>
      <w:r>
        <w:t>tyistä huomiota yksityisten henkilöiden ja yhteisöjen tarpeisiin (HE 1/1998 vp, s. 179 ja esim. PevL 8/2014 vp ja PeVL 16/2016 vp). Myös hallintote</w:t>
      </w:r>
      <w:r>
        <w:t>h</w:t>
      </w:r>
      <w:r>
        <w:t>tävän luonne on otettava huomioon. Perustuslakivaliokunta on painott</w:t>
      </w:r>
      <w:r>
        <w:t>a</w:t>
      </w:r>
      <w:r>
        <w:t>nut vakiintuneessa lausuntokäytännössä, että tarkoituksenmukaisuusva</w:t>
      </w:r>
      <w:r>
        <w:t>a</w:t>
      </w:r>
      <w:r>
        <w:t>timus on oikeudellinen edellytys, jonka täyttyminen jää tapauskohtaisesti arvioitavaksi (ks. PeVL 26/2017 vp, s. 49 ja siinä viitatut lausunnot).</w:t>
      </w:r>
      <w:r w:rsidR="00181D2C" w:rsidRPr="00181D2C">
        <w:t xml:space="preserve"> </w:t>
      </w:r>
      <w:r w:rsidR="00181D2C">
        <w:t>Esity</w:t>
      </w:r>
      <w:r w:rsidR="00181D2C">
        <w:t>s</w:t>
      </w:r>
      <w:r w:rsidR="00181D2C">
        <w:t>luonnoksessa ei ole perustuslain 124 §:n edellyttämällä tavalla arvioitu tehtävien siirron tarkoituksenmukaisuutta.</w:t>
      </w:r>
    </w:p>
    <w:p w:rsidR="00CA5B91" w:rsidRDefault="00CA5B91" w:rsidP="00CA5B91">
      <w:pPr>
        <w:pStyle w:val="AKPleipteksti"/>
      </w:pPr>
    </w:p>
    <w:p w:rsidR="00CA5B91" w:rsidRDefault="00CA5B91" w:rsidP="00CA5B91">
      <w:pPr>
        <w:pStyle w:val="AKPleipteksti"/>
      </w:pPr>
      <w:r>
        <w:t>Lisäksi julkisen hallintotehtävän antaminen muulle kuin viranomaiselle ei saa vaarantaa perusoikeuksia, oikeusturvaa eikä muita hyvän hallinnon vaatimuksia. Näin ollen esimerkiksi asian käsittelyssä yhtiössä on noud</w:t>
      </w:r>
      <w:r>
        <w:t>a</w:t>
      </w:r>
      <w:r>
        <w:t>tettava hallinnon yleislakeja</w:t>
      </w:r>
      <w:r w:rsidR="00F4577C">
        <w:t>,</w:t>
      </w:r>
      <w:r>
        <w:t xml:space="preserve"> ja julkisia hallintotehtäviä hoitavat toimivat virkavastuulla.</w:t>
      </w:r>
    </w:p>
    <w:p w:rsidR="00CA5B91" w:rsidRDefault="00CA5B91" w:rsidP="00CA5B91">
      <w:pPr>
        <w:pStyle w:val="AKPleipteksti"/>
      </w:pPr>
    </w:p>
    <w:p w:rsidR="00CA5B91" w:rsidRDefault="00CA5B91" w:rsidP="00CA5B91">
      <w:pPr>
        <w:pStyle w:val="AKPleipteksti"/>
      </w:pPr>
      <w:r>
        <w:t>Perustuslain 124 §:n sanamuodolla korostetaan sitä, että julkisten halli</w:t>
      </w:r>
      <w:r>
        <w:t>n</w:t>
      </w:r>
      <w:r>
        <w:t>totehtävien hoitamisen tulee pääsääntöisesti kuulua viranomaisille ja että tällaisia tehtäviä voidaan antaa muille kuin viranomaisille vain rajoitetusti (PeVL 26/2017 vp, s. 47 ja HE 1/1998 vp, s. 179). Säännös korostaa lisäksi julkisia hallintotehtäviä hoitavien henkilöiden koulutuksen ja asiantunt</w:t>
      </w:r>
      <w:r>
        <w:t>e</w:t>
      </w:r>
      <w:r>
        <w:t xml:space="preserve">muksen merkitystä sekä sitä, että näiden henkilöiden julkisen valvonnan on oltava asianmukaista (HE </w:t>
      </w:r>
      <w:r w:rsidR="00F4577C">
        <w:t>1</w:t>
      </w:r>
      <w:r>
        <w:t xml:space="preserve">/1998 vp, s. 179 ja PeVL 26/2017 vp, s. 49). </w:t>
      </w:r>
    </w:p>
    <w:p w:rsidR="00CA5B91" w:rsidRDefault="00CA5B91" w:rsidP="00CA5B91">
      <w:pPr>
        <w:pStyle w:val="AKPleipteksti"/>
      </w:pPr>
    </w:p>
    <w:p w:rsidR="00CA5B91" w:rsidRPr="009418A1" w:rsidRDefault="00CA5B91" w:rsidP="00CA5B91">
      <w:pPr>
        <w:pStyle w:val="AKPleipteksti"/>
      </w:pPr>
      <w:r>
        <w:t>Edelleen p</w:t>
      </w:r>
      <w:r w:rsidRPr="00025EE7">
        <w:t>erustuslakivaliokunta on lausuntokäytännössään kiinnittänyt huomiota siihen, että osakeyhtiömuotoiseen toimintaan ei lähtökohta</w:t>
      </w:r>
      <w:r w:rsidRPr="00025EE7">
        <w:t>i</w:t>
      </w:r>
      <w:r w:rsidRPr="00025EE7">
        <w:t>sesti ole mahdollista kohdistaa samantasoista hallinnollista ohjausta ja y</w:t>
      </w:r>
      <w:r w:rsidRPr="00025EE7">
        <w:t>h</w:t>
      </w:r>
      <w:r w:rsidRPr="00025EE7">
        <w:t>tä tehokasta valvontaa kuin viranomaistoimintaan ja että toiminnan ohj</w:t>
      </w:r>
      <w:r w:rsidRPr="00025EE7">
        <w:t>a</w:t>
      </w:r>
      <w:r w:rsidRPr="00025EE7">
        <w:t>us ja valvonta olisi todennäköisesti hoidettavissa yksinkertaisemmin ja v</w:t>
      </w:r>
      <w:r w:rsidRPr="00025EE7">
        <w:t>ä</w:t>
      </w:r>
      <w:r w:rsidRPr="00025EE7">
        <w:t>littömämmin, jos tehtävistä huolehtisi viranoma</w:t>
      </w:r>
      <w:r>
        <w:t>inen (PeVL 26/2017 vp, s. 25, PeVL 8/2014 vp, s. 2/II). Esitysluonnoksen 11 §:n 3 momentin mukaan yhtiöllä voisi tehtäviensä toteuttamiseksi olla tytäryhtiöitä. Perustuslak</w:t>
      </w:r>
      <w:r>
        <w:t>i</w:t>
      </w:r>
      <w:r>
        <w:t>valiokunta on todennut, että tällaisessa tilanteessa toiminnan viranomai</w:t>
      </w:r>
      <w:r>
        <w:t>s</w:t>
      </w:r>
      <w:r>
        <w:t>valvonta on vieläkin välillisempää (PeVL 8/2014 vp). Edelleen mikäli tytä</w:t>
      </w:r>
      <w:r>
        <w:t>r</w:t>
      </w:r>
      <w:r>
        <w:t>yhtiössä hoidetaan julkista hallintotehtävää, tulee virkavastuusäännöksen ulottua myös tytäryhtiön työntekijöihin.</w:t>
      </w:r>
    </w:p>
    <w:p w:rsidR="00ED2602" w:rsidRPr="00ED2602" w:rsidRDefault="00ED2602" w:rsidP="00ED2602">
      <w:pPr>
        <w:pStyle w:val="AKPleipteksti"/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</w:p>
    <w:p w:rsidR="008A1556" w:rsidRDefault="00814CC0" w:rsidP="00CC1C5D">
      <w:pPr>
        <w:pStyle w:val="AKPleipteksti"/>
      </w:pPr>
      <w:r>
        <w:rPr>
          <w:rFonts w:asciiTheme="minorHAnsi" w:hAnsiTheme="minorHAnsi" w:cs="Helvetica"/>
          <w:color w:val="222222"/>
          <w:szCs w:val="24"/>
          <w:shd w:val="clear" w:color="auto" w:fill="FFFFFF"/>
        </w:rPr>
        <w:t>Esitysluonnoksessa ehdotettava s</w:t>
      </w:r>
      <w:r w:rsidR="002D6062">
        <w:rPr>
          <w:rFonts w:asciiTheme="minorHAnsi" w:hAnsiTheme="minorHAnsi" w:cs="Helvetica"/>
          <w:color w:val="222222"/>
          <w:szCs w:val="24"/>
          <w:shd w:val="clear" w:color="auto" w:fill="FFFFFF"/>
        </w:rPr>
        <w:t>ääntely</w:t>
      </w:r>
      <w:r w:rsidR="002D6062" w:rsidRPr="0060244A">
        <w:rPr>
          <w:rFonts w:asciiTheme="minorHAnsi" w:hAnsiTheme="minorHAnsi" w:cs="Helvetica"/>
          <w:color w:val="222222"/>
          <w:szCs w:val="24"/>
          <w:shd w:val="clear" w:color="auto" w:fill="FFFFFF"/>
        </w:rPr>
        <w:t xml:space="preserve"> </w:t>
      </w:r>
      <w:r w:rsidR="002D6062">
        <w:rPr>
          <w:rFonts w:asciiTheme="minorHAnsi" w:hAnsiTheme="minorHAnsi" w:cs="Helvetica"/>
          <w:color w:val="222222"/>
          <w:szCs w:val="24"/>
          <w:shd w:val="clear" w:color="auto" w:fill="FFFFFF"/>
        </w:rPr>
        <w:t>mahdollistaisi siten</w:t>
      </w:r>
      <w:r w:rsidR="002D6062" w:rsidRPr="0060244A">
        <w:rPr>
          <w:rFonts w:asciiTheme="minorHAnsi" w:hAnsiTheme="minorHAnsi" w:cs="Helvetica"/>
          <w:color w:val="222222"/>
          <w:szCs w:val="24"/>
          <w:shd w:val="clear" w:color="auto" w:fill="FFFFFF"/>
        </w:rPr>
        <w:t xml:space="preserve"> kaikkien R</w:t>
      </w:r>
      <w:r w:rsidR="002D6062" w:rsidRPr="0060244A">
        <w:rPr>
          <w:rFonts w:asciiTheme="minorHAnsi" w:hAnsiTheme="minorHAnsi" w:cs="Helvetica"/>
          <w:color w:val="222222"/>
          <w:szCs w:val="24"/>
          <w:shd w:val="clear" w:color="auto" w:fill="FFFFFF"/>
        </w:rPr>
        <w:t>a</w:t>
      </w:r>
      <w:r w:rsidR="002D6062" w:rsidRPr="0060244A">
        <w:rPr>
          <w:rFonts w:asciiTheme="minorHAnsi" w:hAnsiTheme="minorHAnsi" w:cs="Helvetica"/>
          <w:color w:val="222222"/>
          <w:szCs w:val="24"/>
          <w:shd w:val="clear" w:color="auto" w:fill="FFFFFF"/>
        </w:rPr>
        <w:t>hoituskeskuksen 3 §:ssä määritelty</w:t>
      </w:r>
      <w:r w:rsidR="008E764C">
        <w:rPr>
          <w:rFonts w:asciiTheme="minorHAnsi" w:hAnsiTheme="minorHAnsi" w:cs="Helvetica"/>
          <w:color w:val="222222"/>
          <w:szCs w:val="24"/>
          <w:shd w:val="clear" w:color="auto" w:fill="FFFFFF"/>
        </w:rPr>
        <w:t xml:space="preserve">ihin tehtäviin liittyvien palveluiden </w:t>
      </w:r>
      <w:r w:rsidR="00181D2C">
        <w:rPr>
          <w:rFonts w:asciiTheme="minorHAnsi" w:hAnsiTheme="minorHAnsi" w:cs="Helvetica"/>
          <w:color w:val="222222"/>
          <w:szCs w:val="24"/>
          <w:shd w:val="clear" w:color="auto" w:fill="FFFFFF"/>
        </w:rPr>
        <w:t>sii</w:t>
      </w:r>
      <w:r w:rsidR="00181D2C">
        <w:rPr>
          <w:rFonts w:asciiTheme="minorHAnsi" w:hAnsiTheme="minorHAnsi" w:cs="Helvetica"/>
          <w:color w:val="222222"/>
          <w:szCs w:val="24"/>
          <w:shd w:val="clear" w:color="auto" w:fill="FFFFFF"/>
        </w:rPr>
        <w:t>r</w:t>
      </w:r>
      <w:r w:rsidR="00181D2C">
        <w:rPr>
          <w:rFonts w:asciiTheme="minorHAnsi" w:hAnsiTheme="minorHAnsi" w:cs="Helvetica"/>
          <w:color w:val="222222"/>
          <w:szCs w:val="24"/>
          <w:shd w:val="clear" w:color="auto" w:fill="FFFFFF"/>
        </w:rPr>
        <w:t>tämisen</w:t>
      </w:r>
      <w:r w:rsidR="008E764C">
        <w:rPr>
          <w:rFonts w:asciiTheme="minorHAnsi" w:hAnsiTheme="minorHAnsi" w:cs="Helvetica"/>
          <w:color w:val="222222"/>
          <w:szCs w:val="24"/>
          <w:shd w:val="clear" w:color="auto" w:fill="FFFFFF"/>
        </w:rPr>
        <w:t xml:space="preserve"> sekä rahoitus-, maksatus- ja muutospäätösten </w:t>
      </w:r>
      <w:r w:rsidR="00181D2C">
        <w:rPr>
          <w:rFonts w:asciiTheme="minorHAnsi" w:hAnsiTheme="minorHAnsi" w:cs="Helvetica"/>
          <w:color w:val="222222"/>
          <w:szCs w:val="24"/>
          <w:shd w:val="clear" w:color="auto" w:fill="FFFFFF"/>
        </w:rPr>
        <w:t>siirtämisen</w:t>
      </w:r>
      <w:r w:rsidR="002D6062">
        <w:rPr>
          <w:rFonts w:asciiTheme="minorHAnsi" w:hAnsiTheme="minorHAnsi" w:cs="Helvetica"/>
          <w:color w:val="222222"/>
          <w:szCs w:val="24"/>
          <w:shd w:val="clear" w:color="auto" w:fill="FFFFFF"/>
        </w:rPr>
        <w:t xml:space="preserve"> y</w:t>
      </w:r>
      <w:r w:rsidR="002D6062" w:rsidRPr="0060244A">
        <w:rPr>
          <w:rFonts w:asciiTheme="minorHAnsi" w:hAnsiTheme="minorHAnsi" w:cs="Helvetica"/>
          <w:color w:val="222222"/>
          <w:szCs w:val="24"/>
          <w:shd w:val="clear" w:color="auto" w:fill="FFFFFF"/>
        </w:rPr>
        <w:t>htiöön lukuun ottamatta yli 500.000 euron rahoituspäätöksiä</w:t>
      </w:r>
      <w:r w:rsidR="002D6062">
        <w:rPr>
          <w:rFonts w:asciiTheme="minorHAnsi" w:hAnsiTheme="minorHAnsi" w:cs="Helvetica"/>
          <w:color w:val="222222"/>
          <w:szCs w:val="24"/>
          <w:shd w:val="clear" w:color="auto" w:fill="FFFFFF"/>
        </w:rPr>
        <w:t xml:space="preserve"> (14 §:n 1 momen</w:t>
      </w:r>
      <w:r w:rsidR="002D6062">
        <w:rPr>
          <w:rFonts w:asciiTheme="minorHAnsi" w:hAnsiTheme="minorHAnsi" w:cs="Helvetica"/>
          <w:color w:val="222222"/>
          <w:szCs w:val="24"/>
          <w:shd w:val="clear" w:color="auto" w:fill="FFFFFF"/>
        </w:rPr>
        <w:t>t</w:t>
      </w:r>
      <w:r w:rsidR="002D6062">
        <w:rPr>
          <w:rFonts w:asciiTheme="minorHAnsi" w:hAnsiTheme="minorHAnsi" w:cs="Helvetica"/>
          <w:color w:val="222222"/>
          <w:szCs w:val="24"/>
          <w:shd w:val="clear" w:color="auto" w:fill="FFFFFF"/>
        </w:rPr>
        <w:t xml:space="preserve">ti) ja </w:t>
      </w:r>
      <w:r w:rsidR="002D6062" w:rsidRPr="0060244A">
        <w:rPr>
          <w:rFonts w:asciiTheme="minorHAnsi" w:hAnsiTheme="minorHAnsi" w:cs="Helvetica"/>
          <w:color w:val="222222"/>
          <w:szCs w:val="24"/>
          <w:shd w:val="clear" w:color="auto" w:fill="FFFFFF"/>
        </w:rPr>
        <w:t>takaisinperintäpäätök</w:t>
      </w:r>
      <w:r w:rsidR="002D6062">
        <w:rPr>
          <w:rFonts w:asciiTheme="minorHAnsi" w:hAnsiTheme="minorHAnsi" w:cs="Helvetica"/>
          <w:color w:val="222222"/>
          <w:szCs w:val="24"/>
          <w:shd w:val="clear" w:color="auto" w:fill="FFFFFF"/>
        </w:rPr>
        <w:t xml:space="preserve">siä (14 §:n 3 momentti). </w:t>
      </w:r>
      <w:r w:rsidR="008E764C">
        <w:rPr>
          <w:rFonts w:asciiTheme="minorHAnsi" w:hAnsiTheme="minorHAnsi" w:cs="Helvetica"/>
          <w:color w:val="222222"/>
          <w:szCs w:val="24"/>
          <w:shd w:val="clear" w:color="auto" w:fill="FFFFFF"/>
        </w:rPr>
        <w:t xml:space="preserve">Yhtiölle </w:t>
      </w:r>
      <w:r w:rsidR="00181D2C">
        <w:rPr>
          <w:rFonts w:asciiTheme="minorHAnsi" w:hAnsiTheme="minorHAnsi" w:cs="Helvetica"/>
          <w:color w:val="222222"/>
          <w:szCs w:val="24"/>
          <w:shd w:val="clear" w:color="auto" w:fill="FFFFFF"/>
        </w:rPr>
        <w:t>siirrettävien</w:t>
      </w:r>
      <w:r w:rsidR="008E764C">
        <w:rPr>
          <w:rFonts w:asciiTheme="minorHAnsi" w:hAnsiTheme="minorHAnsi" w:cs="Helvetica"/>
          <w:color w:val="222222"/>
          <w:szCs w:val="24"/>
          <w:shd w:val="clear" w:color="auto" w:fill="FFFFFF"/>
        </w:rPr>
        <w:t xml:space="preserve"> t</w:t>
      </w:r>
      <w:r w:rsidR="002D6062">
        <w:rPr>
          <w:rFonts w:asciiTheme="minorHAnsi" w:hAnsiTheme="minorHAnsi" w:cs="Helvetica"/>
          <w:color w:val="222222"/>
          <w:szCs w:val="24"/>
          <w:shd w:val="clear" w:color="auto" w:fill="FFFFFF"/>
        </w:rPr>
        <w:t xml:space="preserve">ehtävien osalta </w:t>
      </w:r>
      <w:r w:rsidR="00F4577C">
        <w:rPr>
          <w:rFonts w:asciiTheme="minorHAnsi" w:hAnsiTheme="minorHAnsi" w:cs="Helvetica"/>
          <w:color w:val="222222"/>
          <w:szCs w:val="24"/>
          <w:shd w:val="clear" w:color="auto" w:fill="FFFFFF"/>
        </w:rPr>
        <w:t xml:space="preserve">ei </w:t>
      </w:r>
      <w:r w:rsidR="008E764C">
        <w:rPr>
          <w:rFonts w:asciiTheme="minorHAnsi" w:hAnsiTheme="minorHAnsi" w:cs="Helvetica"/>
          <w:color w:val="222222"/>
          <w:szCs w:val="24"/>
          <w:shd w:val="clear" w:color="auto" w:fill="FFFFFF"/>
        </w:rPr>
        <w:t xml:space="preserve">ole tehty </w:t>
      </w:r>
      <w:r w:rsidR="002D6062">
        <w:rPr>
          <w:rFonts w:asciiTheme="minorHAnsi" w:hAnsiTheme="minorHAnsi" w:cs="Helvetica"/>
          <w:color w:val="222222"/>
          <w:szCs w:val="24"/>
          <w:shd w:val="clear" w:color="auto" w:fill="FFFFFF"/>
        </w:rPr>
        <w:t xml:space="preserve">perustuslain 124 §:n </w:t>
      </w:r>
      <w:r w:rsidR="00181D2C">
        <w:rPr>
          <w:rFonts w:asciiTheme="minorHAnsi" w:hAnsiTheme="minorHAnsi" w:cs="Helvetica"/>
          <w:color w:val="222222"/>
          <w:szCs w:val="24"/>
          <w:shd w:val="clear" w:color="auto" w:fill="FFFFFF"/>
        </w:rPr>
        <w:t xml:space="preserve">edellyttämää </w:t>
      </w:r>
      <w:r w:rsidR="002D6062">
        <w:rPr>
          <w:rFonts w:asciiTheme="minorHAnsi" w:hAnsiTheme="minorHAnsi" w:cs="Helvetica"/>
          <w:color w:val="222222"/>
          <w:szCs w:val="24"/>
          <w:shd w:val="clear" w:color="auto" w:fill="FFFFFF"/>
        </w:rPr>
        <w:t>tarkastelua</w:t>
      </w:r>
      <w:r w:rsidR="008E764C">
        <w:rPr>
          <w:rFonts w:asciiTheme="minorHAnsi" w:hAnsiTheme="minorHAnsi" w:cs="Helvetica"/>
          <w:color w:val="222222"/>
          <w:szCs w:val="24"/>
          <w:shd w:val="clear" w:color="auto" w:fill="FFFFFF"/>
        </w:rPr>
        <w:t xml:space="preserve"> </w:t>
      </w:r>
      <w:r w:rsidR="00181D2C">
        <w:rPr>
          <w:rFonts w:asciiTheme="minorHAnsi" w:hAnsiTheme="minorHAnsi" w:cs="Helvetica"/>
          <w:color w:val="222222"/>
          <w:szCs w:val="24"/>
          <w:shd w:val="clear" w:color="auto" w:fill="FFFFFF"/>
        </w:rPr>
        <w:t xml:space="preserve">tehtävä tehtävältä </w:t>
      </w:r>
      <w:r w:rsidR="002D6062">
        <w:rPr>
          <w:rFonts w:asciiTheme="minorHAnsi" w:hAnsiTheme="minorHAnsi" w:cs="Helvetica"/>
          <w:color w:val="222222"/>
          <w:szCs w:val="24"/>
          <w:shd w:val="clear" w:color="auto" w:fill="FFFFFF"/>
        </w:rPr>
        <w:t xml:space="preserve">(onko kyse julkisesta hallintotehtävästä vai ei, mikäli on, täyttyvätkö perustuslain 124 §:n </w:t>
      </w:r>
      <w:r w:rsidR="008E764C">
        <w:rPr>
          <w:rFonts w:asciiTheme="minorHAnsi" w:hAnsiTheme="minorHAnsi" w:cs="Helvetica"/>
          <w:color w:val="222222"/>
          <w:szCs w:val="24"/>
          <w:shd w:val="clear" w:color="auto" w:fill="FFFFFF"/>
        </w:rPr>
        <w:t>asettamat kriteerit</w:t>
      </w:r>
      <w:r w:rsidR="002D6062">
        <w:rPr>
          <w:rFonts w:asciiTheme="minorHAnsi" w:hAnsiTheme="minorHAnsi" w:cs="Helvetica"/>
          <w:color w:val="222222"/>
          <w:szCs w:val="24"/>
          <w:shd w:val="clear" w:color="auto" w:fill="FFFFFF"/>
        </w:rPr>
        <w:t xml:space="preserve">). </w:t>
      </w:r>
    </w:p>
    <w:p w:rsidR="009C2A97" w:rsidRDefault="009C2A97" w:rsidP="009C2A97">
      <w:pPr>
        <w:pStyle w:val="AKPleipteksti"/>
        <w:ind w:left="0"/>
      </w:pPr>
    </w:p>
    <w:p w:rsidR="00E616FA" w:rsidRDefault="009C2A97" w:rsidP="009C2A97">
      <w:pPr>
        <w:pStyle w:val="AKPleipteksti"/>
      </w:pPr>
      <w:r>
        <w:t>Esitysluonnoksen perusteluissa todetaan, että Rahoituskeskus tilaisi me</w:t>
      </w:r>
      <w:r>
        <w:t>r</w:t>
      </w:r>
      <w:r>
        <w:t>kittävän osan tehtävistään yhtiöltä palvelusopimuksella. Rahoituskesku</w:t>
      </w:r>
      <w:r>
        <w:t>k</w:t>
      </w:r>
      <w:r>
        <w:t>seen tulisi 50 henkilöä ja yhtiöön 550. K</w:t>
      </w:r>
      <w:r w:rsidR="00814CC0">
        <w:t>aiken kaikkiaan k</w:t>
      </w:r>
      <w:r>
        <w:t>yse on laajami</w:t>
      </w:r>
      <w:r>
        <w:t>t</w:t>
      </w:r>
      <w:r>
        <w:t xml:space="preserve">taisen kokonaisen </w:t>
      </w:r>
      <w:r w:rsidR="00E616FA">
        <w:t>tehtäväkokonaisuuden siirrosta, eikä yksittäisen halli</w:t>
      </w:r>
      <w:r w:rsidR="00E616FA">
        <w:t>n</w:t>
      </w:r>
      <w:r w:rsidR="00E616FA">
        <w:t xml:space="preserve">totehtävän siirrosta viranomaiskoneiston ulkopuolelle. </w:t>
      </w:r>
      <w:r>
        <w:t>Tätä on peruste</w:t>
      </w:r>
      <w:r>
        <w:t>l</w:t>
      </w:r>
      <w:r>
        <w:t>tava tarkemmin</w:t>
      </w:r>
      <w:r w:rsidR="00E616FA">
        <w:t xml:space="preserve"> perustuslakivaliokunnan lausuntokäytäntö huomioiden. </w:t>
      </w:r>
      <w:r w:rsidR="00814CC0">
        <w:rPr>
          <w:rFonts w:asciiTheme="minorHAnsi" w:hAnsiTheme="minorHAnsi" w:cs="Helvetica"/>
          <w:color w:val="222222"/>
          <w:szCs w:val="24"/>
          <w:shd w:val="clear" w:color="auto" w:fill="FFFFFF"/>
        </w:rPr>
        <w:t>E</w:t>
      </w:r>
      <w:r w:rsidR="00E616FA">
        <w:rPr>
          <w:rFonts w:asciiTheme="minorHAnsi" w:hAnsiTheme="minorHAnsi" w:cs="Helvetica"/>
          <w:color w:val="222222"/>
          <w:szCs w:val="24"/>
          <w:shd w:val="clear" w:color="auto" w:fill="FFFFFF"/>
        </w:rPr>
        <w:t xml:space="preserve">sitysluonnoksen ehdotusten </w:t>
      </w:r>
      <w:r w:rsidR="00E616FA">
        <w:t>arviointia on syytä jatkovalmistelussa la</w:t>
      </w:r>
      <w:r w:rsidR="00E616FA">
        <w:t>a</w:t>
      </w:r>
      <w:r w:rsidR="00E616FA">
        <w:t>jentaa sekä täsmentää noudattaen hallituksen esitysten laatimisohjeita (ks. Hallituksen esitysten laatimisohjeet 2004, s. 23–24) ja Lainkirjoittajan opasta (osio 10).</w:t>
      </w:r>
    </w:p>
    <w:p w:rsidR="008E764C" w:rsidRDefault="008E764C" w:rsidP="009C2A97">
      <w:pPr>
        <w:pStyle w:val="AKPleipteksti"/>
      </w:pPr>
    </w:p>
    <w:p w:rsidR="009428AA" w:rsidRDefault="00074F6D" w:rsidP="00863C60">
      <w:pPr>
        <w:pStyle w:val="Alaotsikko"/>
      </w:pPr>
      <w:r>
        <w:t>Tehtävien siirto sopimuksella</w:t>
      </w:r>
      <w:r w:rsidR="008E764C">
        <w:t xml:space="preserve"> ja valtuutuksella</w:t>
      </w:r>
    </w:p>
    <w:p w:rsidR="00C96827" w:rsidRDefault="00C96827" w:rsidP="009C2A97">
      <w:pPr>
        <w:pStyle w:val="AKPleipteksti"/>
      </w:pPr>
    </w:p>
    <w:p w:rsidR="00DE7B42" w:rsidRDefault="00DE7B42" w:rsidP="00DE7B42">
      <w:pPr>
        <w:pStyle w:val="AKPleipteksti"/>
      </w:pPr>
      <w:r>
        <w:t>Perustuslain 124 §:n nojalla julkinen hallintotehtävä voidaan siirtää muu</w:t>
      </w:r>
      <w:r>
        <w:t>l</w:t>
      </w:r>
      <w:r>
        <w:t>le kuin viranomaiselle lailla tai lain nojalla. Perustuslain 2 §:n 3 momentin mukaan julkisen vallan käytön tulee perustua lakiin. Oikeusvaltioperiaa</w:t>
      </w:r>
      <w:r>
        <w:t>t</w:t>
      </w:r>
      <w:r>
        <w:t>teen noudattaminen edellyttää, että kussakin asiassa toimivaltaisen v</w:t>
      </w:r>
      <w:r>
        <w:t>i</w:t>
      </w:r>
      <w:r>
        <w:t>ranomaisen tulee käydä ilmi laista (ks. Lainkirjoittajan opas, osio 2.4). Toimivallan siirtämisen edellytysten on ilmennettävä laista riittävän tä</w:t>
      </w:r>
      <w:r>
        <w:t>s</w:t>
      </w:r>
      <w:r>
        <w:t>mällisesti, eikä viranomaiselle voida antaa lailla täysin rajoituksetonta va</w:t>
      </w:r>
      <w:r>
        <w:t>l</w:t>
      </w:r>
      <w:r>
        <w:t>tuutta siirtää tehtäviään tai toimivaltaansa yksityiselle. Laissa tulee siten yksilöidä, mitä tehtäviä ulkopuolelle voidaan siirtää ja millä edellytyksillä.</w:t>
      </w:r>
    </w:p>
    <w:p w:rsidR="00DE7B42" w:rsidRDefault="00DE7B42" w:rsidP="00DE7B42">
      <w:pPr>
        <w:pStyle w:val="AKPleipteksti"/>
      </w:pPr>
    </w:p>
    <w:p w:rsidR="00382687" w:rsidRDefault="00382687" w:rsidP="00382687">
      <w:pPr>
        <w:pStyle w:val="AKPleipteksti"/>
      </w:pPr>
      <w:r>
        <w:t>Esitysluonnoksen 13 §:n mukaan Rahoituskeskus ja yhtiö tekevät vuosi</w:t>
      </w:r>
      <w:r>
        <w:t>t</w:t>
      </w:r>
      <w:r>
        <w:t>tain palvelusopimuksen, jossa määritellään suoritettavat tehtävät ja niistä yhtiölle vuosittain maksettava korvaus. Kuten edellä on todettu, luonno</w:t>
      </w:r>
      <w:r>
        <w:t>k</w:t>
      </w:r>
      <w:r>
        <w:t>sessa ei ole säädetty riittävän täsmällisesti, mitä tehtäviä yhtiöön olisi mahdollista siirtää (</w:t>
      </w:r>
      <w:r w:rsidR="00101495">
        <w:rPr>
          <w:i/>
        </w:rPr>
        <w:t>11 §</w:t>
      </w:r>
      <w:r w:rsidRPr="00863C60">
        <w:rPr>
          <w:i/>
        </w:rPr>
        <w:t xml:space="preserve"> Yhtiö tuottaa lain 3 §:n tehtäviin liittyviä palvelu</w:t>
      </w:r>
      <w:r w:rsidRPr="00863C60">
        <w:rPr>
          <w:i/>
        </w:rPr>
        <w:t>i</w:t>
      </w:r>
      <w:r w:rsidRPr="00863C60">
        <w:rPr>
          <w:i/>
        </w:rPr>
        <w:t>ta Rahoituskeskuksen ohjauksessa Rahoituskeskuksen kanssa laadittavan palvelusopimuksen mukaisesti.).</w:t>
      </w:r>
    </w:p>
    <w:p w:rsidR="000C5AAF" w:rsidRDefault="000C5AAF" w:rsidP="00DE7B42">
      <w:pPr>
        <w:pStyle w:val="AKPleipteksti"/>
      </w:pPr>
    </w:p>
    <w:p w:rsidR="00DE7B42" w:rsidRDefault="00DE7B42" w:rsidP="00DE7B42">
      <w:pPr>
        <w:pStyle w:val="AKPleipteksti"/>
        <w:ind w:left="2596"/>
      </w:pPr>
      <w:r>
        <w:t>Sopimusperusteinen siirtäminen on liittynyt perustuslakivaliokunnan kä</w:t>
      </w:r>
      <w:r>
        <w:t>y</w:t>
      </w:r>
      <w:r>
        <w:t>tännössä lähinnä teknis-hallinnollisiin, rutiiniluontoisiin ja välitöntä peru</w:t>
      </w:r>
      <w:r>
        <w:t>s</w:t>
      </w:r>
      <w:r>
        <w:t>oikeuskytkentää vailla oleviin viranomaistoimintaa avustaviin ja täydent</w:t>
      </w:r>
      <w:r>
        <w:t>ä</w:t>
      </w:r>
      <w:r>
        <w:t>viin hallintotehtäviin. Julkisen hallintotehtävän hoitamista koskeva sop</w:t>
      </w:r>
      <w:r>
        <w:t>i</w:t>
      </w:r>
      <w:r>
        <w:t>mus on hallintolain 3 §:n tarkoittama hallintosopimus. Sopimuksen tek</w:t>
      </w:r>
      <w:r>
        <w:t>e</w:t>
      </w:r>
      <w:r>
        <w:t>miseen valtuuttavasta laista tulee käydä ilmi riittävän täsmällisesti, missä asioissa ja missä laajuudessa viranomaisen toimivaltaa tai tehtäviä vo</w:t>
      </w:r>
      <w:r>
        <w:t>i</w:t>
      </w:r>
      <w:r>
        <w:t>daan siirtää. Sovittaviin asioihin on katsottu kuuluvan lähinnä julkisen ha</w:t>
      </w:r>
      <w:r>
        <w:t>l</w:t>
      </w:r>
      <w:r>
        <w:t>lintotehtävän hoitamiseen liittyvät tekniset yksityiskohdat, kuten sop</w:t>
      </w:r>
      <w:r>
        <w:t>i</w:t>
      </w:r>
      <w:r>
        <w:t>muksen voimassaoloaika, tehtävän suorittamisesta aiheutuvien kusta</w:t>
      </w:r>
      <w:r>
        <w:t>n</w:t>
      </w:r>
      <w:r>
        <w:t>nusten korvaaminen sekä sopimusosapuolten keskinäinen tehtävän- ja vastuunjako (PeVL 11/2004 vp). Näiltä osin tulee huomioida myös peru</w:t>
      </w:r>
      <w:r>
        <w:t>s</w:t>
      </w:r>
      <w:r>
        <w:t>tuslain 80 §:n säännökset.</w:t>
      </w:r>
    </w:p>
    <w:p w:rsidR="00F4577C" w:rsidRDefault="00F4577C" w:rsidP="00DE7B42">
      <w:pPr>
        <w:pStyle w:val="AKPleipteksti"/>
        <w:ind w:left="2596"/>
      </w:pPr>
    </w:p>
    <w:p w:rsidR="00DE7B42" w:rsidRDefault="00DE7B42" w:rsidP="00863C60">
      <w:pPr>
        <w:pStyle w:val="AKPleipteksti"/>
        <w:ind w:left="2596"/>
      </w:pPr>
      <w:r>
        <w:lastRenderedPageBreak/>
        <w:t>Oikeusministeriö toteaa, että edellä esitetyillä perusteluilla 11, 13 ja 14 §:n säännökset palvelusopimuksista ja valtuutuksista eivät vaikuta asia</w:t>
      </w:r>
      <w:r>
        <w:t>n</w:t>
      </w:r>
      <w:r>
        <w:t>mukaisilta. Oikeusministeriö korostaa, että viranomaisen toimivallasta on säädettävä selkeästi laissa.</w:t>
      </w:r>
    </w:p>
    <w:p w:rsidR="00DE7B42" w:rsidRDefault="00DE7B42" w:rsidP="00863C60">
      <w:pPr>
        <w:pStyle w:val="AKPleipteksti"/>
        <w:ind w:left="0"/>
      </w:pPr>
    </w:p>
    <w:p w:rsidR="00DE7B42" w:rsidRDefault="00DE7B42" w:rsidP="00863C60">
      <w:pPr>
        <w:pStyle w:val="Alaotsikko"/>
      </w:pPr>
      <w:r w:rsidRPr="00863C60">
        <w:t>Rahoitus-, maksatus- ja muutospäätösten siirtäminen yhtiöön</w:t>
      </w:r>
    </w:p>
    <w:p w:rsidR="00DE7B42" w:rsidRDefault="00DE7B42" w:rsidP="009C2A97">
      <w:pPr>
        <w:pStyle w:val="AKPleipteksti"/>
      </w:pPr>
    </w:p>
    <w:p w:rsidR="00DE7B42" w:rsidRDefault="00DE7B42" w:rsidP="00DE7B42">
      <w:pPr>
        <w:pStyle w:val="AKPleipteksti"/>
      </w:pPr>
      <w:r>
        <w:t>Luonnoksen 4 §:n 1 momentin mukaan yhtiö voi Rahoituskeskuksen va</w:t>
      </w:r>
      <w:r>
        <w:t>l</w:t>
      </w:r>
      <w:r>
        <w:t>tuutuksella tehdä rahoitus-, muutos- ja maksatuspäätöksiä, joiden arvo ei ylitä 500.000 euroa.</w:t>
      </w:r>
    </w:p>
    <w:p w:rsidR="00DE7B42" w:rsidRDefault="00DE7B42" w:rsidP="00DE7B42">
      <w:pPr>
        <w:pStyle w:val="AKPleipteksti"/>
      </w:pPr>
    </w:p>
    <w:p w:rsidR="00DE7B42" w:rsidRDefault="00DE7B42">
      <w:pPr>
        <w:pStyle w:val="AKPleipteksti"/>
      </w:pPr>
      <w:r>
        <w:t>Esitysluonnoksesta ei käy ilmi, minkä suuruisia rahoitus-, muutos- ja ma</w:t>
      </w:r>
      <w:r>
        <w:t>k</w:t>
      </w:r>
      <w:r>
        <w:t>satuspäätökset ovat keskimäärin ja minkä verran näitä vuosittain tehdään. Tämä tieto on tärkeää arvioitaessa, kuinka merkittävästä päätöksenteosta on kyse. Mainittu 500.000 euron rahoituspäätös vaikuttaa hyvin merkitt</w:t>
      </w:r>
      <w:r>
        <w:t>ä</w:t>
      </w:r>
      <w:r>
        <w:t>vältä, mutta tätä on edellä mainitusta syystä vaikea arvioida. Luonnokse</w:t>
      </w:r>
      <w:r>
        <w:t>s</w:t>
      </w:r>
      <w:r>
        <w:t>ta ei myöskään käy ilmi, mitä muutos- ja maksatuspäätöksillä tarkoit</w:t>
      </w:r>
      <w:r>
        <w:t>e</w:t>
      </w:r>
      <w:r>
        <w:t>taan. Esitysluonnoksessa ei ole myöskään perusteltu, minkä vuoksi nämä tehtävät on tarkoituksenmukaista hoitaa yhtiössä.</w:t>
      </w:r>
    </w:p>
    <w:p w:rsidR="00DE7B42" w:rsidRDefault="00DE7B42" w:rsidP="009C2A97">
      <w:pPr>
        <w:pStyle w:val="AKPleipteksti"/>
      </w:pPr>
    </w:p>
    <w:p w:rsidR="00BB24E9" w:rsidRDefault="00DE7B42">
      <w:pPr>
        <w:pStyle w:val="AKPleipteksti"/>
      </w:pPr>
      <w:r>
        <w:t>Yhtiön toimivalta tehdä kyseisiä päätöksiä perustuisi 14 §:n 1 momentin mukaan Rahoituskeskuksen valtuutukseen. Valtuutukseen perustuva te</w:t>
      </w:r>
      <w:r>
        <w:t>h</w:t>
      </w:r>
      <w:r>
        <w:t>tävänanto tulee useimmiten kyseeseen viranomaista yksittäistapauksissa avustavissa teknisluontoisissa tai ammatillista erityisasiantuntemusta va</w:t>
      </w:r>
      <w:r>
        <w:t>a</w:t>
      </w:r>
      <w:r>
        <w:t>tivissa tehtäväkokonaisuuksissa, joiden ulkoistamiseen kohdistuu tyypill</w:t>
      </w:r>
      <w:r>
        <w:t>i</w:t>
      </w:r>
      <w:r>
        <w:t xml:space="preserve">sesti ajallisia rajoituksia ja tapauskohtaista tarveharkintaa. </w:t>
      </w:r>
      <w:r w:rsidR="00BB24E9">
        <w:t xml:space="preserve"> Sääntelystä saa vaikutelman, että kyse on säännönmukaisesta rahoitus-, maksatus- ja muutospäätösten tekemisestä yhtiössä, mutta itse sanamuoto viittaa y</w:t>
      </w:r>
      <w:r w:rsidR="00BB24E9">
        <w:t>k</w:t>
      </w:r>
      <w:r>
        <w:t>sittäistapauksissa valtuuttamiseen</w:t>
      </w:r>
      <w:r w:rsidR="00101495">
        <w:t>. Tätäkin s</w:t>
      </w:r>
      <w:r w:rsidR="00BB24E9">
        <w:t>äännöstä on hyvin vaikea a</w:t>
      </w:r>
      <w:r w:rsidR="00BB24E9">
        <w:t>r</w:t>
      </w:r>
      <w:r w:rsidR="00BB24E9">
        <w:t xml:space="preserve">vioida puuttuvien perusteluiden vuoksi. </w:t>
      </w:r>
    </w:p>
    <w:p w:rsidR="008009A6" w:rsidRDefault="008009A6" w:rsidP="00863C60">
      <w:pPr>
        <w:pStyle w:val="AKPleipteksti"/>
        <w:ind w:left="0"/>
      </w:pPr>
    </w:p>
    <w:p w:rsidR="009418A1" w:rsidRDefault="009418A1" w:rsidP="009C2A97">
      <w:pPr>
        <w:pStyle w:val="AKPleipteksti"/>
      </w:pPr>
      <w:r>
        <w:t xml:space="preserve">Edelleen </w:t>
      </w:r>
      <w:r w:rsidR="00DE7B42">
        <w:t xml:space="preserve">mikäli tällaiset päätökset siirtyvät </w:t>
      </w:r>
      <w:r>
        <w:t>yhtiölle, ei yhtiö</w:t>
      </w:r>
      <w:r w:rsidR="00DE7B42">
        <w:t>n päätökse</w:t>
      </w:r>
      <w:r w:rsidR="00DE7B42">
        <w:t>n</w:t>
      </w:r>
      <w:r w:rsidR="00DE7B42">
        <w:t xml:space="preserve">tekomenettely perustu esittelyyn. </w:t>
      </w:r>
      <w:r>
        <w:t xml:space="preserve"> </w:t>
      </w:r>
      <w:r w:rsidR="00F4577C">
        <w:t>Luonnoksen 14 §:n 1 momentin m</w:t>
      </w:r>
      <w:r w:rsidR="00F4577C">
        <w:t>u</w:t>
      </w:r>
      <w:r w:rsidR="00F4577C">
        <w:t>kaan valtioneuvoston asetuksella säädettäisiin yhtiön toimihenkilöiden ja esittelijän määräämisestä. Asiassa jää epäselväksi, mistä asetuksella sä</w:t>
      </w:r>
      <w:r w:rsidR="00F4577C">
        <w:t>ä</w:t>
      </w:r>
      <w:r w:rsidR="00F4577C">
        <w:t xml:space="preserve">dettäisiin ja mitä määräämistä asetuksenantovaltuudella tarkoitetaan. </w:t>
      </w:r>
      <w:r w:rsidR="00DE7B42">
        <w:t xml:space="preserve"> </w:t>
      </w:r>
    </w:p>
    <w:p w:rsidR="000C5AAF" w:rsidRDefault="000C5AAF" w:rsidP="009C2A97">
      <w:pPr>
        <w:pStyle w:val="AKPleipteksti"/>
      </w:pPr>
    </w:p>
    <w:p w:rsidR="00E5114E" w:rsidRDefault="00E5114E" w:rsidP="00633882">
      <w:pPr>
        <w:pStyle w:val="AKPleipteksti"/>
        <w:rPr>
          <w:i/>
          <w:szCs w:val="24"/>
        </w:rPr>
      </w:pPr>
      <w:r>
        <w:rPr>
          <w:i/>
          <w:szCs w:val="24"/>
        </w:rPr>
        <w:t>Yhtiön työntekijät viranomaisen päätösten valmistelijoina ja esittelijöinä</w:t>
      </w:r>
    </w:p>
    <w:p w:rsidR="00E5114E" w:rsidRPr="00863C60" w:rsidRDefault="00E5114E" w:rsidP="00633882">
      <w:pPr>
        <w:pStyle w:val="AKPleipteksti"/>
        <w:rPr>
          <w:i/>
          <w:szCs w:val="24"/>
        </w:rPr>
      </w:pPr>
    </w:p>
    <w:p w:rsidR="00C96827" w:rsidRDefault="00C96827" w:rsidP="00EB3097">
      <w:pPr>
        <w:pStyle w:val="AKPleipteksti"/>
      </w:pPr>
      <w:r>
        <w:rPr>
          <w:szCs w:val="24"/>
        </w:rPr>
        <w:t xml:space="preserve">Esitysluonnoksen </w:t>
      </w:r>
      <w:r w:rsidR="00EB3097">
        <w:rPr>
          <w:szCs w:val="24"/>
        </w:rPr>
        <w:t>14 §</w:t>
      </w:r>
      <w:r>
        <w:rPr>
          <w:szCs w:val="24"/>
        </w:rPr>
        <w:t xml:space="preserve">:n </w:t>
      </w:r>
      <w:r w:rsidR="00EB3097">
        <w:rPr>
          <w:szCs w:val="24"/>
        </w:rPr>
        <w:t xml:space="preserve">2 </w:t>
      </w:r>
      <w:r>
        <w:rPr>
          <w:szCs w:val="24"/>
        </w:rPr>
        <w:t>momentin</w:t>
      </w:r>
      <w:r w:rsidR="00EB3097">
        <w:rPr>
          <w:szCs w:val="24"/>
        </w:rPr>
        <w:t xml:space="preserve"> mukaan </w:t>
      </w:r>
      <w:r w:rsidR="00EB3097">
        <w:t>yhtiön työntekijä voi valmi</w:t>
      </w:r>
      <w:r w:rsidR="00EB3097">
        <w:t>s</w:t>
      </w:r>
      <w:r w:rsidR="00EB3097">
        <w:t>tella ja esitellä Rahoituskeskuksen tekemiä rahoitustoimintaan liittyviä päätöksiä. Perusteluissa on todettu, että yhtiön työntekijä voisi toimia v</w:t>
      </w:r>
      <w:r w:rsidR="00EB3097">
        <w:t>i</w:t>
      </w:r>
      <w:r w:rsidR="00EB3097">
        <w:t>rastossa virkavastuullisena valmistelijana ja esittelijänä Rahoituskesku</w:t>
      </w:r>
      <w:r w:rsidR="00EB3097">
        <w:t>k</w:t>
      </w:r>
      <w:r w:rsidR="00EB3097">
        <w:t>sen tekemissä rahoitustoimintaan liittyvissä päätöksissä.</w:t>
      </w:r>
      <w:r w:rsidR="001E6C62">
        <w:t xml:space="preserve"> </w:t>
      </w:r>
      <w:r w:rsidR="000C5AAF">
        <w:t>Kyseisen kalta</w:t>
      </w:r>
      <w:r w:rsidR="000C5AAF">
        <w:t>i</w:t>
      </w:r>
      <w:r w:rsidR="000C5AAF">
        <w:t>sesta järjestelystä on syytä luopua esityksen jatkovalmistelussa.</w:t>
      </w:r>
      <w:r w:rsidR="00E5114E">
        <w:t xml:space="preserve"> R</w:t>
      </w:r>
      <w:r w:rsidR="00F522D7">
        <w:t>ahoitu</w:t>
      </w:r>
      <w:r w:rsidR="00F522D7">
        <w:t>s</w:t>
      </w:r>
      <w:r w:rsidR="00F522D7">
        <w:t>keskus valvoisi 14 §:n 3 momentin mukaan rahoitustoimintaa yhtiössä. Samanaikaisesti</w:t>
      </w:r>
      <w:r w:rsidR="00E5114E">
        <w:t xml:space="preserve"> yhtiön työntekijä </w:t>
      </w:r>
      <w:r w:rsidR="00101495">
        <w:t>valmistelisi Rahoituskeskuksen päätö</w:t>
      </w:r>
      <w:r w:rsidR="00101495">
        <w:t>k</w:t>
      </w:r>
      <w:r w:rsidR="00101495">
        <w:lastRenderedPageBreak/>
        <w:t xml:space="preserve">siä ja </w:t>
      </w:r>
      <w:r w:rsidR="00E5114E">
        <w:t xml:space="preserve">toimisi esittelijänä. Tällaisessa rakennelmassa vastuusuhteet ovat sekavat, eikä </w:t>
      </w:r>
      <w:r w:rsidR="00D3626A">
        <w:t xml:space="preserve">yhtiön toiminnan </w:t>
      </w:r>
      <w:r w:rsidR="00E5114E">
        <w:t xml:space="preserve">valvonta voi toteutua asianmukaisesti. </w:t>
      </w:r>
      <w:r w:rsidR="00101495">
        <w:t>Y</w:t>
      </w:r>
      <w:r w:rsidR="00101495">
        <w:t>h</w:t>
      </w:r>
      <w:r w:rsidR="00101495">
        <w:t>tiö ja Rahoituskeskus ovat erillisiä toimijoita.</w:t>
      </w:r>
    </w:p>
    <w:p w:rsidR="00C96827" w:rsidRDefault="00C96827" w:rsidP="00EB3097">
      <w:pPr>
        <w:pStyle w:val="AKPleipteksti"/>
      </w:pPr>
    </w:p>
    <w:p w:rsidR="00E5114E" w:rsidRDefault="00E5114E" w:rsidP="00EB3097">
      <w:pPr>
        <w:pStyle w:val="AKPleipteksti"/>
      </w:pPr>
      <w:r>
        <w:t xml:space="preserve">Lisäksi sääntely on </w:t>
      </w:r>
      <w:r w:rsidR="00F4577C">
        <w:t>erikoista</w:t>
      </w:r>
      <w:r>
        <w:t>, kun 14 §:n 1 momentin mukaan Yhtiö ei voi tehdä yli 500.000 euron rahoitus-, muutos- ja maksatuspäätöksiä eikä t</w:t>
      </w:r>
      <w:r>
        <w:t>a</w:t>
      </w:r>
      <w:r>
        <w:t>kaisinperintäpäätöksiä, mutta 14 §:n 2 momentin mukaan yhtiön työnt</w:t>
      </w:r>
      <w:r>
        <w:t>e</w:t>
      </w:r>
      <w:r>
        <w:t>kijä kuitenkin voi valmistella ja esitellä Rahoituskeskuksen tekemiä raho</w:t>
      </w:r>
      <w:r>
        <w:t>i</w:t>
      </w:r>
      <w:r>
        <w:t>tustoimintaan liittyviä päätöksiä. Tällöin yhtiön työntekijä voisi osallistua päätöksentekoon, joka on 1 momentissa poissuljettu yhtiön tehtävistä.</w:t>
      </w:r>
    </w:p>
    <w:p w:rsidR="00773163" w:rsidRDefault="00773163" w:rsidP="00863C60">
      <w:pPr>
        <w:pStyle w:val="AKPleipteksti"/>
        <w:ind w:left="0"/>
      </w:pPr>
    </w:p>
    <w:p w:rsidR="00773163" w:rsidRDefault="00773163" w:rsidP="00DF01E3">
      <w:pPr>
        <w:pStyle w:val="AKPleipteksti"/>
        <w:rPr>
          <w:i/>
        </w:rPr>
      </w:pPr>
      <w:r>
        <w:rPr>
          <w:i/>
        </w:rPr>
        <w:t>Hallinnon yleislait</w:t>
      </w:r>
    </w:p>
    <w:p w:rsidR="00773163" w:rsidRPr="00863C60" w:rsidRDefault="00773163" w:rsidP="00DF01E3">
      <w:pPr>
        <w:pStyle w:val="AKPleipteksti"/>
        <w:rPr>
          <w:i/>
        </w:rPr>
      </w:pPr>
    </w:p>
    <w:p w:rsidR="00773163" w:rsidRDefault="00773163" w:rsidP="00773163">
      <w:pPr>
        <w:pStyle w:val="AKPleipteksti"/>
      </w:pPr>
      <w:r>
        <w:t>Kuten edellä on todettu, perustuslain 124 § edellyttää, että julkisen halli</w:t>
      </w:r>
      <w:r>
        <w:t>n</w:t>
      </w:r>
      <w:r>
        <w:t>totehtävän antaminen muulle kuin viranomaiselle ei saa vaarantaa peru</w:t>
      </w:r>
      <w:r>
        <w:t>s</w:t>
      </w:r>
      <w:r>
        <w:t>oikeuksia, oikeusturvaa eikä muita hyvän hallinnon vaatimuksia.</w:t>
      </w:r>
      <w:r w:rsidR="00557373">
        <w:t xml:space="preserve"> Yhtiön hoitaessa julkisia hallintotehtäviä, tulee siinä noudatettavaksi esimerkiksi hallinnon yleislait.</w:t>
      </w:r>
    </w:p>
    <w:p w:rsidR="00773163" w:rsidRDefault="00773163" w:rsidP="00863C60">
      <w:pPr>
        <w:pStyle w:val="AKPleipteksti"/>
        <w:ind w:left="0"/>
      </w:pPr>
    </w:p>
    <w:p w:rsidR="00773163" w:rsidRDefault="00773163" w:rsidP="00773163">
      <w:pPr>
        <w:pStyle w:val="AKPleipteksti"/>
        <w:rPr>
          <w:szCs w:val="24"/>
        </w:rPr>
      </w:pPr>
      <w:r>
        <w:rPr>
          <w:rFonts w:eastAsia="Calibri"/>
          <w:szCs w:val="24"/>
        </w:rPr>
        <w:t>Viittausta hallinnon yleislakeihin ei enää nykyisin ole perustuslain 124 §:n takia välttämätöntä sisällyttää lakiin, koska hallinnon yleislakeja sovell</w:t>
      </w:r>
      <w:r>
        <w:rPr>
          <w:rFonts w:eastAsia="Calibri"/>
          <w:szCs w:val="24"/>
        </w:rPr>
        <w:t>e</w:t>
      </w:r>
      <w:r>
        <w:rPr>
          <w:rFonts w:eastAsia="Calibri"/>
          <w:szCs w:val="24"/>
        </w:rPr>
        <w:t>taan niiden sisältämien soveltamisalaa, viranomaisten määritelmää tai li</w:t>
      </w:r>
      <w:r>
        <w:rPr>
          <w:rFonts w:eastAsia="Calibri"/>
          <w:szCs w:val="24"/>
        </w:rPr>
        <w:t>i</w:t>
      </w:r>
      <w:r>
        <w:rPr>
          <w:rFonts w:eastAsia="Calibri"/>
          <w:szCs w:val="24"/>
        </w:rPr>
        <w:t>kelaitosten kielellisiä palveluita ja yksityisen kielellistä palveluvelvollisuu</w:t>
      </w:r>
      <w:r>
        <w:rPr>
          <w:rFonts w:eastAsia="Calibri"/>
          <w:szCs w:val="24"/>
        </w:rPr>
        <w:t>t</w:t>
      </w:r>
      <w:r>
        <w:rPr>
          <w:rFonts w:eastAsia="Calibri"/>
          <w:szCs w:val="24"/>
        </w:rPr>
        <w:t xml:space="preserve">ta koskevien säännösten nojalla myös yksityisiin niiden hoitaessa julkisia hallintotehtäviä. Jos kuitenkin viittaus halutaan lakiin ottaa, tulee sen olla täydellinen (ks. tarkemmin Lainkirjoittajan opas, osio 10.4). </w:t>
      </w:r>
      <w:r>
        <w:rPr>
          <w:szCs w:val="24"/>
        </w:rPr>
        <w:t>Julkisen halli</w:t>
      </w:r>
      <w:r>
        <w:rPr>
          <w:szCs w:val="24"/>
        </w:rPr>
        <w:t>n</w:t>
      </w:r>
      <w:r>
        <w:rPr>
          <w:szCs w:val="24"/>
        </w:rPr>
        <w:t>totehtävän hoitamiseen liittyy rikosoikeudellinen virkavastuu sekä vahi</w:t>
      </w:r>
      <w:r>
        <w:rPr>
          <w:szCs w:val="24"/>
        </w:rPr>
        <w:t>n</w:t>
      </w:r>
      <w:r>
        <w:rPr>
          <w:szCs w:val="24"/>
        </w:rPr>
        <w:t>gonkorvausvastuu. Epäselvyyksien välttämiseksi olisi myös syytä sisälly</w:t>
      </w:r>
      <w:r>
        <w:rPr>
          <w:szCs w:val="24"/>
        </w:rPr>
        <w:t>t</w:t>
      </w:r>
      <w:r>
        <w:rPr>
          <w:szCs w:val="24"/>
        </w:rPr>
        <w:t>tää lakiehdotukseen asianmukainen virkavastuuta selventävä säännös (ks. Lainkirjoittajan opas, osio 12.12). Hallinnon yleislait ja virkavastuu tulee huomioida myös mahdollisessa tytäryhtiötä koskevassa sääntelyssä.</w:t>
      </w:r>
      <w:r w:rsidR="000C5AAF">
        <w:rPr>
          <w:szCs w:val="24"/>
        </w:rPr>
        <w:t xml:space="preserve"> Ede</w:t>
      </w:r>
      <w:r w:rsidR="000C5AAF">
        <w:rPr>
          <w:szCs w:val="24"/>
        </w:rPr>
        <w:t>l</w:t>
      </w:r>
      <w:r w:rsidR="000C5AAF">
        <w:rPr>
          <w:szCs w:val="24"/>
        </w:rPr>
        <w:t>leen mikäli Rahoituskeskus 1 §:n mukaisesti perustaa muita yhtiöitä ho</w:t>
      </w:r>
      <w:r w:rsidR="000C5AAF">
        <w:rPr>
          <w:szCs w:val="24"/>
        </w:rPr>
        <w:t>i</w:t>
      </w:r>
      <w:r w:rsidR="000C5AAF">
        <w:rPr>
          <w:szCs w:val="24"/>
        </w:rPr>
        <w:t xml:space="preserve">tamaan sen julkisia hallintotehtäviä, tulee näissäkin huomioida, ettei </w:t>
      </w:r>
      <w:r w:rsidR="000C5AAF" w:rsidRPr="000C5AAF">
        <w:rPr>
          <w:szCs w:val="24"/>
        </w:rPr>
        <w:t>julk</w:t>
      </w:r>
      <w:r w:rsidR="000C5AAF" w:rsidRPr="000C5AAF">
        <w:rPr>
          <w:szCs w:val="24"/>
        </w:rPr>
        <w:t>i</w:t>
      </w:r>
      <w:r w:rsidR="000C5AAF" w:rsidRPr="000C5AAF">
        <w:rPr>
          <w:szCs w:val="24"/>
        </w:rPr>
        <w:t>sen hallintotehtävän antaminen muulle kuin viranomaiselle  saa vaarantaa perusoikeuksia, oikeusturvaa eikä muita hyvän hallinnon vaatimuksia</w:t>
      </w:r>
      <w:r w:rsidR="000C5AAF">
        <w:rPr>
          <w:szCs w:val="24"/>
        </w:rPr>
        <w:t>.</w:t>
      </w:r>
    </w:p>
    <w:p w:rsidR="008023DD" w:rsidRDefault="008023DD" w:rsidP="00773163">
      <w:pPr>
        <w:pStyle w:val="AKPleipteksti"/>
        <w:rPr>
          <w:szCs w:val="24"/>
        </w:rPr>
      </w:pPr>
    </w:p>
    <w:p w:rsidR="008023DD" w:rsidRPr="005C3EF7" w:rsidRDefault="008023DD" w:rsidP="008023DD">
      <w:pPr>
        <w:pStyle w:val="AKPleipteksti"/>
        <w:rPr>
          <w:i/>
        </w:rPr>
      </w:pPr>
      <w:r>
        <w:rPr>
          <w:i/>
        </w:rPr>
        <w:t>Valtionavustuslaki ja yhtiö</w:t>
      </w:r>
    </w:p>
    <w:p w:rsidR="008023DD" w:rsidRDefault="008023DD" w:rsidP="008023DD">
      <w:pPr>
        <w:pStyle w:val="AKPleipteksti"/>
      </w:pPr>
    </w:p>
    <w:p w:rsidR="008023DD" w:rsidRDefault="008023DD">
      <w:pPr>
        <w:pStyle w:val="AKPleipteksti"/>
        <w:rPr>
          <w:szCs w:val="24"/>
        </w:rPr>
      </w:pPr>
      <w:r>
        <w:rPr>
          <w:szCs w:val="24"/>
        </w:rPr>
        <w:t>Yhtiö tekisi ehdotuksen mukaan valtionavustuslaissa tai valtion lainana</w:t>
      </w:r>
      <w:r>
        <w:rPr>
          <w:szCs w:val="24"/>
        </w:rPr>
        <w:t>n</w:t>
      </w:r>
      <w:r>
        <w:rPr>
          <w:szCs w:val="24"/>
        </w:rPr>
        <w:t>nosta sekä valtiontakauksesta ja valtiontakuusta annetussa laissa tarko</w:t>
      </w:r>
      <w:r>
        <w:rPr>
          <w:szCs w:val="24"/>
        </w:rPr>
        <w:t>i</w:t>
      </w:r>
      <w:r>
        <w:rPr>
          <w:szCs w:val="24"/>
        </w:rPr>
        <w:t>tettuja alle 500.000 euron rahoitus-, maksatus- ja muutospäätöksiä. Valt</w:t>
      </w:r>
      <w:r>
        <w:rPr>
          <w:szCs w:val="24"/>
        </w:rPr>
        <w:t>i</w:t>
      </w:r>
      <w:r>
        <w:rPr>
          <w:szCs w:val="24"/>
        </w:rPr>
        <w:t>onavustuslain mukaan yhtiö toimisi valtionavustuslain tarkoittamana va</w:t>
      </w:r>
      <w:r>
        <w:rPr>
          <w:szCs w:val="24"/>
        </w:rPr>
        <w:t>l</w:t>
      </w:r>
      <w:r>
        <w:rPr>
          <w:szCs w:val="24"/>
        </w:rPr>
        <w:t>tionapuviranomaisena eli myös valvoisi myöntämänsä rahoituksen käy</w:t>
      </w:r>
      <w:r>
        <w:rPr>
          <w:szCs w:val="24"/>
        </w:rPr>
        <w:t>t</w:t>
      </w:r>
      <w:r>
        <w:rPr>
          <w:szCs w:val="24"/>
        </w:rPr>
        <w:t>töä. Kuitenkin esitysluonnoksessa ehdotetaan säädettäväksi, että Raho</w:t>
      </w:r>
      <w:r>
        <w:rPr>
          <w:szCs w:val="24"/>
        </w:rPr>
        <w:t>i</w:t>
      </w:r>
      <w:r>
        <w:rPr>
          <w:szCs w:val="24"/>
        </w:rPr>
        <w:t>tuskeskus olisi toimivaltainen kaikissa takaisinperintäpäätöksissä. Tämä aiheuttaa erikoisen tilanteen, kun valtionapuviranomainen ja takaisinp</w:t>
      </w:r>
      <w:r>
        <w:rPr>
          <w:szCs w:val="24"/>
        </w:rPr>
        <w:t>e</w:t>
      </w:r>
      <w:r>
        <w:rPr>
          <w:szCs w:val="24"/>
        </w:rPr>
        <w:lastRenderedPageBreak/>
        <w:t>rinnästä päättävä taho ovat eri. Ehdotuksia ei ole tarkasteltu valtionavu</w:t>
      </w:r>
      <w:r>
        <w:rPr>
          <w:szCs w:val="24"/>
        </w:rPr>
        <w:t>s</w:t>
      </w:r>
      <w:r>
        <w:rPr>
          <w:szCs w:val="24"/>
        </w:rPr>
        <w:t>tuslain näkökulmasta.</w:t>
      </w:r>
    </w:p>
    <w:p w:rsidR="00BF72A1" w:rsidRDefault="00BF72A1" w:rsidP="0060244A">
      <w:pPr>
        <w:pStyle w:val="AKPleipteksti"/>
        <w:ind w:left="0"/>
      </w:pPr>
    </w:p>
    <w:p w:rsidR="00307214" w:rsidRDefault="00457807" w:rsidP="00307214">
      <w:pPr>
        <w:pStyle w:val="Alaotsikko"/>
      </w:pPr>
      <w:r>
        <w:t>Muutoksenhaku</w:t>
      </w:r>
    </w:p>
    <w:p w:rsidR="00555B36" w:rsidRDefault="0072620C" w:rsidP="00633882">
      <w:pPr>
        <w:pStyle w:val="AKPleipteksti"/>
      </w:pPr>
      <w:r>
        <w:t>Luonnoksen 15 §:ssä säädettäisiin muutok</w:t>
      </w:r>
      <w:r w:rsidR="00555B36">
        <w:t>senhausta Rahoituskeskuksen ja y</w:t>
      </w:r>
      <w:r>
        <w:t xml:space="preserve">htiön tekemiin rahoitus-, muutos- ja maksatuspäätöksiin. </w:t>
      </w:r>
      <w:r w:rsidR="00555B36">
        <w:t>Muutoksenh</w:t>
      </w:r>
      <w:r w:rsidR="00555B36">
        <w:t>a</w:t>
      </w:r>
      <w:r w:rsidR="00555B36">
        <w:t>kua koskeva säännös koskee ainoastaan rahoitus-, muutos- ja maksatu</w:t>
      </w:r>
      <w:r w:rsidR="00555B36">
        <w:t>s</w:t>
      </w:r>
      <w:r w:rsidR="00555B36">
        <w:t>päätöksiä. Tekevätkö Rahoituskeskus tai yhtiö muita päätöksiä kuin 15 §:ssä listatut? Mikäli tekevät, tulisi nämä huomioida sääntelyssä.</w:t>
      </w:r>
      <w:r w:rsidR="00721AEE">
        <w:t xml:space="preserve"> Muuto</w:t>
      </w:r>
      <w:r w:rsidR="00721AEE">
        <w:t>k</w:t>
      </w:r>
      <w:r w:rsidR="00721AEE">
        <w:t>senhakuoikeus johtokunnan päätöksistä jää epäselväksi (7 § 2 momentti).</w:t>
      </w:r>
    </w:p>
    <w:p w:rsidR="00D363F6" w:rsidRDefault="00555B36" w:rsidP="00633882">
      <w:pPr>
        <w:pStyle w:val="AKPleipteksti"/>
      </w:pPr>
      <w:r>
        <w:t xml:space="preserve">Säännös on lisäksi </w:t>
      </w:r>
      <w:r w:rsidR="0072620C">
        <w:t xml:space="preserve">muotoiltu tavanomaisesta poiketen. Parempi muotoilu olisi ”- saa vaatia oikaisua Rahoituskeskukselta siten kuin hallintolaissa (434/2003) säädetään.” </w:t>
      </w:r>
      <w:r w:rsidR="00D363F6">
        <w:t>Lisäksi pykälän otsikko ja sen sisältö eivät vastaa toisiaan.</w:t>
      </w:r>
    </w:p>
    <w:p w:rsidR="00721AEE" w:rsidRDefault="00721AEE" w:rsidP="00633882">
      <w:pPr>
        <w:pStyle w:val="AKPleipteksti"/>
      </w:pPr>
    </w:p>
    <w:p w:rsidR="00555B36" w:rsidRDefault="00D363F6" w:rsidP="00721AEE">
      <w:pPr>
        <w:pStyle w:val="AKPleipteksti"/>
      </w:pPr>
      <w:r>
        <w:t xml:space="preserve">Oikeusministeriö kannattaa oikaisuvaatimusmenettelyn </w:t>
      </w:r>
      <w:r w:rsidR="00D31EA2">
        <w:t>käyttöä lain ta</w:t>
      </w:r>
      <w:r w:rsidR="00D31EA2">
        <w:t>r</w:t>
      </w:r>
      <w:r w:rsidR="00D31EA2">
        <w:t>koittamissa asiaryhmissä sekä valituslupamenettelyä korkeimpaan halli</w:t>
      </w:r>
      <w:r w:rsidR="00D31EA2">
        <w:t>n</w:t>
      </w:r>
      <w:r w:rsidR="00D31EA2">
        <w:t>to-oikeuteen.</w:t>
      </w:r>
    </w:p>
    <w:p w:rsidR="004A4823" w:rsidRDefault="004A4823" w:rsidP="00611C85">
      <w:pPr>
        <w:pStyle w:val="Alaotsikko"/>
      </w:pPr>
    </w:p>
    <w:p w:rsidR="00611C85" w:rsidRDefault="00262449" w:rsidP="00611C85">
      <w:pPr>
        <w:pStyle w:val="Alaotsikko"/>
      </w:pPr>
      <w:r>
        <w:t>Säädösteknisiä seikkoja</w:t>
      </w:r>
    </w:p>
    <w:p w:rsidR="00611C85" w:rsidRDefault="00611C85" w:rsidP="00611C85">
      <w:pPr>
        <w:pStyle w:val="AKPleipteksti"/>
      </w:pPr>
    </w:p>
    <w:p w:rsidR="00611C85" w:rsidRDefault="00262449" w:rsidP="001B6007">
      <w:pPr>
        <w:pStyle w:val="AKPleipteksti"/>
      </w:pPr>
      <w:r>
        <w:t xml:space="preserve">Esitysluonnos </w:t>
      </w:r>
      <w:r w:rsidR="00555B36">
        <w:t>kaipaa monilta osin perusteellista</w:t>
      </w:r>
      <w:r w:rsidR="00D07EB9">
        <w:t xml:space="preserve"> jatkovalmistelua</w:t>
      </w:r>
      <w:r w:rsidR="00EA3197">
        <w:t xml:space="preserve"> sekä er</w:t>
      </w:r>
      <w:r w:rsidR="00EA3197">
        <w:t>i</w:t>
      </w:r>
      <w:r w:rsidR="00EA3197">
        <w:t>tyistä huomiota säädöstekniikkaan</w:t>
      </w:r>
      <w:r>
        <w:t xml:space="preserve">. </w:t>
      </w:r>
      <w:r w:rsidR="00EA3197">
        <w:t>Luonnos on monilta osin hyvin puu</w:t>
      </w:r>
      <w:r w:rsidR="00EA3197">
        <w:t>t</w:t>
      </w:r>
      <w:r w:rsidR="00EA3197">
        <w:t>teellisesti peru</w:t>
      </w:r>
      <w:r w:rsidR="00863C60">
        <w:t>s</w:t>
      </w:r>
      <w:r w:rsidR="00EA3197">
        <w:t xml:space="preserve">teltu. </w:t>
      </w:r>
      <w:r>
        <w:t xml:space="preserve">Siitä puuttuvat </w:t>
      </w:r>
      <w:r w:rsidR="001B6007">
        <w:t xml:space="preserve">lisäksi </w:t>
      </w:r>
      <w:r>
        <w:t>asianmukaiset pykäläkohtaiset yksityiskohtaiset peruste</w:t>
      </w:r>
      <w:r w:rsidR="00555B36">
        <w:t xml:space="preserve">lut. Perusteluissa </w:t>
      </w:r>
      <w:r>
        <w:t>on ainoastaan toistettu pykälän sisältö perustelematta sitä enempää.</w:t>
      </w:r>
      <w:r w:rsidR="00FF10E1">
        <w:t xml:space="preserve"> Ehdotettuja säännöksiä on monelta osin vaikea kommentoida yksityiskohtaisten perusteluiden toistaessa a</w:t>
      </w:r>
      <w:r w:rsidR="00FF10E1">
        <w:t>i</w:t>
      </w:r>
      <w:r w:rsidR="00FF10E1">
        <w:t>noastaan pykälien sisältöä.</w:t>
      </w:r>
      <w:r>
        <w:t xml:space="preserve"> Hallituksen esity</w:t>
      </w:r>
      <w:r w:rsidR="001B6007">
        <w:t>ste</w:t>
      </w:r>
      <w:r>
        <w:t xml:space="preserve">n laatimisohjeiden </w:t>
      </w:r>
      <w:r w:rsidRPr="00FF10E1">
        <w:rPr>
          <w:i/>
        </w:rPr>
        <w:t>mukaan ”Yksityiskohtaisissa perusteluissa ei pidä toistaa, mitä on jo esitetty ylei</w:t>
      </w:r>
      <w:r w:rsidRPr="00FF10E1">
        <w:rPr>
          <w:i/>
        </w:rPr>
        <w:t>s</w:t>
      </w:r>
      <w:r w:rsidRPr="00FF10E1">
        <w:rPr>
          <w:i/>
        </w:rPr>
        <w:t>perusteluissa, eikä varsinkaan sitä, mikä sellaisenaan käy ilmi ehdotett</w:t>
      </w:r>
      <w:r w:rsidRPr="00FF10E1">
        <w:rPr>
          <w:i/>
        </w:rPr>
        <w:t>a</w:t>
      </w:r>
      <w:r w:rsidRPr="00FF10E1">
        <w:rPr>
          <w:i/>
        </w:rPr>
        <w:t>vasta säännöksestä itsestään. Jokainen säännösehdotus on kuitenkin p</w:t>
      </w:r>
      <w:r w:rsidRPr="00FF10E1">
        <w:rPr>
          <w:i/>
        </w:rPr>
        <w:t>e</w:t>
      </w:r>
      <w:r w:rsidRPr="00FF10E1">
        <w:rPr>
          <w:i/>
        </w:rPr>
        <w:t>rusteltava. Säännöksen perusteluina ei tule yksinomaan käyttää viittausta samaa asiaa koskevaan aiempaan hallituksen esitykseen.”</w:t>
      </w:r>
      <w:r w:rsidR="001B6007">
        <w:t xml:space="preserve"> (ks. Hallituksen esity</w:t>
      </w:r>
      <w:r>
        <w:t>s</w:t>
      </w:r>
      <w:r w:rsidR="001B6007">
        <w:t>t</w:t>
      </w:r>
      <w:r>
        <w:t xml:space="preserve">en laatimisohjeet s. </w:t>
      </w:r>
      <w:r w:rsidR="00D31EA2">
        <w:t>19–20</w:t>
      </w:r>
      <w:r>
        <w:t>).</w:t>
      </w:r>
    </w:p>
    <w:p w:rsidR="00D3626A" w:rsidRDefault="00D3626A" w:rsidP="001B6007">
      <w:pPr>
        <w:pStyle w:val="AKPleipteksti"/>
      </w:pPr>
    </w:p>
    <w:p w:rsidR="00721AEE" w:rsidRDefault="00EA3197" w:rsidP="00721AEE">
      <w:pPr>
        <w:pStyle w:val="AKPleipteksti"/>
      </w:pPr>
      <w:r>
        <w:rPr>
          <w:rFonts w:asciiTheme="minorHAnsi" w:hAnsiTheme="minorHAnsi" w:cs="Helvetica"/>
          <w:color w:val="222222"/>
          <w:szCs w:val="24"/>
          <w:shd w:val="clear" w:color="auto" w:fill="FFFFFF"/>
        </w:rPr>
        <w:t xml:space="preserve">Niiltä osin kuin yleisperusteluja on, ne sekä </w:t>
      </w:r>
      <w:r w:rsidR="00721AEE" w:rsidRPr="00045D97">
        <w:rPr>
          <w:rFonts w:asciiTheme="minorHAnsi" w:hAnsiTheme="minorHAnsi" w:cs="Helvetica"/>
          <w:color w:val="222222"/>
          <w:szCs w:val="24"/>
          <w:shd w:val="clear" w:color="auto" w:fill="FFFFFF"/>
        </w:rPr>
        <w:t xml:space="preserve">pykäläteksti </w:t>
      </w:r>
      <w:r>
        <w:rPr>
          <w:rFonts w:asciiTheme="minorHAnsi" w:hAnsiTheme="minorHAnsi" w:cs="Helvetica"/>
          <w:color w:val="222222"/>
          <w:szCs w:val="24"/>
          <w:shd w:val="clear" w:color="auto" w:fill="FFFFFF"/>
        </w:rPr>
        <w:t xml:space="preserve">ja </w:t>
      </w:r>
      <w:r w:rsidR="00F06E8E">
        <w:rPr>
          <w:rFonts w:asciiTheme="minorHAnsi" w:hAnsiTheme="minorHAnsi" w:cs="Helvetica"/>
          <w:color w:val="222222"/>
          <w:szCs w:val="24"/>
          <w:shd w:val="clear" w:color="auto" w:fill="FFFFFF"/>
        </w:rPr>
        <w:t>yksityiskohta</w:t>
      </w:r>
      <w:r w:rsidR="00F06E8E">
        <w:rPr>
          <w:rFonts w:asciiTheme="minorHAnsi" w:hAnsiTheme="minorHAnsi" w:cs="Helvetica"/>
          <w:color w:val="222222"/>
          <w:szCs w:val="24"/>
          <w:shd w:val="clear" w:color="auto" w:fill="FFFFFF"/>
        </w:rPr>
        <w:t>i</w:t>
      </w:r>
      <w:r w:rsidR="00F06E8E">
        <w:rPr>
          <w:rFonts w:asciiTheme="minorHAnsi" w:hAnsiTheme="minorHAnsi" w:cs="Helvetica"/>
          <w:color w:val="222222"/>
          <w:szCs w:val="24"/>
          <w:shd w:val="clear" w:color="auto" w:fill="FFFFFF"/>
        </w:rPr>
        <w:t xml:space="preserve">set perustelut </w:t>
      </w:r>
      <w:r w:rsidR="00721AEE" w:rsidRPr="00045D97">
        <w:rPr>
          <w:rFonts w:asciiTheme="minorHAnsi" w:hAnsiTheme="minorHAnsi" w:cs="Helvetica"/>
          <w:color w:val="222222"/>
          <w:szCs w:val="24"/>
          <w:shd w:val="clear" w:color="auto" w:fill="FFFFFF"/>
        </w:rPr>
        <w:t>vaikuttavat olevan useilta kohdin ristiriidassa keskenään</w:t>
      </w:r>
      <w:r w:rsidR="00721AEE">
        <w:rPr>
          <w:rFonts w:asciiTheme="minorHAnsi" w:hAnsiTheme="minorHAnsi" w:cs="Helvetica"/>
          <w:color w:val="222222"/>
          <w:szCs w:val="24"/>
          <w:shd w:val="clear" w:color="auto" w:fill="FFFFFF"/>
        </w:rPr>
        <w:t xml:space="preserve"> ja p</w:t>
      </w:r>
      <w:r w:rsidR="00721AEE">
        <w:t>erusteluissa on sisäisiä ristiriitaisuuksia.</w:t>
      </w:r>
      <w:r w:rsidR="00721AEE" w:rsidRPr="001B6007">
        <w:rPr>
          <w:rFonts w:asciiTheme="minorHAnsi" w:hAnsiTheme="minorHAnsi" w:cs="Helvetica"/>
          <w:color w:val="222222"/>
          <w:szCs w:val="24"/>
          <w:shd w:val="clear" w:color="auto" w:fill="FFFFFF"/>
        </w:rPr>
        <w:t xml:space="preserve"> </w:t>
      </w:r>
      <w:r w:rsidR="00721AEE" w:rsidRPr="00045D97">
        <w:rPr>
          <w:rFonts w:asciiTheme="minorHAnsi" w:hAnsiTheme="minorHAnsi" w:cs="Helvetica"/>
          <w:color w:val="222222"/>
          <w:szCs w:val="24"/>
          <w:shd w:val="clear" w:color="auto" w:fill="FFFFFF"/>
        </w:rPr>
        <w:t>Oikeusministeriö muistuttaa, e</w:t>
      </w:r>
      <w:r w:rsidR="00721AEE" w:rsidRPr="00045D97">
        <w:rPr>
          <w:rFonts w:asciiTheme="minorHAnsi" w:hAnsiTheme="minorHAnsi" w:cs="Helvetica"/>
          <w:color w:val="222222"/>
          <w:szCs w:val="24"/>
          <w:shd w:val="clear" w:color="auto" w:fill="FFFFFF"/>
        </w:rPr>
        <w:t>t</w:t>
      </w:r>
      <w:r w:rsidR="00721AEE" w:rsidRPr="00045D97">
        <w:rPr>
          <w:rFonts w:asciiTheme="minorHAnsi" w:hAnsiTheme="minorHAnsi" w:cs="Helvetica"/>
          <w:color w:val="222222"/>
          <w:szCs w:val="24"/>
          <w:shd w:val="clear" w:color="auto" w:fill="FFFFFF"/>
        </w:rPr>
        <w:t>tä perusteluilla ei ole mahdollista säätää.</w:t>
      </w:r>
    </w:p>
    <w:p w:rsidR="00FA5ABA" w:rsidRDefault="00FA5ABA" w:rsidP="00262449">
      <w:pPr>
        <w:pStyle w:val="AKPleipteksti"/>
      </w:pPr>
    </w:p>
    <w:p w:rsidR="00FA5ABA" w:rsidRDefault="00F06E8E" w:rsidP="00FA5ABA">
      <w:pPr>
        <w:pStyle w:val="AKPleipteksti"/>
      </w:pPr>
      <w:r>
        <w:t>Lisäksi</w:t>
      </w:r>
      <w:r w:rsidR="00FA5ABA">
        <w:t xml:space="preserve"> esityksen säätämisjärjestysperustelut</w:t>
      </w:r>
      <w:r w:rsidR="00EA3197">
        <w:t xml:space="preserve"> tulee laatia asianmukaisesti. </w:t>
      </w:r>
      <w:r w:rsidR="005236E9">
        <w:t>Hallituksen</w:t>
      </w:r>
      <w:r w:rsidR="001B6007">
        <w:t xml:space="preserve"> esityst</w:t>
      </w:r>
      <w:r w:rsidR="005236E9">
        <w:t xml:space="preserve">en laatimisohjeiden mukaan </w:t>
      </w:r>
      <w:r w:rsidR="00FA5ABA" w:rsidRPr="005236E9">
        <w:rPr>
          <w:i/>
        </w:rPr>
        <w:t>”Jaksossa tehdään koko</w:t>
      </w:r>
      <w:r w:rsidR="00FA5ABA" w:rsidRPr="005236E9">
        <w:rPr>
          <w:i/>
        </w:rPr>
        <w:t>a</w:t>
      </w:r>
      <w:r w:rsidR="00FA5ABA" w:rsidRPr="005236E9">
        <w:rPr>
          <w:i/>
        </w:rPr>
        <w:t>vasti selkoa perustuslain kannalta merkityksellisistä säännöksistä samoin kuin siitä, millä perusteilla niiden katsotaan olevan perustuslain kanssa sopusoinnussa. Perustuslakivaliokunnan käytäntö tulee ottaa lakia valmi</w:t>
      </w:r>
      <w:r w:rsidR="00FA5ABA" w:rsidRPr="005236E9">
        <w:rPr>
          <w:i/>
        </w:rPr>
        <w:t>s</w:t>
      </w:r>
      <w:r w:rsidR="00FA5ABA" w:rsidRPr="005236E9">
        <w:rPr>
          <w:i/>
        </w:rPr>
        <w:t xml:space="preserve">teltaessa asianmukaisesti huomioon, ja siitä on tässä jaksossa tehtävä </w:t>
      </w:r>
      <w:r w:rsidR="00FA5ABA" w:rsidRPr="005236E9">
        <w:rPr>
          <w:i/>
        </w:rPr>
        <w:lastRenderedPageBreak/>
        <w:t>selkoa ainakin viittausmaininnoilla kunkin asian kannalta tärkeimpiin v</w:t>
      </w:r>
      <w:r w:rsidR="00FA5ABA" w:rsidRPr="005236E9">
        <w:rPr>
          <w:i/>
        </w:rPr>
        <w:t>a</w:t>
      </w:r>
      <w:r w:rsidR="00FA5ABA" w:rsidRPr="005236E9">
        <w:rPr>
          <w:i/>
        </w:rPr>
        <w:t>liokunnan lausuntoihin.”</w:t>
      </w:r>
      <w:r w:rsidR="00FA5ABA">
        <w:t xml:space="preserve"> (ks. Hallituksen esitys</w:t>
      </w:r>
      <w:r w:rsidR="001B6007">
        <w:t>t</w:t>
      </w:r>
      <w:r w:rsidR="00FA5ABA">
        <w:t xml:space="preserve">en laatimisohjeet s. </w:t>
      </w:r>
      <w:r w:rsidR="009C2101">
        <w:t>23–24</w:t>
      </w:r>
      <w:r w:rsidR="00FA5ABA">
        <w:t>)</w:t>
      </w:r>
    </w:p>
    <w:p w:rsidR="00CE0B6B" w:rsidRDefault="00CE0B6B" w:rsidP="001B6007">
      <w:pPr>
        <w:pStyle w:val="AKPleipteksti"/>
        <w:ind w:left="0"/>
      </w:pPr>
    </w:p>
    <w:p w:rsidR="001B6007" w:rsidRDefault="001B6007" w:rsidP="001B6007">
      <w:pPr>
        <w:pStyle w:val="AKPleipteksti"/>
        <w:rPr>
          <w:rFonts w:asciiTheme="minorHAnsi" w:hAnsiTheme="minorHAnsi"/>
          <w:szCs w:val="24"/>
        </w:rPr>
      </w:pPr>
      <w:r>
        <w:t>Jatkovalmistelussa olisi syytä tarkastella mahdollisuuksia yhtenäistää h</w:t>
      </w:r>
      <w:r>
        <w:t>a</w:t>
      </w:r>
      <w:r>
        <w:t xml:space="preserve">janaiselta </w:t>
      </w:r>
      <w:r w:rsidR="00EA3197">
        <w:t xml:space="preserve">ja epämääräiseltä sekä epätarkalta </w:t>
      </w:r>
      <w:r>
        <w:t xml:space="preserve">vaikuttavaa sääntelyä. </w:t>
      </w:r>
      <w:r w:rsidR="00CE0B6B">
        <w:t>Us</w:t>
      </w:r>
      <w:r w:rsidR="00CE0B6B">
        <w:t>e</w:t>
      </w:r>
      <w:r w:rsidR="00CE0B6B">
        <w:t xml:space="preserve">assa pykälässä säädetään </w:t>
      </w:r>
      <w:r>
        <w:t>samaan asiaan liittyvistä seikoista siten, että k</w:t>
      </w:r>
      <w:r>
        <w:t>o</w:t>
      </w:r>
      <w:r>
        <w:t>konaisuus ei hahmotu parhaalla mahdollisimmalla tavalla.</w:t>
      </w:r>
      <w:r w:rsidR="00CE0B6B">
        <w:t xml:space="preserve"> </w:t>
      </w:r>
      <w:r w:rsidR="00721AEE">
        <w:rPr>
          <w:rFonts w:asciiTheme="minorHAnsi" w:hAnsiTheme="minorHAnsi"/>
          <w:szCs w:val="24"/>
        </w:rPr>
        <w:t>Esimerkiksi t</w:t>
      </w:r>
      <w:r w:rsidR="00B27B9B">
        <w:rPr>
          <w:rFonts w:asciiTheme="minorHAnsi" w:hAnsiTheme="minorHAnsi"/>
          <w:szCs w:val="24"/>
        </w:rPr>
        <w:t>e</w:t>
      </w:r>
      <w:r w:rsidR="00B27B9B">
        <w:rPr>
          <w:rFonts w:asciiTheme="minorHAnsi" w:hAnsiTheme="minorHAnsi"/>
          <w:szCs w:val="24"/>
        </w:rPr>
        <w:t>h</w:t>
      </w:r>
      <w:r w:rsidR="00B27B9B">
        <w:rPr>
          <w:rFonts w:asciiTheme="minorHAnsi" w:hAnsiTheme="minorHAnsi"/>
          <w:szCs w:val="24"/>
        </w:rPr>
        <w:t xml:space="preserve">täviä ja niiden </w:t>
      </w:r>
      <w:r w:rsidR="00721AEE">
        <w:rPr>
          <w:rFonts w:asciiTheme="minorHAnsi" w:hAnsiTheme="minorHAnsi"/>
          <w:szCs w:val="24"/>
        </w:rPr>
        <w:t>siirtämistä</w:t>
      </w:r>
      <w:r w:rsidR="00B27B9B">
        <w:rPr>
          <w:rFonts w:asciiTheme="minorHAnsi" w:hAnsiTheme="minorHAnsi"/>
          <w:szCs w:val="24"/>
        </w:rPr>
        <w:t xml:space="preserve"> yhtiölle on säädelty luonnoksen</w:t>
      </w:r>
      <w:r w:rsidR="00ED2602">
        <w:rPr>
          <w:rFonts w:asciiTheme="minorHAnsi" w:hAnsiTheme="minorHAnsi"/>
          <w:szCs w:val="24"/>
        </w:rPr>
        <w:t xml:space="preserve"> 1§:ssä,</w:t>
      </w:r>
      <w:r w:rsidR="00B27B9B">
        <w:rPr>
          <w:rFonts w:asciiTheme="minorHAnsi" w:hAnsiTheme="minorHAnsi"/>
          <w:szCs w:val="24"/>
        </w:rPr>
        <w:t xml:space="preserve"> 3 §:ssä, 11 §:ssä, 13 §:ssä ja 14 §:ssä. </w:t>
      </w:r>
    </w:p>
    <w:p w:rsidR="00262449" w:rsidRDefault="00262449" w:rsidP="00721AEE">
      <w:pPr>
        <w:pStyle w:val="AKPleipteksti"/>
        <w:ind w:left="0"/>
      </w:pPr>
    </w:p>
    <w:p w:rsidR="00555B36" w:rsidRPr="004A4823" w:rsidRDefault="00555B36" w:rsidP="00555B36">
      <w:pPr>
        <w:ind w:left="2596"/>
        <w:rPr>
          <w:sz w:val="24"/>
          <w:szCs w:val="24"/>
        </w:rPr>
      </w:pPr>
      <w:r>
        <w:rPr>
          <w:sz w:val="24"/>
          <w:szCs w:val="24"/>
        </w:rPr>
        <w:t xml:space="preserve">Tietojen luovuttamista ja yhtiön valvontaa koskeva </w:t>
      </w:r>
      <w:r w:rsidR="00F06E8E">
        <w:rPr>
          <w:sz w:val="24"/>
          <w:szCs w:val="24"/>
        </w:rPr>
        <w:t>säännös</w:t>
      </w:r>
      <w:r>
        <w:rPr>
          <w:sz w:val="24"/>
          <w:szCs w:val="24"/>
        </w:rPr>
        <w:t xml:space="preserve"> (16 §) olisi syytä erottaa omiksi pykälikseen. Yhdessä pykälässä tulisi säätää vain y</w:t>
      </w:r>
      <w:r>
        <w:rPr>
          <w:sz w:val="24"/>
          <w:szCs w:val="24"/>
        </w:rPr>
        <w:t>h</w:t>
      </w:r>
      <w:r>
        <w:rPr>
          <w:sz w:val="24"/>
          <w:szCs w:val="24"/>
        </w:rPr>
        <w:t>destä asiasta. Edelleen 16 §:ssä säädettäisiin, että ministeriö ja Rahoitu</w:t>
      </w:r>
      <w:r>
        <w:rPr>
          <w:sz w:val="24"/>
          <w:szCs w:val="24"/>
        </w:rPr>
        <w:t>s</w:t>
      </w:r>
      <w:r>
        <w:rPr>
          <w:sz w:val="24"/>
          <w:szCs w:val="24"/>
        </w:rPr>
        <w:t>keskus voisivat siirtää yhtiön käyttöön tämän toiminnassa tarpeellisia ti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toja salassapitosäännösten estämättä. Säännös on erikoisesti muotoiltu. </w:t>
      </w:r>
      <w:r w:rsidR="00A05EC2">
        <w:rPr>
          <w:sz w:val="24"/>
          <w:szCs w:val="24"/>
        </w:rPr>
        <w:t>(</w:t>
      </w:r>
      <w:r w:rsidR="00F06E8E">
        <w:rPr>
          <w:sz w:val="24"/>
          <w:szCs w:val="24"/>
        </w:rPr>
        <w:t>ks. s</w:t>
      </w:r>
      <w:r w:rsidR="001B6007">
        <w:rPr>
          <w:sz w:val="24"/>
          <w:szCs w:val="24"/>
        </w:rPr>
        <w:t>ään</w:t>
      </w:r>
      <w:r w:rsidR="00F06E8E">
        <w:rPr>
          <w:sz w:val="24"/>
          <w:szCs w:val="24"/>
        </w:rPr>
        <w:t>nöksen muotoilusta</w:t>
      </w:r>
      <w:r>
        <w:rPr>
          <w:sz w:val="24"/>
          <w:szCs w:val="24"/>
        </w:rPr>
        <w:t xml:space="preserve"> Lainkirjoitta</w:t>
      </w:r>
      <w:r w:rsidR="001B6007">
        <w:rPr>
          <w:sz w:val="24"/>
          <w:szCs w:val="24"/>
        </w:rPr>
        <w:t>jan opas, osio 12.4.6.)</w:t>
      </w:r>
    </w:p>
    <w:p w:rsidR="00A05EC2" w:rsidRDefault="00A05EC2" w:rsidP="0008634E">
      <w:pPr>
        <w:pStyle w:val="AKPleipteksti"/>
      </w:pPr>
    </w:p>
    <w:p w:rsidR="00262449" w:rsidRDefault="00A05EC2" w:rsidP="0008634E">
      <w:pPr>
        <w:pStyle w:val="AKPleipteksti"/>
      </w:pPr>
      <w:r>
        <w:t>Luonnoksen 3 §:n 4 momentin asetuksenantovaltuudesta puuttuu asetu</w:t>
      </w:r>
      <w:r>
        <w:t>k</w:t>
      </w:r>
      <w:r>
        <w:t xml:space="preserve">sen antaja. </w:t>
      </w:r>
      <w:r w:rsidR="00721AEE">
        <w:t>Lisäksi luonnoksen a</w:t>
      </w:r>
      <w:r>
        <w:t>setuksenantovaltuudet on syytä tarkistaa perustuslain 80 §:n 1 momentin näkökulmasta (erityisesti valtuutuksen täsmällisyys ja lain tasolla olevat perussäännökset) sekä huomioiden lisä</w:t>
      </w:r>
      <w:r>
        <w:t>k</w:t>
      </w:r>
      <w:r>
        <w:t>si se, että viranomaisen tehtävistä ja toimivallasta on säädettävä lailla.</w:t>
      </w:r>
    </w:p>
    <w:p w:rsidR="00307214" w:rsidRDefault="00307214" w:rsidP="00261878">
      <w:pPr>
        <w:pStyle w:val="Alaotsikko"/>
      </w:pPr>
    </w:p>
    <w:p w:rsidR="00415A36" w:rsidRDefault="00415A36" w:rsidP="00261878">
      <w:pPr>
        <w:pStyle w:val="Alaotsikko"/>
      </w:pPr>
      <w:r>
        <w:t>Yhteenveto</w:t>
      </w:r>
    </w:p>
    <w:p w:rsidR="00415A36" w:rsidRDefault="000D492E" w:rsidP="00307214">
      <w:pPr>
        <w:pStyle w:val="AKPleipteksti"/>
      </w:pPr>
      <w:r>
        <w:t>Oikeusministeriö toteaa, että e</w:t>
      </w:r>
      <w:r w:rsidR="00101495">
        <w:t>s</w:t>
      </w:r>
      <w:r w:rsidR="00415A36">
        <w:t>itysluonnos sisältää merkittäviä keskeisiä ja periaatteellisia avoimia kysymyksiä, jotka on ratkaistava jatkovalmist</w:t>
      </w:r>
      <w:r w:rsidR="00415A36">
        <w:t>e</w:t>
      </w:r>
      <w:r w:rsidR="00415A36">
        <w:t>lussa. Ehdotuksen mukainen yhtiön ja viranomaisen asetelma on tällais</w:t>
      </w:r>
      <w:r w:rsidR="00415A36">
        <w:t>e</w:t>
      </w:r>
      <w:r w:rsidR="00415A36">
        <w:t>naan periaatteellisesti hankala. Oikeusministeriö katsoo, että viranoma</w:t>
      </w:r>
      <w:r w:rsidR="00415A36">
        <w:t>i</w:t>
      </w:r>
      <w:r w:rsidR="00415A36">
        <w:t>selle on toiminnassa annettava vahva rooli. Mikäli yhtiön perustamiselle on asianmukaisen arvioinnin jälkeen perusteita, tulee arvioida, mitä te</w:t>
      </w:r>
      <w:r w:rsidR="00415A36">
        <w:t>h</w:t>
      </w:r>
      <w:r w:rsidR="00415A36">
        <w:t>täviä yhtiölle voidaan antaa. Yhtiön tulisi olla lähinnä operatiivinen toim</w:t>
      </w:r>
      <w:r w:rsidR="00415A36">
        <w:t>i</w:t>
      </w:r>
      <w:r w:rsidR="00415A36">
        <w:t>ja. Ehdotettu malli vaikuttaa siltä, että toimijoiden roolit ovat pikemmi</w:t>
      </w:r>
      <w:r w:rsidR="00415A36">
        <w:t>n</w:t>
      </w:r>
      <w:r w:rsidR="00415A36">
        <w:t>kin toisin päin. Tällaisenaan ehdotuksessa menevät yhtiön ja viranomaisen toiminnat ja roolit sekaisin. Esitysluonnos kaipaa perusteellista jatkova</w:t>
      </w:r>
      <w:r w:rsidR="00415A36">
        <w:t>l</w:t>
      </w:r>
      <w:r w:rsidR="00415A36">
        <w:t xml:space="preserve">mistelua. </w:t>
      </w:r>
    </w:p>
    <w:p w:rsidR="00307214" w:rsidRDefault="00307214" w:rsidP="00307214">
      <w:pPr>
        <w:pStyle w:val="AKPleipteksti"/>
      </w:pPr>
    </w:p>
    <w:p w:rsidR="002702ED" w:rsidRDefault="00261878" w:rsidP="00307214">
      <w:pPr>
        <w:pStyle w:val="Alaotsikko"/>
      </w:pPr>
      <w:r>
        <w:t>Lopuksi</w:t>
      </w:r>
    </w:p>
    <w:p w:rsidR="00F10072" w:rsidRDefault="00633882" w:rsidP="00F10072">
      <w:pPr>
        <w:pStyle w:val="AKPleipteksti"/>
      </w:pPr>
      <w:r w:rsidRPr="00633882">
        <w:t xml:space="preserve">Oikeusministeriö muistuttaa lausuntopalvelu.fi </w:t>
      </w:r>
      <w:r>
        <w:t>-</w:t>
      </w:r>
      <w:r w:rsidRPr="00633882">
        <w:t>sivusto</w:t>
      </w:r>
      <w:r w:rsidR="00261878">
        <w:t xml:space="preserve">sta ja suosittelee, että myös </w:t>
      </w:r>
      <w:r w:rsidR="000C67B2">
        <w:t>työ- ja elinkeino</w:t>
      </w:r>
      <w:r w:rsidRPr="00633882">
        <w:t>ministeriö käyttäisi palvelua lausuntoja vasta</w:t>
      </w:r>
      <w:r w:rsidRPr="00633882">
        <w:t>i</w:t>
      </w:r>
      <w:r w:rsidRPr="00633882">
        <w:t>suudessa pyy</w:t>
      </w:r>
      <w:r>
        <w:t>täessään.</w:t>
      </w:r>
    </w:p>
    <w:p w:rsidR="00307214" w:rsidRDefault="00307214" w:rsidP="001241E9">
      <w:pPr>
        <w:pStyle w:val="AKPleipteksti"/>
      </w:pPr>
    </w:p>
    <w:p w:rsidR="00307214" w:rsidRDefault="00307214" w:rsidP="001241E9">
      <w:pPr>
        <w:pStyle w:val="AKPleipteksti"/>
      </w:pPr>
    </w:p>
    <w:p w:rsidR="00307214" w:rsidRDefault="00307214" w:rsidP="00307214">
      <w:pPr>
        <w:pStyle w:val="AKPleipteksti"/>
      </w:pPr>
    </w:p>
    <w:p w:rsidR="00821A4C" w:rsidRPr="001241E9" w:rsidRDefault="00554B32" w:rsidP="00307214">
      <w:pPr>
        <w:pStyle w:val="AKPleipteksti"/>
      </w:pPr>
      <w:r>
        <w:t>osastopäällikkö, ylijohtaja</w:t>
      </w:r>
      <w:r w:rsidR="001241E9" w:rsidRPr="001241E9">
        <w:rPr>
          <w:rStyle w:val="akpallekirjoittaja1c"/>
        </w:rPr>
        <w:tab/>
      </w:r>
      <w:r w:rsidR="001241E9" w:rsidRPr="001241E9">
        <w:rPr>
          <w:rStyle w:val="akpallekirjoittaja1c"/>
        </w:rPr>
        <w:tab/>
        <w:t>Sami Manninen</w:t>
      </w:r>
    </w:p>
    <w:p w:rsidR="001241E9" w:rsidRDefault="001241E9" w:rsidP="001241E9">
      <w:pPr>
        <w:pStyle w:val="AKPleipteksti"/>
      </w:pPr>
    </w:p>
    <w:p w:rsidR="00307214" w:rsidRPr="001241E9" w:rsidRDefault="00307214" w:rsidP="001241E9">
      <w:pPr>
        <w:pStyle w:val="AKPleipteksti"/>
      </w:pPr>
    </w:p>
    <w:p w:rsidR="001241E9" w:rsidRPr="001241E9" w:rsidRDefault="001241E9" w:rsidP="001241E9">
      <w:pPr>
        <w:pStyle w:val="AKPleipteksti"/>
      </w:pPr>
      <w:r w:rsidRPr="001241E9">
        <w:t>erityisasiantunt</w:t>
      </w:r>
      <w:r w:rsidR="006E034D">
        <w:t>i</w:t>
      </w:r>
      <w:r w:rsidRPr="001241E9">
        <w:t>ja</w:t>
      </w:r>
      <w:r w:rsidR="00554B32">
        <w:tab/>
      </w:r>
      <w:r w:rsidRPr="001241E9">
        <w:rPr>
          <w:rStyle w:val="akpallekirjoittaja2c"/>
        </w:rPr>
        <w:tab/>
        <w:t>Heini Färkkilä</w:t>
      </w:r>
    </w:p>
    <w:sectPr w:rsidR="001241E9" w:rsidRPr="001241E9" w:rsidSect="001241E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B42" w:rsidRDefault="00DE7B42">
      <w:r>
        <w:separator/>
      </w:r>
    </w:p>
  </w:endnote>
  <w:endnote w:type="continuationSeparator" w:id="0">
    <w:p w:rsidR="00DE7B42" w:rsidRDefault="00DE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B42" w:rsidRDefault="00DE7B42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DE7B42" w:rsidRDefault="00DE7B42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B42" w:rsidRDefault="00DE7B42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DE7B42" w:rsidRPr="0048319D">
      <w:trPr>
        <w:cantSplit/>
        <w:trHeight w:val="360"/>
      </w:trPr>
      <w:tc>
        <w:tcPr>
          <w:tcW w:w="5130" w:type="dxa"/>
          <w:gridSpan w:val="3"/>
          <w:vAlign w:val="bottom"/>
        </w:tcPr>
        <w:p w:rsidR="00DE7B42" w:rsidRPr="0048319D" w:rsidRDefault="00DE7B42">
          <w:pPr>
            <w:pStyle w:val="akptiedostopolku"/>
          </w:pPr>
        </w:p>
      </w:tc>
      <w:tc>
        <w:tcPr>
          <w:tcW w:w="76" w:type="dxa"/>
        </w:tcPr>
        <w:p w:rsidR="00DE7B42" w:rsidRPr="0048319D" w:rsidRDefault="00DE7B42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DE7B42" w:rsidRPr="0048319D" w:rsidRDefault="00DE7B42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DE7B42" w:rsidRPr="0048319D" w:rsidRDefault="00DE7B42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DE7B42" w:rsidRPr="0048319D" w:rsidRDefault="00DE7B42">
          <w:pPr>
            <w:pStyle w:val="Alatunniste"/>
            <w:rPr>
              <w:sz w:val="12"/>
            </w:rPr>
          </w:pPr>
        </w:p>
      </w:tc>
    </w:tr>
    <w:tr w:rsidR="00DE7B42" w:rsidRPr="0048319D">
      <w:trPr>
        <w:cantSplit/>
      </w:trPr>
      <w:tc>
        <w:tcPr>
          <w:tcW w:w="2835" w:type="dxa"/>
        </w:tcPr>
        <w:p w:rsidR="00DE7B42" w:rsidRPr="0048319D" w:rsidRDefault="00DE7B42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DE7B42" w:rsidRPr="0048319D" w:rsidRDefault="00DE7B42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:rsidR="00DE7B42" w:rsidRPr="0048319D" w:rsidRDefault="00DE7B42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DE7B42" w:rsidRPr="0048319D" w:rsidRDefault="00DE7B42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DE7B42" w:rsidRPr="0048319D" w:rsidRDefault="00DE7B42">
          <w:pPr>
            <w:pStyle w:val="Alatunniste"/>
            <w:rPr>
              <w:sz w:val="12"/>
            </w:rPr>
          </w:pPr>
        </w:p>
      </w:tc>
    </w:tr>
    <w:tr w:rsidR="00DE7B42" w:rsidRPr="0048319D">
      <w:trPr>
        <w:cantSplit/>
      </w:trPr>
      <w:tc>
        <w:tcPr>
          <w:tcW w:w="2835" w:type="dxa"/>
        </w:tcPr>
        <w:p w:rsidR="00DE7B42" w:rsidRPr="0048319D" w:rsidRDefault="00DE7B42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DE7B42" w:rsidRPr="0048319D" w:rsidRDefault="00DE7B42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:rsidR="00DE7B42" w:rsidRPr="0048319D" w:rsidRDefault="00DE7B42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DE7B42" w:rsidRPr="0048319D" w:rsidRDefault="00DE7B42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:rsidR="00DE7B42" w:rsidRPr="0048319D" w:rsidRDefault="00DE7B42">
          <w:pPr>
            <w:pStyle w:val="Alatunniste"/>
            <w:rPr>
              <w:sz w:val="18"/>
            </w:rPr>
          </w:pPr>
        </w:p>
      </w:tc>
    </w:tr>
  </w:tbl>
  <w:p w:rsidR="00DE7B42" w:rsidRDefault="00DE7B42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DE7B42" w:rsidRPr="0048319D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:rsidR="00DE7B42" w:rsidRPr="009B04E6" w:rsidRDefault="00DE7B42">
          <w:pPr>
            <w:pStyle w:val="akptiedostopolku"/>
          </w:pPr>
        </w:p>
        <w:p w:rsidR="00DE7B42" w:rsidRPr="009B04E6" w:rsidRDefault="00DE7B42">
          <w:pPr>
            <w:pStyle w:val="akptiedostopolku"/>
          </w:pPr>
        </w:p>
      </w:tc>
      <w:tc>
        <w:tcPr>
          <w:tcW w:w="76" w:type="dxa"/>
        </w:tcPr>
        <w:p w:rsidR="00DE7B42" w:rsidRPr="009B04E6" w:rsidRDefault="00DE7B42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:rsidR="00DE7B42" w:rsidRPr="009B04E6" w:rsidRDefault="00DE7B42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:rsidR="00DE7B42" w:rsidRPr="009B04E6" w:rsidRDefault="00DE7B42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:rsidR="00DE7B42" w:rsidRPr="009B04E6" w:rsidRDefault="00DE7B42">
          <w:pPr>
            <w:pStyle w:val="Alatunniste"/>
            <w:rPr>
              <w:sz w:val="12"/>
              <w:lang w:val="sv-SE"/>
            </w:rPr>
          </w:pPr>
        </w:p>
      </w:tc>
    </w:tr>
    <w:tr w:rsidR="00DE7B42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DE7B42" w:rsidRPr="00A02446" w:rsidRDefault="00DE7B42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Käyntiosoite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DE7B42" w:rsidRPr="00A02446" w:rsidRDefault="00DE7B42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Postiosoite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DE7B42" w:rsidRPr="00A02446" w:rsidRDefault="00DE7B42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Puhelin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DE7B42" w:rsidRPr="00A02446" w:rsidRDefault="00DE7B42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Faksi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DE7B42" w:rsidRPr="00A02446" w:rsidRDefault="00DE7B42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Sähköpostiosoite</w:t>
          </w:r>
        </w:p>
      </w:tc>
    </w:tr>
    <w:tr w:rsidR="00DE7B42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DE7B42" w:rsidRPr="00A02446" w:rsidRDefault="00DE7B42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Eteläesplanadi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DE7B42" w:rsidRPr="00A02446" w:rsidRDefault="00DE7B42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DE7B42" w:rsidRPr="00A02446" w:rsidRDefault="00DE7B42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DE7B42" w:rsidRPr="00A02446" w:rsidRDefault="00DE7B42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DE7B42" w:rsidRPr="00A02446" w:rsidRDefault="00DE7B42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DE7B42" w:rsidRPr="009B04E6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DE7B42" w:rsidRPr="00A02446" w:rsidRDefault="00DE7B42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DE7B42" w:rsidRPr="00A02446" w:rsidRDefault="00DE7B42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DE7B42" w:rsidRPr="00A02446" w:rsidRDefault="00DE7B42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DE7B42" w:rsidRPr="00A02446" w:rsidRDefault="00DE7B42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DE7B42" w:rsidRPr="00A02446" w:rsidRDefault="00DE7B42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DE7B42" w:rsidRPr="009B04E6" w:rsidTr="00285B02">
      <w:trPr>
        <w:cantSplit/>
      </w:trPr>
      <w:tc>
        <w:tcPr>
          <w:tcW w:w="2127" w:type="dxa"/>
        </w:tcPr>
        <w:p w:rsidR="00DE7B42" w:rsidRPr="009B04E6" w:rsidRDefault="00DE7B42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DE7B42" w:rsidRPr="009B04E6" w:rsidRDefault="00DE7B42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:rsidR="00DE7B42" w:rsidRPr="009B04E6" w:rsidRDefault="00DE7B42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DE7B42" w:rsidRPr="009B04E6" w:rsidRDefault="00DE7B42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DE7B42" w:rsidRPr="009B04E6" w:rsidRDefault="00DE7B42">
          <w:pPr>
            <w:pStyle w:val="Alatunniste"/>
            <w:rPr>
              <w:lang w:val="sv-SE"/>
            </w:rPr>
          </w:pPr>
        </w:p>
      </w:tc>
    </w:tr>
    <w:tr w:rsidR="00DE7B42" w:rsidRPr="009B04E6" w:rsidTr="00B37BF8">
      <w:trPr>
        <w:cantSplit/>
      </w:trPr>
      <w:tc>
        <w:tcPr>
          <w:tcW w:w="2127" w:type="dxa"/>
        </w:tcPr>
        <w:p w:rsidR="00DE7B42" w:rsidRPr="009B04E6" w:rsidRDefault="00DE7B42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DE7B42" w:rsidRPr="009B04E6" w:rsidRDefault="00DE7B42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:rsidR="00DE7B42" w:rsidRPr="009B04E6" w:rsidRDefault="00DE7B42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DE7B42" w:rsidRPr="009B04E6" w:rsidRDefault="00DE7B42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DE7B42" w:rsidRPr="009B04E6" w:rsidRDefault="00DE7B42">
          <w:pPr>
            <w:pStyle w:val="Alatunniste"/>
            <w:rPr>
              <w:lang w:val="sv-SE"/>
            </w:rPr>
          </w:pPr>
        </w:p>
      </w:tc>
    </w:tr>
  </w:tbl>
  <w:p w:rsidR="00DE7B42" w:rsidRPr="009B04E6" w:rsidRDefault="00DE7B42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B42" w:rsidRDefault="00DE7B42">
      <w:r>
        <w:separator/>
      </w:r>
    </w:p>
  </w:footnote>
  <w:footnote w:type="continuationSeparator" w:id="0">
    <w:p w:rsidR="00DE7B42" w:rsidRDefault="00DE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DE7B42" w:rsidRPr="0048319D">
      <w:trPr>
        <w:cantSplit/>
        <w:trHeight w:hRule="exact" w:val="20"/>
      </w:trPr>
      <w:tc>
        <w:tcPr>
          <w:tcW w:w="5216" w:type="dxa"/>
        </w:tcPr>
        <w:p w:rsidR="00DE7B42" w:rsidRPr="0048319D" w:rsidRDefault="00DE7B42" w:rsidP="00483C2E">
          <w:pPr>
            <w:pStyle w:val="akpylatunniste"/>
          </w:pPr>
        </w:p>
      </w:tc>
      <w:tc>
        <w:tcPr>
          <w:tcW w:w="56" w:type="dxa"/>
        </w:tcPr>
        <w:p w:rsidR="00DE7B42" w:rsidRPr="0048319D" w:rsidRDefault="00DE7B42" w:rsidP="00483C2E">
          <w:pPr>
            <w:pStyle w:val="akpylatunniste"/>
          </w:pPr>
        </w:p>
      </w:tc>
      <w:tc>
        <w:tcPr>
          <w:tcW w:w="2608" w:type="dxa"/>
        </w:tcPr>
        <w:p w:rsidR="00DE7B42" w:rsidRPr="0048319D" w:rsidRDefault="00DE7B42" w:rsidP="00483C2E">
          <w:pPr>
            <w:pStyle w:val="akpylatunniste"/>
          </w:pPr>
        </w:p>
      </w:tc>
      <w:tc>
        <w:tcPr>
          <w:tcW w:w="1805" w:type="dxa"/>
          <w:gridSpan w:val="2"/>
        </w:tcPr>
        <w:p w:rsidR="00DE7B42" w:rsidRPr="0048319D" w:rsidRDefault="00DE7B42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:rsidR="00DE7B42" w:rsidRPr="0048319D" w:rsidRDefault="00DE7B42" w:rsidP="00483C2E">
          <w:pPr>
            <w:pStyle w:val="akpylatunniste"/>
          </w:pPr>
        </w:p>
      </w:tc>
    </w:tr>
    <w:tr w:rsidR="00DE7B42" w:rsidRPr="0048319D">
      <w:trPr>
        <w:cantSplit/>
        <w:trHeight w:val="280"/>
      </w:trPr>
      <w:tc>
        <w:tcPr>
          <w:tcW w:w="5216" w:type="dxa"/>
          <w:vMerge w:val="restart"/>
          <w:vAlign w:val="center"/>
        </w:tcPr>
        <w:p w:rsidR="00DE7B42" w:rsidRPr="0048319D" w:rsidRDefault="00DE7B42" w:rsidP="00483C2E">
          <w:pPr>
            <w:pStyle w:val="akpylatunniste"/>
          </w:pPr>
        </w:p>
      </w:tc>
      <w:tc>
        <w:tcPr>
          <w:tcW w:w="56" w:type="dxa"/>
        </w:tcPr>
        <w:p w:rsidR="00DE7B42" w:rsidRPr="0048319D" w:rsidRDefault="00DE7B42" w:rsidP="00483C2E">
          <w:pPr>
            <w:pStyle w:val="akpylatunniste"/>
          </w:pPr>
        </w:p>
      </w:tc>
      <w:tc>
        <w:tcPr>
          <w:tcW w:w="2608" w:type="dxa"/>
        </w:tcPr>
        <w:p w:rsidR="00DE7B42" w:rsidRPr="0048319D" w:rsidRDefault="00DE7B42" w:rsidP="00483C2E">
          <w:pPr>
            <w:pStyle w:val="akpylatunniste"/>
          </w:pPr>
        </w:p>
      </w:tc>
      <w:tc>
        <w:tcPr>
          <w:tcW w:w="1304" w:type="dxa"/>
        </w:tcPr>
        <w:p w:rsidR="00DE7B42" w:rsidRPr="0048319D" w:rsidRDefault="00DE7B42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DE7B42" w:rsidRPr="0048319D" w:rsidRDefault="00DE7B42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237E1B">
            <w:rPr>
              <w:rStyle w:val="Sivunumero"/>
            </w:rPr>
            <w:t>4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237E1B">
            <w:rPr>
              <w:rStyle w:val="Sivunumero"/>
            </w:rPr>
            <w:t>8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DE7B42" w:rsidRPr="0048319D">
      <w:trPr>
        <w:cantSplit/>
        <w:trHeight w:val="230"/>
      </w:trPr>
      <w:tc>
        <w:tcPr>
          <w:tcW w:w="5216" w:type="dxa"/>
          <w:vMerge/>
        </w:tcPr>
        <w:p w:rsidR="00DE7B42" w:rsidRPr="0048319D" w:rsidRDefault="00DE7B42" w:rsidP="00483C2E">
          <w:pPr>
            <w:pStyle w:val="akpylatunniste"/>
          </w:pPr>
        </w:p>
      </w:tc>
      <w:tc>
        <w:tcPr>
          <w:tcW w:w="56" w:type="dxa"/>
        </w:tcPr>
        <w:p w:rsidR="00DE7B42" w:rsidRPr="0048319D" w:rsidRDefault="00DE7B42" w:rsidP="00483C2E">
          <w:pPr>
            <w:pStyle w:val="akpylatunniste"/>
          </w:pPr>
        </w:p>
      </w:tc>
      <w:tc>
        <w:tcPr>
          <w:tcW w:w="2608" w:type="dxa"/>
        </w:tcPr>
        <w:p w:rsidR="00DE7B42" w:rsidRPr="0048319D" w:rsidRDefault="00DE7B42" w:rsidP="00483C2E">
          <w:pPr>
            <w:pStyle w:val="akpylatunniste"/>
          </w:pPr>
        </w:p>
      </w:tc>
      <w:tc>
        <w:tcPr>
          <w:tcW w:w="1304" w:type="dxa"/>
        </w:tcPr>
        <w:p w:rsidR="00DE7B42" w:rsidRPr="0048319D" w:rsidRDefault="00DE7B42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DE7B42" w:rsidRPr="0048319D" w:rsidRDefault="00DE7B42" w:rsidP="00483C2E">
          <w:pPr>
            <w:pStyle w:val="akpylatunniste"/>
          </w:pPr>
        </w:p>
      </w:tc>
    </w:tr>
  </w:tbl>
  <w:p w:rsidR="00DE7B42" w:rsidRDefault="00DE7B42">
    <w:pPr>
      <w:pStyle w:val="Yltunniste"/>
    </w:pPr>
  </w:p>
  <w:p w:rsidR="00DE7B42" w:rsidRDefault="00DE7B42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73"/>
      <w:gridCol w:w="36"/>
      <w:gridCol w:w="30"/>
      <w:gridCol w:w="2132"/>
      <w:gridCol w:w="1636"/>
      <w:gridCol w:w="177"/>
      <w:gridCol w:w="659"/>
      <w:gridCol w:w="402"/>
      <w:gridCol w:w="25"/>
      <w:gridCol w:w="101"/>
    </w:tblGrid>
    <w:tr w:rsidR="00DE7B42" w:rsidRPr="0048319D" w:rsidTr="00BA5ADB">
      <w:trPr>
        <w:cantSplit/>
        <w:trHeight w:hRule="exact" w:val="57"/>
      </w:trPr>
      <w:tc>
        <w:tcPr>
          <w:tcW w:w="5173" w:type="dxa"/>
        </w:tcPr>
        <w:p w:rsidR="00DE7B42" w:rsidRPr="0008094E" w:rsidRDefault="00DE7B42" w:rsidP="00483C2E">
          <w:pPr>
            <w:pStyle w:val="akpylatunniste"/>
          </w:pPr>
        </w:p>
      </w:tc>
      <w:tc>
        <w:tcPr>
          <w:tcW w:w="66" w:type="dxa"/>
          <w:gridSpan w:val="2"/>
        </w:tcPr>
        <w:p w:rsidR="00DE7B42" w:rsidRPr="0008094E" w:rsidRDefault="00DE7B42" w:rsidP="00483C2E">
          <w:pPr>
            <w:pStyle w:val="akpylatunniste"/>
          </w:pPr>
        </w:p>
      </w:tc>
      <w:tc>
        <w:tcPr>
          <w:tcW w:w="2132" w:type="dxa"/>
          <w:vAlign w:val="bottom"/>
        </w:tcPr>
        <w:p w:rsidR="00DE7B42" w:rsidRPr="0008094E" w:rsidRDefault="00DE7B42" w:rsidP="00483C2E">
          <w:pPr>
            <w:pStyle w:val="akpylatunniste"/>
          </w:pPr>
        </w:p>
      </w:tc>
      <w:tc>
        <w:tcPr>
          <w:tcW w:w="1813" w:type="dxa"/>
          <w:gridSpan w:val="2"/>
        </w:tcPr>
        <w:p w:rsidR="00DE7B42" w:rsidRPr="0008094E" w:rsidRDefault="00DE7B42" w:rsidP="00483C2E">
          <w:pPr>
            <w:pStyle w:val="akpylatunniste"/>
          </w:pPr>
        </w:p>
      </w:tc>
      <w:tc>
        <w:tcPr>
          <w:tcW w:w="1187" w:type="dxa"/>
          <w:gridSpan w:val="4"/>
        </w:tcPr>
        <w:p w:rsidR="00DE7B42" w:rsidRPr="0008094E" w:rsidRDefault="00DE7B42" w:rsidP="00483C2E">
          <w:pPr>
            <w:pStyle w:val="akpylatunniste"/>
          </w:pPr>
        </w:p>
      </w:tc>
    </w:tr>
    <w:tr w:rsidR="00DE7B42" w:rsidRPr="0048319D" w:rsidTr="00BA5ADB">
      <w:trPr>
        <w:gridAfter w:val="5"/>
        <w:wAfter w:w="1364" w:type="dxa"/>
        <w:cantSplit/>
        <w:trHeight w:hRule="exact" w:val="936"/>
      </w:trPr>
      <w:tc>
        <w:tcPr>
          <w:tcW w:w="5209" w:type="dxa"/>
          <w:gridSpan w:val="2"/>
          <w:vMerge w:val="restart"/>
        </w:tcPr>
        <w:p w:rsidR="00DE7B42" w:rsidRPr="001241E9" w:rsidRDefault="00DE7B42" w:rsidP="00483C2E">
          <w:pPr>
            <w:pStyle w:val="akpylatunniste"/>
            <w:rPr>
              <w:sz w:val="26"/>
            </w:rPr>
          </w:pPr>
          <w:r>
            <w:rPr>
              <w:lang w:eastAsia="fi-FI"/>
            </w:rPr>
            <w:drawing>
              <wp:inline distT="0" distB="0" distL="0" distR="0" wp14:anchorId="1176F9A2" wp14:editId="1C5374E0">
                <wp:extent cx="2295525" cy="523875"/>
                <wp:effectExtent l="0" t="0" r="9525" b="9525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:rsidR="00DE7B42" w:rsidRPr="00483C2E" w:rsidRDefault="00DE7B42" w:rsidP="00483C2E">
          <w:pPr>
            <w:pStyle w:val="akpylatunniste"/>
          </w:pPr>
        </w:p>
      </w:tc>
      <w:tc>
        <w:tcPr>
          <w:tcW w:w="2132" w:type="dxa"/>
          <w:vAlign w:val="bottom"/>
        </w:tcPr>
        <w:p w:rsidR="00DE7B42" w:rsidRPr="00483C2E" w:rsidRDefault="00DE7B42" w:rsidP="00483C2E">
          <w:pPr>
            <w:pStyle w:val="akpylatunniste"/>
            <w:rPr>
              <w:rStyle w:val="akpatyyppi"/>
            </w:rPr>
          </w:pPr>
        </w:p>
      </w:tc>
      <w:tc>
        <w:tcPr>
          <w:tcW w:w="1636" w:type="dxa"/>
        </w:tcPr>
        <w:p w:rsidR="00DE7B42" w:rsidRPr="00483C2E" w:rsidRDefault="00DE7B42" w:rsidP="00483C2E">
          <w:pPr>
            <w:pStyle w:val="akpylatunniste"/>
          </w:pPr>
        </w:p>
      </w:tc>
    </w:tr>
    <w:tr w:rsidR="00DE7B42" w:rsidRPr="0048319D" w:rsidTr="00BA5ADB">
      <w:trPr>
        <w:cantSplit/>
        <w:trHeight w:val="369"/>
      </w:trPr>
      <w:tc>
        <w:tcPr>
          <w:tcW w:w="5209" w:type="dxa"/>
          <w:gridSpan w:val="2"/>
          <w:vMerge/>
        </w:tcPr>
        <w:p w:rsidR="00DE7B42" w:rsidRPr="00483C2E" w:rsidRDefault="00DE7B42" w:rsidP="00483C2E">
          <w:pPr>
            <w:pStyle w:val="akpylatunniste"/>
          </w:pPr>
        </w:p>
      </w:tc>
      <w:tc>
        <w:tcPr>
          <w:tcW w:w="30" w:type="dxa"/>
        </w:tcPr>
        <w:p w:rsidR="00DE7B42" w:rsidRPr="00483C2E" w:rsidRDefault="00DE7B42" w:rsidP="00483C2E">
          <w:pPr>
            <w:pStyle w:val="akpylatunniste"/>
          </w:pPr>
        </w:p>
      </w:tc>
      <w:tc>
        <w:tcPr>
          <w:tcW w:w="2132" w:type="dxa"/>
          <w:vAlign w:val="bottom"/>
        </w:tcPr>
        <w:p w:rsidR="00DE7B42" w:rsidRPr="00203E6E" w:rsidRDefault="00DE7B42" w:rsidP="001241E9">
          <w:pPr>
            <w:pStyle w:val="akpylatunniste"/>
          </w:pPr>
          <w:r w:rsidRPr="00203E6E">
            <w:rPr>
              <w:rStyle w:val="akpatyyppi"/>
            </w:rPr>
            <w:t>LAUSUNTO</w:t>
          </w:r>
        </w:p>
      </w:tc>
      <w:tc>
        <w:tcPr>
          <w:tcW w:w="1813" w:type="dxa"/>
          <w:gridSpan w:val="2"/>
          <w:vAlign w:val="bottom"/>
        </w:tcPr>
        <w:p w:rsidR="00DE7B42" w:rsidRPr="00203E6E" w:rsidRDefault="00DE7B42" w:rsidP="00446FB8">
          <w:pPr>
            <w:pStyle w:val="akpylatunniste"/>
          </w:pPr>
          <w:r w:rsidRPr="00203E6E">
            <w:t>OM 149/43/2017</w:t>
          </w:r>
        </w:p>
      </w:tc>
      <w:tc>
        <w:tcPr>
          <w:tcW w:w="1187" w:type="dxa"/>
          <w:gridSpan w:val="4"/>
          <w:vAlign w:val="bottom"/>
        </w:tcPr>
        <w:p w:rsidR="00DE7B42" w:rsidRPr="00483C2E" w:rsidRDefault="00DE7B42" w:rsidP="00FC30C2">
          <w:pPr>
            <w:pStyle w:val="akpylatunniste"/>
            <w:ind w:left="-1529"/>
          </w:pPr>
          <w:r>
            <w:t>OM</w:t>
          </w:r>
        </w:p>
      </w:tc>
    </w:tr>
    <w:tr w:rsidR="00DE7B42" w:rsidRPr="0048319D" w:rsidTr="00BA5ADB">
      <w:trPr>
        <w:cantSplit/>
        <w:trHeight w:val="230"/>
      </w:trPr>
      <w:tc>
        <w:tcPr>
          <w:tcW w:w="5209" w:type="dxa"/>
          <w:gridSpan w:val="2"/>
          <w:vAlign w:val="bottom"/>
        </w:tcPr>
        <w:p w:rsidR="00DE7B42" w:rsidRPr="00BA5ADB" w:rsidRDefault="00DE7B42" w:rsidP="00483C2E">
          <w:pPr>
            <w:pStyle w:val="akpylatunniste"/>
            <w:rPr>
              <w:highlight w:val="yellow"/>
            </w:rPr>
          </w:pPr>
        </w:p>
      </w:tc>
      <w:tc>
        <w:tcPr>
          <w:tcW w:w="30" w:type="dxa"/>
          <w:vAlign w:val="bottom"/>
        </w:tcPr>
        <w:p w:rsidR="00DE7B42" w:rsidRPr="00483C2E" w:rsidRDefault="00DE7B42" w:rsidP="00483C2E">
          <w:pPr>
            <w:pStyle w:val="akpylatunniste"/>
          </w:pPr>
        </w:p>
      </w:tc>
      <w:tc>
        <w:tcPr>
          <w:tcW w:w="2132" w:type="dxa"/>
          <w:vAlign w:val="bottom"/>
        </w:tcPr>
        <w:p w:rsidR="00DE7B42" w:rsidRPr="00203E6E" w:rsidRDefault="00DE7B42" w:rsidP="00483C2E">
          <w:pPr>
            <w:pStyle w:val="akpylatunniste"/>
            <w:rPr>
              <w:rStyle w:val="akppaivays"/>
            </w:rPr>
          </w:pPr>
          <w:r w:rsidRPr="00203E6E">
            <w:rPr>
              <w:rStyle w:val="akppaivays"/>
            </w:rPr>
            <w:t xml:space="preserve"> </w:t>
          </w:r>
        </w:p>
      </w:tc>
      <w:tc>
        <w:tcPr>
          <w:tcW w:w="2899" w:type="dxa"/>
          <w:gridSpan w:val="5"/>
          <w:vAlign w:val="bottom"/>
        </w:tcPr>
        <w:p w:rsidR="00DE7B42" w:rsidRPr="00203E6E" w:rsidRDefault="00DE7B42" w:rsidP="00483C2E">
          <w:pPr>
            <w:pStyle w:val="akpylatunniste"/>
            <w:rPr>
              <w:rStyle w:val="akptunniste"/>
            </w:rPr>
          </w:pPr>
          <w:r w:rsidRPr="00203E6E">
            <w:rPr>
              <w:rStyle w:val="akptunniste"/>
            </w:rPr>
            <w:t xml:space="preserve"> </w:t>
          </w:r>
        </w:p>
      </w:tc>
      <w:tc>
        <w:tcPr>
          <w:tcW w:w="101" w:type="dxa"/>
        </w:tcPr>
        <w:p w:rsidR="00DE7B42" w:rsidRPr="00483C2E" w:rsidRDefault="00DE7B42" w:rsidP="00483C2E">
          <w:pPr>
            <w:pStyle w:val="akpylatunniste"/>
          </w:pPr>
        </w:p>
      </w:tc>
    </w:tr>
    <w:tr w:rsidR="00DE7B42" w:rsidRPr="0048319D" w:rsidTr="00BA5ADB">
      <w:trPr>
        <w:cantSplit/>
        <w:trHeight w:val="280"/>
      </w:trPr>
      <w:tc>
        <w:tcPr>
          <w:tcW w:w="5209" w:type="dxa"/>
          <w:gridSpan w:val="2"/>
        </w:tcPr>
        <w:p w:rsidR="00DE7B42" w:rsidRPr="00BA5ADB" w:rsidRDefault="00DE7B42" w:rsidP="009D7CAB">
          <w:pPr>
            <w:pStyle w:val="akpyksikko"/>
            <w:rPr>
              <w:highlight w:val="yellow"/>
            </w:rPr>
          </w:pPr>
        </w:p>
      </w:tc>
      <w:tc>
        <w:tcPr>
          <w:tcW w:w="30" w:type="dxa"/>
        </w:tcPr>
        <w:p w:rsidR="00DE7B42" w:rsidRPr="00483C2E" w:rsidRDefault="00DE7B42" w:rsidP="00483C2E">
          <w:pPr>
            <w:pStyle w:val="akpylatunniste"/>
          </w:pPr>
        </w:p>
      </w:tc>
      <w:tc>
        <w:tcPr>
          <w:tcW w:w="2132" w:type="dxa"/>
        </w:tcPr>
        <w:p w:rsidR="00DE7B42" w:rsidRPr="00203E6E" w:rsidRDefault="007B5C56" w:rsidP="00203E6E">
          <w:pPr>
            <w:pStyle w:val="akpylatunniste"/>
          </w:pPr>
          <w:r>
            <w:rPr>
              <w:rStyle w:val="akppaivays"/>
            </w:rPr>
            <w:t>16</w:t>
          </w:r>
          <w:r w:rsidR="00DE7B42" w:rsidRPr="00203E6E">
            <w:rPr>
              <w:rStyle w:val="akppaivays"/>
            </w:rPr>
            <w:t>.8.2017</w:t>
          </w:r>
        </w:p>
      </w:tc>
      <w:tc>
        <w:tcPr>
          <w:tcW w:w="2874" w:type="dxa"/>
          <w:gridSpan w:val="4"/>
        </w:tcPr>
        <w:p w:rsidR="00DE7B42" w:rsidRPr="00203E6E" w:rsidRDefault="00DE7B42" w:rsidP="001241E9">
          <w:pPr>
            <w:pStyle w:val="akpylatunniste"/>
          </w:pPr>
        </w:p>
      </w:tc>
      <w:tc>
        <w:tcPr>
          <w:tcW w:w="126" w:type="dxa"/>
          <w:gridSpan w:val="2"/>
        </w:tcPr>
        <w:p w:rsidR="00DE7B42" w:rsidRPr="00483C2E" w:rsidRDefault="00DE7B42" w:rsidP="00483C2E">
          <w:pPr>
            <w:pStyle w:val="akpylatunniste"/>
          </w:pPr>
        </w:p>
      </w:tc>
    </w:tr>
    <w:tr w:rsidR="00DE7B42" w:rsidRPr="0048319D" w:rsidTr="00BA5ADB">
      <w:trPr>
        <w:cantSplit/>
        <w:trHeight w:hRule="exact" w:val="340"/>
      </w:trPr>
      <w:tc>
        <w:tcPr>
          <w:tcW w:w="5209" w:type="dxa"/>
          <w:gridSpan w:val="2"/>
        </w:tcPr>
        <w:p w:rsidR="00DE7B42" w:rsidRPr="00483C2E" w:rsidRDefault="00DE7B42" w:rsidP="001241E9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:rsidR="00DE7B42" w:rsidRPr="00483C2E" w:rsidRDefault="00DE7B42" w:rsidP="00483C2E">
          <w:pPr>
            <w:pStyle w:val="akpylatunniste"/>
          </w:pPr>
        </w:p>
      </w:tc>
      <w:tc>
        <w:tcPr>
          <w:tcW w:w="2132" w:type="dxa"/>
        </w:tcPr>
        <w:p w:rsidR="00DE7B42" w:rsidRPr="00483C2E" w:rsidRDefault="00DE7B42" w:rsidP="00483C2E">
          <w:pPr>
            <w:pStyle w:val="akpylatunniste"/>
          </w:pPr>
        </w:p>
      </w:tc>
      <w:tc>
        <w:tcPr>
          <w:tcW w:w="2472" w:type="dxa"/>
          <w:gridSpan w:val="3"/>
        </w:tcPr>
        <w:p w:rsidR="00DE7B42" w:rsidRPr="00483C2E" w:rsidRDefault="00DE7B42" w:rsidP="001241E9">
          <w:pPr>
            <w:pStyle w:val="akpylatunniste"/>
          </w:pPr>
        </w:p>
      </w:tc>
      <w:tc>
        <w:tcPr>
          <w:tcW w:w="528" w:type="dxa"/>
          <w:gridSpan w:val="3"/>
        </w:tcPr>
        <w:p w:rsidR="00DE7B42" w:rsidRPr="00483C2E" w:rsidRDefault="00DE7B42" w:rsidP="00483C2E">
          <w:pPr>
            <w:pStyle w:val="akpylatunniste"/>
          </w:pPr>
        </w:p>
      </w:tc>
    </w:tr>
  </w:tbl>
  <w:p w:rsidR="00DE7B42" w:rsidRDefault="00DE7B42">
    <w:pPr>
      <w:pStyle w:val="Yltunniste"/>
    </w:pPr>
    <w:r>
      <w:t xml:space="preserve"> </w:t>
    </w:r>
  </w:p>
  <w:p w:rsidR="00DE7B42" w:rsidRDefault="00DE7B42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">
    <w:nsid w:val="2EEB3B85"/>
    <w:multiLevelType w:val="hybridMultilevel"/>
    <w:tmpl w:val="209EC9C2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6">
    <w:nsid w:val="3F503029"/>
    <w:multiLevelType w:val="hybridMultilevel"/>
    <w:tmpl w:val="178472E6"/>
    <w:lvl w:ilvl="0" w:tplc="F01E72F8">
      <w:start w:val="18"/>
      <w:numFmt w:val="bullet"/>
      <w:lvlText w:val="-"/>
      <w:lvlJc w:val="left"/>
      <w:pPr>
        <w:ind w:left="2968" w:hanging="360"/>
      </w:pPr>
      <w:rPr>
        <w:rFonts w:ascii="Calibri" w:eastAsia="Times New Roman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>
    <w:nsid w:val="43166091"/>
    <w:multiLevelType w:val="hybridMultilevel"/>
    <w:tmpl w:val="5C28E7FE"/>
    <w:lvl w:ilvl="0" w:tplc="00BC6E5C">
      <w:start w:val="2"/>
      <w:numFmt w:val="bullet"/>
      <w:lvlText w:val="-"/>
      <w:lvlJc w:val="left"/>
      <w:pPr>
        <w:ind w:left="2968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>
    <w:nsid w:val="4A5A3053"/>
    <w:multiLevelType w:val="hybridMultilevel"/>
    <w:tmpl w:val="BDFAAB3A"/>
    <w:lvl w:ilvl="0" w:tplc="33522BA4"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9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>
    <w:nsid w:val="73E0323B"/>
    <w:multiLevelType w:val="hybridMultilevel"/>
    <w:tmpl w:val="C83C37D6"/>
    <w:lvl w:ilvl="0" w:tplc="4C5A76F2">
      <w:numFmt w:val="bullet"/>
      <w:lvlText w:val="-"/>
      <w:lvlJc w:val="left"/>
      <w:pPr>
        <w:ind w:left="2968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1"/>
  </w:num>
  <w:num w:numId="23">
    <w:abstractNumId w:val="8"/>
  </w:num>
  <w:num w:numId="24">
    <w:abstractNumId w:val="6"/>
  </w:num>
  <w:num w:numId="25">
    <w:abstractNumId w:val="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E9"/>
    <w:rsid w:val="0000222B"/>
    <w:rsid w:val="00007CE4"/>
    <w:rsid w:val="000103EA"/>
    <w:rsid w:val="0001101F"/>
    <w:rsid w:val="00012A0F"/>
    <w:rsid w:val="000161BE"/>
    <w:rsid w:val="00016537"/>
    <w:rsid w:val="00025EE7"/>
    <w:rsid w:val="00026017"/>
    <w:rsid w:val="00026FFC"/>
    <w:rsid w:val="000306FF"/>
    <w:rsid w:val="0003277B"/>
    <w:rsid w:val="00036441"/>
    <w:rsid w:val="000419C5"/>
    <w:rsid w:val="00042F66"/>
    <w:rsid w:val="00045D97"/>
    <w:rsid w:val="00050675"/>
    <w:rsid w:val="0005085C"/>
    <w:rsid w:val="0005327E"/>
    <w:rsid w:val="00053CD9"/>
    <w:rsid w:val="000576AA"/>
    <w:rsid w:val="00060633"/>
    <w:rsid w:val="000618A4"/>
    <w:rsid w:val="00064AD4"/>
    <w:rsid w:val="0006660B"/>
    <w:rsid w:val="00067122"/>
    <w:rsid w:val="0007494D"/>
    <w:rsid w:val="00074F6D"/>
    <w:rsid w:val="0008094E"/>
    <w:rsid w:val="0008634E"/>
    <w:rsid w:val="00086985"/>
    <w:rsid w:val="00086FAA"/>
    <w:rsid w:val="000904DE"/>
    <w:rsid w:val="0009315F"/>
    <w:rsid w:val="000A04FB"/>
    <w:rsid w:val="000A2229"/>
    <w:rsid w:val="000A3366"/>
    <w:rsid w:val="000A568B"/>
    <w:rsid w:val="000A65C7"/>
    <w:rsid w:val="000B44F9"/>
    <w:rsid w:val="000B7460"/>
    <w:rsid w:val="000C0234"/>
    <w:rsid w:val="000C2D50"/>
    <w:rsid w:val="000C5AAF"/>
    <w:rsid w:val="000C67B2"/>
    <w:rsid w:val="000C6B6E"/>
    <w:rsid w:val="000D06AB"/>
    <w:rsid w:val="000D0F5E"/>
    <w:rsid w:val="000D32B4"/>
    <w:rsid w:val="000D492E"/>
    <w:rsid w:val="000E1FAB"/>
    <w:rsid w:val="000E2A06"/>
    <w:rsid w:val="000E2E3D"/>
    <w:rsid w:val="000E4DDC"/>
    <w:rsid w:val="000E5088"/>
    <w:rsid w:val="000E757D"/>
    <w:rsid w:val="000F2F04"/>
    <w:rsid w:val="000F6F05"/>
    <w:rsid w:val="000F715C"/>
    <w:rsid w:val="00101495"/>
    <w:rsid w:val="00102B71"/>
    <w:rsid w:val="00103367"/>
    <w:rsid w:val="001060CE"/>
    <w:rsid w:val="00111590"/>
    <w:rsid w:val="00123F09"/>
    <w:rsid w:val="001241E9"/>
    <w:rsid w:val="00132DE9"/>
    <w:rsid w:val="00134447"/>
    <w:rsid w:val="00135030"/>
    <w:rsid w:val="00137A88"/>
    <w:rsid w:val="00140188"/>
    <w:rsid w:val="00145CEF"/>
    <w:rsid w:val="00151DB3"/>
    <w:rsid w:val="001574BE"/>
    <w:rsid w:val="001627E8"/>
    <w:rsid w:val="00166B30"/>
    <w:rsid w:val="00173817"/>
    <w:rsid w:val="0017385E"/>
    <w:rsid w:val="001757A9"/>
    <w:rsid w:val="00176DE6"/>
    <w:rsid w:val="0018063E"/>
    <w:rsid w:val="00181202"/>
    <w:rsid w:val="00181A6F"/>
    <w:rsid w:val="00181D2C"/>
    <w:rsid w:val="00191AE0"/>
    <w:rsid w:val="00192F3A"/>
    <w:rsid w:val="00192F8D"/>
    <w:rsid w:val="00194E5D"/>
    <w:rsid w:val="00195C17"/>
    <w:rsid w:val="00196E84"/>
    <w:rsid w:val="001A16EF"/>
    <w:rsid w:val="001A4995"/>
    <w:rsid w:val="001B4351"/>
    <w:rsid w:val="001B6007"/>
    <w:rsid w:val="001C1B5E"/>
    <w:rsid w:val="001C1B72"/>
    <w:rsid w:val="001C4553"/>
    <w:rsid w:val="001D02B3"/>
    <w:rsid w:val="001D15DB"/>
    <w:rsid w:val="001D39C1"/>
    <w:rsid w:val="001D6795"/>
    <w:rsid w:val="001D679B"/>
    <w:rsid w:val="001E2AAE"/>
    <w:rsid w:val="001E4010"/>
    <w:rsid w:val="001E6C62"/>
    <w:rsid w:val="001E798D"/>
    <w:rsid w:val="001F29EA"/>
    <w:rsid w:val="001F3280"/>
    <w:rsid w:val="002000BA"/>
    <w:rsid w:val="0020242A"/>
    <w:rsid w:val="00202DD7"/>
    <w:rsid w:val="00203E6E"/>
    <w:rsid w:val="00204939"/>
    <w:rsid w:val="002076BF"/>
    <w:rsid w:val="00212836"/>
    <w:rsid w:val="00220BF5"/>
    <w:rsid w:val="002221D1"/>
    <w:rsid w:val="00225245"/>
    <w:rsid w:val="00226FA5"/>
    <w:rsid w:val="002304B1"/>
    <w:rsid w:val="00236E93"/>
    <w:rsid w:val="00237E1B"/>
    <w:rsid w:val="0024248C"/>
    <w:rsid w:val="002465C1"/>
    <w:rsid w:val="00250AAC"/>
    <w:rsid w:val="00250BC8"/>
    <w:rsid w:val="002553D0"/>
    <w:rsid w:val="0026048A"/>
    <w:rsid w:val="00261878"/>
    <w:rsid w:val="00262449"/>
    <w:rsid w:val="00263203"/>
    <w:rsid w:val="0026716A"/>
    <w:rsid w:val="0026784D"/>
    <w:rsid w:val="002702ED"/>
    <w:rsid w:val="0027294E"/>
    <w:rsid w:val="00273116"/>
    <w:rsid w:val="00273C54"/>
    <w:rsid w:val="002746D6"/>
    <w:rsid w:val="00275BAA"/>
    <w:rsid w:val="00277C33"/>
    <w:rsid w:val="00282042"/>
    <w:rsid w:val="00285B02"/>
    <w:rsid w:val="00285E78"/>
    <w:rsid w:val="00286811"/>
    <w:rsid w:val="00292824"/>
    <w:rsid w:val="002969A3"/>
    <w:rsid w:val="0029762E"/>
    <w:rsid w:val="002A1905"/>
    <w:rsid w:val="002A1DCA"/>
    <w:rsid w:val="002A23F7"/>
    <w:rsid w:val="002A24A5"/>
    <w:rsid w:val="002A3274"/>
    <w:rsid w:val="002A328E"/>
    <w:rsid w:val="002A39CB"/>
    <w:rsid w:val="002A4C74"/>
    <w:rsid w:val="002A59F4"/>
    <w:rsid w:val="002A766A"/>
    <w:rsid w:val="002B21EC"/>
    <w:rsid w:val="002B44FB"/>
    <w:rsid w:val="002B5319"/>
    <w:rsid w:val="002B5677"/>
    <w:rsid w:val="002D07E7"/>
    <w:rsid w:val="002D44AE"/>
    <w:rsid w:val="002D6062"/>
    <w:rsid w:val="002D789A"/>
    <w:rsid w:val="002E726F"/>
    <w:rsid w:val="002F0BA9"/>
    <w:rsid w:val="002F152B"/>
    <w:rsid w:val="002F30B8"/>
    <w:rsid w:val="002F519A"/>
    <w:rsid w:val="003023CB"/>
    <w:rsid w:val="003025A0"/>
    <w:rsid w:val="0030477B"/>
    <w:rsid w:val="003065A6"/>
    <w:rsid w:val="00306BF5"/>
    <w:rsid w:val="00307214"/>
    <w:rsid w:val="00307B11"/>
    <w:rsid w:val="00311C09"/>
    <w:rsid w:val="00314281"/>
    <w:rsid w:val="00315EBB"/>
    <w:rsid w:val="003169F4"/>
    <w:rsid w:val="00320834"/>
    <w:rsid w:val="0032644F"/>
    <w:rsid w:val="003277AE"/>
    <w:rsid w:val="0033010A"/>
    <w:rsid w:val="00332E4D"/>
    <w:rsid w:val="00334C2A"/>
    <w:rsid w:val="0034413E"/>
    <w:rsid w:val="00346B5F"/>
    <w:rsid w:val="003509F5"/>
    <w:rsid w:val="00353BE5"/>
    <w:rsid w:val="00354918"/>
    <w:rsid w:val="0035730C"/>
    <w:rsid w:val="00361C1C"/>
    <w:rsid w:val="00365339"/>
    <w:rsid w:val="00367BD6"/>
    <w:rsid w:val="00375407"/>
    <w:rsid w:val="00377DF1"/>
    <w:rsid w:val="00377E10"/>
    <w:rsid w:val="00382274"/>
    <w:rsid w:val="00382687"/>
    <w:rsid w:val="003840BD"/>
    <w:rsid w:val="00384D6C"/>
    <w:rsid w:val="00386E57"/>
    <w:rsid w:val="003941BB"/>
    <w:rsid w:val="00394B36"/>
    <w:rsid w:val="00394D2A"/>
    <w:rsid w:val="00396839"/>
    <w:rsid w:val="003A1C67"/>
    <w:rsid w:val="003A246E"/>
    <w:rsid w:val="003A3F6E"/>
    <w:rsid w:val="003A572B"/>
    <w:rsid w:val="003A7770"/>
    <w:rsid w:val="003B21AF"/>
    <w:rsid w:val="003B27C3"/>
    <w:rsid w:val="003B2856"/>
    <w:rsid w:val="003B2C3C"/>
    <w:rsid w:val="003C1470"/>
    <w:rsid w:val="003C48E4"/>
    <w:rsid w:val="003D5584"/>
    <w:rsid w:val="003D7AFF"/>
    <w:rsid w:val="003E0787"/>
    <w:rsid w:val="003E2061"/>
    <w:rsid w:val="003E35C6"/>
    <w:rsid w:val="003E6937"/>
    <w:rsid w:val="003F2070"/>
    <w:rsid w:val="003F2843"/>
    <w:rsid w:val="003F2B9E"/>
    <w:rsid w:val="003F3458"/>
    <w:rsid w:val="003F393F"/>
    <w:rsid w:val="003F3A6C"/>
    <w:rsid w:val="003F61D9"/>
    <w:rsid w:val="003F6E57"/>
    <w:rsid w:val="003F7192"/>
    <w:rsid w:val="0040115B"/>
    <w:rsid w:val="00401791"/>
    <w:rsid w:val="00404D27"/>
    <w:rsid w:val="00405793"/>
    <w:rsid w:val="00413F20"/>
    <w:rsid w:val="00415A36"/>
    <w:rsid w:val="00416D09"/>
    <w:rsid w:val="004204BB"/>
    <w:rsid w:val="00421709"/>
    <w:rsid w:val="004235A1"/>
    <w:rsid w:val="004241A5"/>
    <w:rsid w:val="0042494B"/>
    <w:rsid w:val="00426FD1"/>
    <w:rsid w:val="00427B72"/>
    <w:rsid w:val="00432218"/>
    <w:rsid w:val="004351C3"/>
    <w:rsid w:val="004355B3"/>
    <w:rsid w:val="00441D89"/>
    <w:rsid w:val="00445890"/>
    <w:rsid w:val="0044670A"/>
    <w:rsid w:val="00446FB8"/>
    <w:rsid w:val="00450E93"/>
    <w:rsid w:val="0045504D"/>
    <w:rsid w:val="00457571"/>
    <w:rsid w:val="00457807"/>
    <w:rsid w:val="004721B2"/>
    <w:rsid w:val="00472F06"/>
    <w:rsid w:val="00473D68"/>
    <w:rsid w:val="00474709"/>
    <w:rsid w:val="004757F6"/>
    <w:rsid w:val="00475803"/>
    <w:rsid w:val="00477F9E"/>
    <w:rsid w:val="00481035"/>
    <w:rsid w:val="00481319"/>
    <w:rsid w:val="0048319D"/>
    <w:rsid w:val="00483C2E"/>
    <w:rsid w:val="0048434B"/>
    <w:rsid w:val="00485E40"/>
    <w:rsid w:val="00486A8C"/>
    <w:rsid w:val="0048768D"/>
    <w:rsid w:val="004917D2"/>
    <w:rsid w:val="00492A83"/>
    <w:rsid w:val="0049368B"/>
    <w:rsid w:val="00493A8B"/>
    <w:rsid w:val="004A0F92"/>
    <w:rsid w:val="004A4823"/>
    <w:rsid w:val="004B0306"/>
    <w:rsid w:val="004B05F8"/>
    <w:rsid w:val="004B2DA4"/>
    <w:rsid w:val="004B366E"/>
    <w:rsid w:val="004B4BE9"/>
    <w:rsid w:val="004C47C4"/>
    <w:rsid w:val="004C5F12"/>
    <w:rsid w:val="004C64E9"/>
    <w:rsid w:val="004C6883"/>
    <w:rsid w:val="004D0304"/>
    <w:rsid w:val="004D2F13"/>
    <w:rsid w:val="004D7492"/>
    <w:rsid w:val="004D7BBF"/>
    <w:rsid w:val="004E04B3"/>
    <w:rsid w:val="004E6153"/>
    <w:rsid w:val="004E6C33"/>
    <w:rsid w:val="004E78A9"/>
    <w:rsid w:val="004F5ADC"/>
    <w:rsid w:val="004F7587"/>
    <w:rsid w:val="005003CC"/>
    <w:rsid w:val="00501D4C"/>
    <w:rsid w:val="0051176D"/>
    <w:rsid w:val="005117F6"/>
    <w:rsid w:val="00512821"/>
    <w:rsid w:val="00515F40"/>
    <w:rsid w:val="005236E9"/>
    <w:rsid w:val="00524AFE"/>
    <w:rsid w:val="005268C7"/>
    <w:rsid w:val="00531A59"/>
    <w:rsid w:val="00534C75"/>
    <w:rsid w:val="00537379"/>
    <w:rsid w:val="0053787F"/>
    <w:rsid w:val="00537B82"/>
    <w:rsid w:val="00541832"/>
    <w:rsid w:val="00550B8A"/>
    <w:rsid w:val="005527E5"/>
    <w:rsid w:val="00552FC6"/>
    <w:rsid w:val="0055386C"/>
    <w:rsid w:val="00553E1A"/>
    <w:rsid w:val="00554B32"/>
    <w:rsid w:val="00554B56"/>
    <w:rsid w:val="00555B36"/>
    <w:rsid w:val="00557125"/>
    <w:rsid w:val="00557373"/>
    <w:rsid w:val="00557E46"/>
    <w:rsid w:val="00562A2B"/>
    <w:rsid w:val="00562F86"/>
    <w:rsid w:val="00564E43"/>
    <w:rsid w:val="00570D2D"/>
    <w:rsid w:val="00573FAB"/>
    <w:rsid w:val="00574A58"/>
    <w:rsid w:val="0058017F"/>
    <w:rsid w:val="00583CAA"/>
    <w:rsid w:val="00586E2F"/>
    <w:rsid w:val="00590195"/>
    <w:rsid w:val="00592D7C"/>
    <w:rsid w:val="005A1D73"/>
    <w:rsid w:val="005A30C0"/>
    <w:rsid w:val="005A6517"/>
    <w:rsid w:val="005C38D9"/>
    <w:rsid w:val="005D4138"/>
    <w:rsid w:val="005D7C05"/>
    <w:rsid w:val="005E53D3"/>
    <w:rsid w:val="005E76F5"/>
    <w:rsid w:val="005F17E1"/>
    <w:rsid w:val="005F19BC"/>
    <w:rsid w:val="005F356A"/>
    <w:rsid w:val="005F3A5C"/>
    <w:rsid w:val="005F4128"/>
    <w:rsid w:val="005F5537"/>
    <w:rsid w:val="0060244A"/>
    <w:rsid w:val="0060790C"/>
    <w:rsid w:val="00611C85"/>
    <w:rsid w:val="006140C8"/>
    <w:rsid w:val="00614EB8"/>
    <w:rsid w:val="006154DF"/>
    <w:rsid w:val="00616F08"/>
    <w:rsid w:val="00621DC3"/>
    <w:rsid w:val="00621EDD"/>
    <w:rsid w:val="006236B1"/>
    <w:rsid w:val="00624F6F"/>
    <w:rsid w:val="006275F9"/>
    <w:rsid w:val="00631762"/>
    <w:rsid w:val="00631E4F"/>
    <w:rsid w:val="00633882"/>
    <w:rsid w:val="00636A61"/>
    <w:rsid w:val="00637912"/>
    <w:rsid w:val="0064008B"/>
    <w:rsid w:val="0064189B"/>
    <w:rsid w:val="00642344"/>
    <w:rsid w:val="0064350F"/>
    <w:rsid w:val="00644DA4"/>
    <w:rsid w:val="006469EE"/>
    <w:rsid w:val="00650DAC"/>
    <w:rsid w:val="00662A04"/>
    <w:rsid w:val="00666F8A"/>
    <w:rsid w:val="00672122"/>
    <w:rsid w:val="00672358"/>
    <w:rsid w:val="006742FB"/>
    <w:rsid w:val="00675972"/>
    <w:rsid w:val="00676842"/>
    <w:rsid w:val="006814DF"/>
    <w:rsid w:val="00686305"/>
    <w:rsid w:val="006874CC"/>
    <w:rsid w:val="006936F4"/>
    <w:rsid w:val="006962EC"/>
    <w:rsid w:val="006965EC"/>
    <w:rsid w:val="00696750"/>
    <w:rsid w:val="00697EEA"/>
    <w:rsid w:val="006A0397"/>
    <w:rsid w:val="006A6E18"/>
    <w:rsid w:val="006A7127"/>
    <w:rsid w:val="006A7D85"/>
    <w:rsid w:val="006B0541"/>
    <w:rsid w:val="006B1CC4"/>
    <w:rsid w:val="006B1DA1"/>
    <w:rsid w:val="006B7AB4"/>
    <w:rsid w:val="006C2740"/>
    <w:rsid w:val="006D37B4"/>
    <w:rsid w:val="006D3BEE"/>
    <w:rsid w:val="006D5977"/>
    <w:rsid w:val="006E034D"/>
    <w:rsid w:val="006E0973"/>
    <w:rsid w:val="006E09DA"/>
    <w:rsid w:val="006E1F4F"/>
    <w:rsid w:val="006E4161"/>
    <w:rsid w:val="006E45C4"/>
    <w:rsid w:val="006F5C49"/>
    <w:rsid w:val="006F7119"/>
    <w:rsid w:val="006F7E1F"/>
    <w:rsid w:val="0070160F"/>
    <w:rsid w:val="00702ACB"/>
    <w:rsid w:val="00703F98"/>
    <w:rsid w:val="007111DC"/>
    <w:rsid w:val="00713416"/>
    <w:rsid w:val="00716169"/>
    <w:rsid w:val="00720467"/>
    <w:rsid w:val="00721AEE"/>
    <w:rsid w:val="00722459"/>
    <w:rsid w:val="00726155"/>
    <w:rsid w:val="0072620C"/>
    <w:rsid w:val="00730474"/>
    <w:rsid w:val="007330A7"/>
    <w:rsid w:val="007350B1"/>
    <w:rsid w:val="00737CAC"/>
    <w:rsid w:val="00740CBA"/>
    <w:rsid w:val="00741E40"/>
    <w:rsid w:val="007433A5"/>
    <w:rsid w:val="007442F1"/>
    <w:rsid w:val="00746A03"/>
    <w:rsid w:val="007504E7"/>
    <w:rsid w:val="00752362"/>
    <w:rsid w:val="00752D23"/>
    <w:rsid w:val="0075575D"/>
    <w:rsid w:val="007631CB"/>
    <w:rsid w:val="007664FE"/>
    <w:rsid w:val="007679EE"/>
    <w:rsid w:val="00773163"/>
    <w:rsid w:val="00774475"/>
    <w:rsid w:val="00774A2B"/>
    <w:rsid w:val="00776EBB"/>
    <w:rsid w:val="00781F3A"/>
    <w:rsid w:val="00786DAC"/>
    <w:rsid w:val="0079355F"/>
    <w:rsid w:val="007A0C10"/>
    <w:rsid w:val="007A6CE0"/>
    <w:rsid w:val="007B12B6"/>
    <w:rsid w:val="007B5BFB"/>
    <w:rsid w:val="007B5C56"/>
    <w:rsid w:val="007B65B0"/>
    <w:rsid w:val="007C02D3"/>
    <w:rsid w:val="007C2795"/>
    <w:rsid w:val="007C4129"/>
    <w:rsid w:val="007C49AF"/>
    <w:rsid w:val="007C519D"/>
    <w:rsid w:val="007C5288"/>
    <w:rsid w:val="007C57E2"/>
    <w:rsid w:val="007C5F50"/>
    <w:rsid w:val="007C6BED"/>
    <w:rsid w:val="007D0F6A"/>
    <w:rsid w:val="007D4CF2"/>
    <w:rsid w:val="007D6635"/>
    <w:rsid w:val="007E3C9B"/>
    <w:rsid w:val="007E4E23"/>
    <w:rsid w:val="007E5C1B"/>
    <w:rsid w:val="007E5F70"/>
    <w:rsid w:val="007E6EE4"/>
    <w:rsid w:val="007F49A7"/>
    <w:rsid w:val="007F4C2F"/>
    <w:rsid w:val="007F77B3"/>
    <w:rsid w:val="008009A6"/>
    <w:rsid w:val="00801AC5"/>
    <w:rsid w:val="008023DD"/>
    <w:rsid w:val="008024C5"/>
    <w:rsid w:val="00804D3C"/>
    <w:rsid w:val="0080534D"/>
    <w:rsid w:val="0080745C"/>
    <w:rsid w:val="008102F9"/>
    <w:rsid w:val="008149CB"/>
    <w:rsid w:val="00814CC0"/>
    <w:rsid w:val="00815EB3"/>
    <w:rsid w:val="008204A7"/>
    <w:rsid w:val="008208C0"/>
    <w:rsid w:val="00821A4C"/>
    <w:rsid w:val="00822B5F"/>
    <w:rsid w:val="0084045F"/>
    <w:rsid w:val="00845053"/>
    <w:rsid w:val="00845082"/>
    <w:rsid w:val="0084598F"/>
    <w:rsid w:val="00846973"/>
    <w:rsid w:val="0085052A"/>
    <w:rsid w:val="008520DC"/>
    <w:rsid w:val="00853C03"/>
    <w:rsid w:val="00854ADA"/>
    <w:rsid w:val="00857414"/>
    <w:rsid w:val="00863C60"/>
    <w:rsid w:val="008659F1"/>
    <w:rsid w:val="0086783D"/>
    <w:rsid w:val="008806AB"/>
    <w:rsid w:val="008825C5"/>
    <w:rsid w:val="008847F9"/>
    <w:rsid w:val="00885817"/>
    <w:rsid w:val="00886463"/>
    <w:rsid w:val="008940D6"/>
    <w:rsid w:val="00894C4F"/>
    <w:rsid w:val="0089657F"/>
    <w:rsid w:val="00896C57"/>
    <w:rsid w:val="008A1556"/>
    <w:rsid w:val="008A18F2"/>
    <w:rsid w:val="008A346D"/>
    <w:rsid w:val="008A5F0E"/>
    <w:rsid w:val="008B199D"/>
    <w:rsid w:val="008B3D83"/>
    <w:rsid w:val="008B4C7E"/>
    <w:rsid w:val="008B6D76"/>
    <w:rsid w:val="008C0794"/>
    <w:rsid w:val="008C2BED"/>
    <w:rsid w:val="008C527A"/>
    <w:rsid w:val="008D0169"/>
    <w:rsid w:val="008D33EF"/>
    <w:rsid w:val="008D4A08"/>
    <w:rsid w:val="008D4AC5"/>
    <w:rsid w:val="008E0387"/>
    <w:rsid w:val="008E0422"/>
    <w:rsid w:val="008E3342"/>
    <w:rsid w:val="008E4D6E"/>
    <w:rsid w:val="008E764C"/>
    <w:rsid w:val="008F373B"/>
    <w:rsid w:val="008F5629"/>
    <w:rsid w:val="009026CB"/>
    <w:rsid w:val="00904E08"/>
    <w:rsid w:val="009121DC"/>
    <w:rsid w:val="0091461F"/>
    <w:rsid w:val="00915CB1"/>
    <w:rsid w:val="009164C8"/>
    <w:rsid w:val="00916937"/>
    <w:rsid w:val="00917E99"/>
    <w:rsid w:val="00917EAD"/>
    <w:rsid w:val="00921217"/>
    <w:rsid w:val="00922810"/>
    <w:rsid w:val="009235EE"/>
    <w:rsid w:val="00924B2A"/>
    <w:rsid w:val="00926123"/>
    <w:rsid w:val="0093228A"/>
    <w:rsid w:val="009326E8"/>
    <w:rsid w:val="009373EA"/>
    <w:rsid w:val="009418A1"/>
    <w:rsid w:val="009428AA"/>
    <w:rsid w:val="00942D59"/>
    <w:rsid w:val="00943F34"/>
    <w:rsid w:val="00945F79"/>
    <w:rsid w:val="009471CC"/>
    <w:rsid w:val="009523CF"/>
    <w:rsid w:val="009551A8"/>
    <w:rsid w:val="00960C4E"/>
    <w:rsid w:val="009644D4"/>
    <w:rsid w:val="00965918"/>
    <w:rsid w:val="009667F9"/>
    <w:rsid w:val="00975942"/>
    <w:rsid w:val="009775D7"/>
    <w:rsid w:val="00982F00"/>
    <w:rsid w:val="00990828"/>
    <w:rsid w:val="00992877"/>
    <w:rsid w:val="00995601"/>
    <w:rsid w:val="009A12C1"/>
    <w:rsid w:val="009A4A2B"/>
    <w:rsid w:val="009A4D93"/>
    <w:rsid w:val="009B04E6"/>
    <w:rsid w:val="009B096E"/>
    <w:rsid w:val="009B0B6D"/>
    <w:rsid w:val="009B2A3E"/>
    <w:rsid w:val="009B7CD6"/>
    <w:rsid w:val="009C14C5"/>
    <w:rsid w:val="009C2057"/>
    <w:rsid w:val="009C2101"/>
    <w:rsid w:val="009C2A97"/>
    <w:rsid w:val="009C62B9"/>
    <w:rsid w:val="009C698D"/>
    <w:rsid w:val="009D4A6A"/>
    <w:rsid w:val="009D7CAB"/>
    <w:rsid w:val="009E1BEF"/>
    <w:rsid w:val="009E52C0"/>
    <w:rsid w:val="009E5DBB"/>
    <w:rsid w:val="009E60EA"/>
    <w:rsid w:val="009E6BDC"/>
    <w:rsid w:val="009E6EEE"/>
    <w:rsid w:val="009F2EB9"/>
    <w:rsid w:val="009F5364"/>
    <w:rsid w:val="009F554F"/>
    <w:rsid w:val="00A00BAD"/>
    <w:rsid w:val="00A0136D"/>
    <w:rsid w:val="00A01ED8"/>
    <w:rsid w:val="00A02446"/>
    <w:rsid w:val="00A04943"/>
    <w:rsid w:val="00A05EC2"/>
    <w:rsid w:val="00A063F8"/>
    <w:rsid w:val="00A07EDE"/>
    <w:rsid w:val="00A10B8F"/>
    <w:rsid w:val="00A20B87"/>
    <w:rsid w:val="00A24587"/>
    <w:rsid w:val="00A25AF4"/>
    <w:rsid w:val="00A31A0F"/>
    <w:rsid w:val="00A31BCA"/>
    <w:rsid w:val="00A33B59"/>
    <w:rsid w:val="00A36E0D"/>
    <w:rsid w:val="00A401C7"/>
    <w:rsid w:val="00A46BCB"/>
    <w:rsid w:val="00A47622"/>
    <w:rsid w:val="00A52C5C"/>
    <w:rsid w:val="00A52E6C"/>
    <w:rsid w:val="00A53073"/>
    <w:rsid w:val="00A5513C"/>
    <w:rsid w:val="00A557FD"/>
    <w:rsid w:val="00A55C07"/>
    <w:rsid w:val="00A5722F"/>
    <w:rsid w:val="00A60396"/>
    <w:rsid w:val="00A64788"/>
    <w:rsid w:val="00A64B97"/>
    <w:rsid w:val="00A65969"/>
    <w:rsid w:val="00A67D43"/>
    <w:rsid w:val="00A70EA8"/>
    <w:rsid w:val="00A73975"/>
    <w:rsid w:val="00A73F2C"/>
    <w:rsid w:val="00A8063A"/>
    <w:rsid w:val="00A80B62"/>
    <w:rsid w:val="00A82011"/>
    <w:rsid w:val="00A83253"/>
    <w:rsid w:val="00A8380F"/>
    <w:rsid w:val="00A86597"/>
    <w:rsid w:val="00A8784C"/>
    <w:rsid w:val="00A91C4E"/>
    <w:rsid w:val="00A91D77"/>
    <w:rsid w:val="00A91F1C"/>
    <w:rsid w:val="00A9657D"/>
    <w:rsid w:val="00AA4A89"/>
    <w:rsid w:val="00AA61E5"/>
    <w:rsid w:val="00AA7E93"/>
    <w:rsid w:val="00AB518A"/>
    <w:rsid w:val="00AB768E"/>
    <w:rsid w:val="00AC05EC"/>
    <w:rsid w:val="00AC296C"/>
    <w:rsid w:val="00AD0697"/>
    <w:rsid w:val="00AD56B2"/>
    <w:rsid w:val="00AD5AB2"/>
    <w:rsid w:val="00AE59C0"/>
    <w:rsid w:val="00AF204F"/>
    <w:rsid w:val="00AF2D45"/>
    <w:rsid w:val="00AF3334"/>
    <w:rsid w:val="00B01E3C"/>
    <w:rsid w:val="00B0693C"/>
    <w:rsid w:val="00B06DE3"/>
    <w:rsid w:val="00B07115"/>
    <w:rsid w:val="00B077F9"/>
    <w:rsid w:val="00B07FC9"/>
    <w:rsid w:val="00B126AC"/>
    <w:rsid w:val="00B14B9E"/>
    <w:rsid w:val="00B1533C"/>
    <w:rsid w:val="00B15A2E"/>
    <w:rsid w:val="00B1773D"/>
    <w:rsid w:val="00B24CDC"/>
    <w:rsid w:val="00B24DA5"/>
    <w:rsid w:val="00B26C89"/>
    <w:rsid w:val="00B27B9B"/>
    <w:rsid w:val="00B34FF8"/>
    <w:rsid w:val="00B37BF8"/>
    <w:rsid w:val="00B412F6"/>
    <w:rsid w:val="00B4160F"/>
    <w:rsid w:val="00B4471F"/>
    <w:rsid w:val="00B502A6"/>
    <w:rsid w:val="00B551AE"/>
    <w:rsid w:val="00B6192C"/>
    <w:rsid w:val="00B61E47"/>
    <w:rsid w:val="00B702E4"/>
    <w:rsid w:val="00B76C2F"/>
    <w:rsid w:val="00B87491"/>
    <w:rsid w:val="00B97FB0"/>
    <w:rsid w:val="00BA088A"/>
    <w:rsid w:val="00BA09B4"/>
    <w:rsid w:val="00BA3819"/>
    <w:rsid w:val="00BA3C65"/>
    <w:rsid w:val="00BA4C15"/>
    <w:rsid w:val="00BA54F7"/>
    <w:rsid w:val="00BA56D8"/>
    <w:rsid w:val="00BA57AE"/>
    <w:rsid w:val="00BA5ADB"/>
    <w:rsid w:val="00BA7766"/>
    <w:rsid w:val="00BB24E9"/>
    <w:rsid w:val="00BB2CC2"/>
    <w:rsid w:val="00BB3601"/>
    <w:rsid w:val="00BB532A"/>
    <w:rsid w:val="00BC358F"/>
    <w:rsid w:val="00BC5E85"/>
    <w:rsid w:val="00BC7069"/>
    <w:rsid w:val="00BD2B84"/>
    <w:rsid w:val="00BD3981"/>
    <w:rsid w:val="00BD634C"/>
    <w:rsid w:val="00BE287E"/>
    <w:rsid w:val="00BE37DC"/>
    <w:rsid w:val="00BE4D9F"/>
    <w:rsid w:val="00BE511B"/>
    <w:rsid w:val="00BF0F03"/>
    <w:rsid w:val="00BF2978"/>
    <w:rsid w:val="00BF3E6C"/>
    <w:rsid w:val="00BF585F"/>
    <w:rsid w:val="00BF592F"/>
    <w:rsid w:val="00BF72A1"/>
    <w:rsid w:val="00C01958"/>
    <w:rsid w:val="00C14819"/>
    <w:rsid w:val="00C1643C"/>
    <w:rsid w:val="00C16FDE"/>
    <w:rsid w:val="00C17580"/>
    <w:rsid w:val="00C179F2"/>
    <w:rsid w:val="00C219EE"/>
    <w:rsid w:val="00C23534"/>
    <w:rsid w:val="00C23577"/>
    <w:rsid w:val="00C30ED4"/>
    <w:rsid w:val="00C33D65"/>
    <w:rsid w:val="00C36873"/>
    <w:rsid w:val="00C36953"/>
    <w:rsid w:val="00C37358"/>
    <w:rsid w:val="00C4239F"/>
    <w:rsid w:val="00C43BA6"/>
    <w:rsid w:val="00C47AAB"/>
    <w:rsid w:val="00C51066"/>
    <w:rsid w:val="00C513DC"/>
    <w:rsid w:val="00C518D8"/>
    <w:rsid w:val="00C52023"/>
    <w:rsid w:val="00C532B2"/>
    <w:rsid w:val="00C563E1"/>
    <w:rsid w:val="00C56544"/>
    <w:rsid w:val="00C56B3F"/>
    <w:rsid w:val="00C638A6"/>
    <w:rsid w:val="00C713B4"/>
    <w:rsid w:val="00C76C7B"/>
    <w:rsid w:val="00C8497D"/>
    <w:rsid w:val="00C8708E"/>
    <w:rsid w:val="00C91A48"/>
    <w:rsid w:val="00C92DA0"/>
    <w:rsid w:val="00C96827"/>
    <w:rsid w:val="00CA5B91"/>
    <w:rsid w:val="00CA67CC"/>
    <w:rsid w:val="00CA6E05"/>
    <w:rsid w:val="00CA7F99"/>
    <w:rsid w:val="00CB0306"/>
    <w:rsid w:val="00CB06AC"/>
    <w:rsid w:val="00CB0760"/>
    <w:rsid w:val="00CB1EAB"/>
    <w:rsid w:val="00CB380D"/>
    <w:rsid w:val="00CC1612"/>
    <w:rsid w:val="00CC1C5D"/>
    <w:rsid w:val="00CC2D99"/>
    <w:rsid w:val="00CC424A"/>
    <w:rsid w:val="00CC647F"/>
    <w:rsid w:val="00CD6719"/>
    <w:rsid w:val="00CE0B6B"/>
    <w:rsid w:val="00CE0DA4"/>
    <w:rsid w:val="00CE1150"/>
    <w:rsid w:val="00CE1940"/>
    <w:rsid w:val="00CE7205"/>
    <w:rsid w:val="00CE79A0"/>
    <w:rsid w:val="00CF14EF"/>
    <w:rsid w:val="00CF1A34"/>
    <w:rsid w:val="00CF4711"/>
    <w:rsid w:val="00CF4E7E"/>
    <w:rsid w:val="00CF67B3"/>
    <w:rsid w:val="00D00A8A"/>
    <w:rsid w:val="00D015D3"/>
    <w:rsid w:val="00D03204"/>
    <w:rsid w:val="00D046BF"/>
    <w:rsid w:val="00D05104"/>
    <w:rsid w:val="00D05BDD"/>
    <w:rsid w:val="00D07EB9"/>
    <w:rsid w:val="00D22A78"/>
    <w:rsid w:val="00D25C97"/>
    <w:rsid w:val="00D26D27"/>
    <w:rsid w:val="00D26E23"/>
    <w:rsid w:val="00D27224"/>
    <w:rsid w:val="00D31CC0"/>
    <w:rsid w:val="00D31EA2"/>
    <w:rsid w:val="00D33767"/>
    <w:rsid w:val="00D3626A"/>
    <w:rsid w:val="00D363F6"/>
    <w:rsid w:val="00D4043B"/>
    <w:rsid w:val="00D45A3B"/>
    <w:rsid w:val="00D477D2"/>
    <w:rsid w:val="00D5285D"/>
    <w:rsid w:val="00D52C95"/>
    <w:rsid w:val="00D5592E"/>
    <w:rsid w:val="00D5595C"/>
    <w:rsid w:val="00D56AB2"/>
    <w:rsid w:val="00D62CE2"/>
    <w:rsid w:val="00D62FDF"/>
    <w:rsid w:val="00D63441"/>
    <w:rsid w:val="00D6357C"/>
    <w:rsid w:val="00D638ED"/>
    <w:rsid w:val="00D645FD"/>
    <w:rsid w:val="00D65090"/>
    <w:rsid w:val="00D72114"/>
    <w:rsid w:val="00D730E0"/>
    <w:rsid w:val="00D771DB"/>
    <w:rsid w:val="00D811B0"/>
    <w:rsid w:val="00D84606"/>
    <w:rsid w:val="00D8479A"/>
    <w:rsid w:val="00D853F1"/>
    <w:rsid w:val="00D85A9E"/>
    <w:rsid w:val="00D87657"/>
    <w:rsid w:val="00D91DAC"/>
    <w:rsid w:val="00D93884"/>
    <w:rsid w:val="00D947AD"/>
    <w:rsid w:val="00DA0A89"/>
    <w:rsid w:val="00DA0B00"/>
    <w:rsid w:val="00DA79F3"/>
    <w:rsid w:val="00DB0CE0"/>
    <w:rsid w:val="00DB2ABB"/>
    <w:rsid w:val="00DB611D"/>
    <w:rsid w:val="00DC1626"/>
    <w:rsid w:val="00DC34F7"/>
    <w:rsid w:val="00DC47C7"/>
    <w:rsid w:val="00DC47E8"/>
    <w:rsid w:val="00DC5075"/>
    <w:rsid w:val="00DC51F5"/>
    <w:rsid w:val="00DD0535"/>
    <w:rsid w:val="00DD3F40"/>
    <w:rsid w:val="00DE4FED"/>
    <w:rsid w:val="00DE7B42"/>
    <w:rsid w:val="00DF01E3"/>
    <w:rsid w:val="00DF1D3B"/>
    <w:rsid w:val="00DF20EB"/>
    <w:rsid w:val="00DF5E29"/>
    <w:rsid w:val="00DF5EF2"/>
    <w:rsid w:val="00DF75CA"/>
    <w:rsid w:val="00E05980"/>
    <w:rsid w:val="00E11974"/>
    <w:rsid w:val="00E11AFD"/>
    <w:rsid w:val="00E140FD"/>
    <w:rsid w:val="00E177C7"/>
    <w:rsid w:val="00E21093"/>
    <w:rsid w:val="00E213A7"/>
    <w:rsid w:val="00E22320"/>
    <w:rsid w:val="00E23A40"/>
    <w:rsid w:val="00E3536E"/>
    <w:rsid w:val="00E36CCA"/>
    <w:rsid w:val="00E45D67"/>
    <w:rsid w:val="00E5114E"/>
    <w:rsid w:val="00E514C0"/>
    <w:rsid w:val="00E5375D"/>
    <w:rsid w:val="00E54628"/>
    <w:rsid w:val="00E558A8"/>
    <w:rsid w:val="00E616FA"/>
    <w:rsid w:val="00E62147"/>
    <w:rsid w:val="00E67D16"/>
    <w:rsid w:val="00E73024"/>
    <w:rsid w:val="00E74112"/>
    <w:rsid w:val="00E75CC4"/>
    <w:rsid w:val="00E75F6E"/>
    <w:rsid w:val="00E80504"/>
    <w:rsid w:val="00E81409"/>
    <w:rsid w:val="00E8494E"/>
    <w:rsid w:val="00E85BB7"/>
    <w:rsid w:val="00E85C3B"/>
    <w:rsid w:val="00E93278"/>
    <w:rsid w:val="00E9526F"/>
    <w:rsid w:val="00E9567B"/>
    <w:rsid w:val="00EA0538"/>
    <w:rsid w:val="00EA0580"/>
    <w:rsid w:val="00EA1926"/>
    <w:rsid w:val="00EA20B1"/>
    <w:rsid w:val="00EA23C7"/>
    <w:rsid w:val="00EA3197"/>
    <w:rsid w:val="00EA3838"/>
    <w:rsid w:val="00EA4337"/>
    <w:rsid w:val="00EA74B5"/>
    <w:rsid w:val="00EB2CA5"/>
    <w:rsid w:val="00EB3097"/>
    <w:rsid w:val="00EB3799"/>
    <w:rsid w:val="00EB4699"/>
    <w:rsid w:val="00EB57A1"/>
    <w:rsid w:val="00EB6759"/>
    <w:rsid w:val="00EC1593"/>
    <w:rsid w:val="00EC2A2D"/>
    <w:rsid w:val="00EC35E3"/>
    <w:rsid w:val="00ED2602"/>
    <w:rsid w:val="00ED3382"/>
    <w:rsid w:val="00ED55F3"/>
    <w:rsid w:val="00ED568A"/>
    <w:rsid w:val="00ED7ADF"/>
    <w:rsid w:val="00EE0E76"/>
    <w:rsid w:val="00EE18D3"/>
    <w:rsid w:val="00EE2715"/>
    <w:rsid w:val="00EE2F72"/>
    <w:rsid w:val="00EF5148"/>
    <w:rsid w:val="00F067AB"/>
    <w:rsid w:val="00F06E8E"/>
    <w:rsid w:val="00F07E37"/>
    <w:rsid w:val="00F07EE3"/>
    <w:rsid w:val="00F10072"/>
    <w:rsid w:val="00F121BB"/>
    <w:rsid w:val="00F12F81"/>
    <w:rsid w:val="00F1560D"/>
    <w:rsid w:val="00F1627A"/>
    <w:rsid w:val="00F30701"/>
    <w:rsid w:val="00F37593"/>
    <w:rsid w:val="00F418EB"/>
    <w:rsid w:val="00F43567"/>
    <w:rsid w:val="00F4577C"/>
    <w:rsid w:val="00F5051E"/>
    <w:rsid w:val="00F522D7"/>
    <w:rsid w:val="00F524CD"/>
    <w:rsid w:val="00F529D8"/>
    <w:rsid w:val="00F552DA"/>
    <w:rsid w:val="00F5610B"/>
    <w:rsid w:val="00F71F08"/>
    <w:rsid w:val="00F71FFD"/>
    <w:rsid w:val="00F772E1"/>
    <w:rsid w:val="00F809CF"/>
    <w:rsid w:val="00F81875"/>
    <w:rsid w:val="00F84E5C"/>
    <w:rsid w:val="00F93C6A"/>
    <w:rsid w:val="00F93F92"/>
    <w:rsid w:val="00F946EE"/>
    <w:rsid w:val="00F96135"/>
    <w:rsid w:val="00FA1F7D"/>
    <w:rsid w:val="00FA2549"/>
    <w:rsid w:val="00FA4942"/>
    <w:rsid w:val="00FA5ABA"/>
    <w:rsid w:val="00FA6A38"/>
    <w:rsid w:val="00FB3B07"/>
    <w:rsid w:val="00FB43DF"/>
    <w:rsid w:val="00FB4E6B"/>
    <w:rsid w:val="00FB551B"/>
    <w:rsid w:val="00FB6553"/>
    <w:rsid w:val="00FB660F"/>
    <w:rsid w:val="00FB6A46"/>
    <w:rsid w:val="00FC2C4A"/>
    <w:rsid w:val="00FC30C2"/>
    <w:rsid w:val="00FC57CC"/>
    <w:rsid w:val="00FC6197"/>
    <w:rsid w:val="00FC7F77"/>
    <w:rsid w:val="00FD02B2"/>
    <w:rsid w:val="00FD0500"/>
    <w:rsid w:val="00FD057C"/>
    <w:rsid w:val="00FD0C09"/>
    <w:rsid w:val="00FE1E6A"/>
    <w:rsid w:val="00FE22D9"/>
    <w:rsid w:val="00FE4EAC"/>
    <w:rsid w:val="00FF10E1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1241E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1241E9"/>
    <w:rPr>
      <w:rFonts w:ascii="Tahoma" w:hAnsi="Tahoma" w:cs="Tahoma"/>
      <w:sz w:val="16"/>
      <w:szCs w:val="16"/>
      <w:lang w:eastAsia="en-US"/>
    </w:rPr>
  </w:style>
  <w:style w:type="paragraph" w:styleId="Alaotsikko">
    <w:name w:val="Subtitle"/>
    <w:basedOn w:val="Normaali"/>
    <w:next w:val="Normaali"/>
    <w:link w:val="AlaotsikkoChar"/>
    <w:qFormat/>
    <w:rsid w:val="008659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rsid w:val="008659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Korostus">
    <w:name w:val="Emphasis"/>
    <w:basedOn w:val="Kappaleenoletusfontti"/>
    <w:uiPriority w:val="20"/>
    <w:qFormat/>
    <w:rsid w:val="00C713B4"/>
    <w:rPr>
      <w:i/>
      <w:iCs/>
    </w:rPr>
  </w:style>
  <w:style w:type="character" w:styleId="Hienovarainenkorostus">
    <w:name w:val="Subtle Emphasis"/>
    <w:basedOn w:val="Kappaleenoletusfontti"/>
    <w:uiPriority w:val="19"/>
    <w:qFormat/>
    <w:rsid w:val="00C713B4"/>
    <w:rPr>
      <w:i/>
      <w:iCs/>
      <w:color w:val="808080" w:themeColor="text1" w:themeTint="7F"/>
    </w:rPr>
  </w:style>
  <w:style w:type="character" w:styleId="Kommentinviite">
    <w:name w:val="annotation reference"/>
    <w:basedOn w:val="Kappaleenoletusfontti"/>
    <w:rsid w:val="00EB2CA5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EB2CA5"/>
  </w:style>
  <w:style w:type="character" w:customStyle="1" w:styleId="KommentintekstiChar">
    <w:name w:val="Kommentin teksti Char"/>
    <w:basedOn w:val="Kappaleenoletusfontti"/>
    <w:link w:val="Kommentinteksti"/>
    <w:rsid w:val="00EB2CA5"/>
    <w:rPr>
      <w:rFonts w:ascii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EB2CA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EB2CA5"/>
    <w:rPr>
      <w:rFonts w:ascii="Calibri" w:hAnsi="Calibri"/>
      <w:b/>
      <w:bCs/>
      <w:lang w:eastAsia="en-US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6D5977"/>
    <w:pPr>
      <w:jc w:val="both"/>
    </w:pPr>
    <w:rPr>
      <w:rFonts w:ascii="Times New Roman" w:eastAsiaTheme="minorHAnsi" w:hAnsi="Times New Roman" w:cstheme="minorBidi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6D5977"/>
    <w:rPr>
      <w:rFonts w:eastAsiaTheme="minorHAnsi" w:cstheme="minorBidi"/>
      <w:lang w:eastAsia="en-US"/>
    </w:rPr>
  </w:style>
  <w:style w:type="character" w:styleId="Alaviitteenviite">
    <w:name w:val="footnote reference"/>
    <w:basedOn w:val="Kappaleenoletusfontti"/>
    <w:uiPriority w:val="99"/>
    <w:unhideWhenUsed/>
    <w:rsid w:val="006D5977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5F3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1241E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1241E9"/>
    <w:rPr>
      <w:rFonts w:ascii="Tahoma" w:hAnsi="Tahoma" w:cs="Tahoma"/>
      <w:sz w:val="16"/>
      <w:szCs w:val="16"/>
      <w:lang w:eastAsia="en-US"/>
    </w:rPr>
  </w:style>
  <w:style w:type="paragraph" w:styleId="Alaotsikko">
    <w:name w:val="Subtitle"/>
    <w:basedOn w:val="Normaali"/>
    <w:next w:val="Normaali"/>
    <w:link w:val="AlaotsikkoChar"/>
    <w:qFormat/>
    <w:rsid w:val="008659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rsid w:val="008659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Korostus">
    <w:name w:val="Emphasis"/>
    <w:basedOn w:val="Kappaleenoletusfontti"/>
    <w:uiPriority w:val="20"/>
    <w:qFormat/>
    <w:rsid w:val="00C713B4"/>
    <w:rPr>
      <w:i/>
      <w:iCs/>
    </w:rPr>
  </w:style>
  <w:style w:type="character" w:styleId="Hienovarainenkorostus">
    <w:name w:val="Subtle Emphasis"/>
    <w:basedOn w:val="Kappaleenoletusfontti"/>
    <w:uiPriority w:val="19"/>
    <w:qFormat/>
    <w:rsid w:val="00C713B4"/>
    <w:rPr>
      <w:i/>
      <w:iCs/>
      <w:color w:val="808080" w:themeColor="text1" w:themeTint="7F"/>
    </w:rPr>
  </w:style>
  <w:style w:type="character" w:styleId="Kommentinviite">
    <w:name w:val="annotation reference"/>
    <w:basedOn w:val="Kappaleenoletusfontti"/>
    <w:rsid w:val="00EB2CA5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EB2CA5"/>
  </w:style>
  <w:style w:type="character" w:customStyle="1" w:styleId="KommentintekstiChar">
    <w:name w:val="Kommentin teksti Char"/>
    <w:basedOn w:val="Kappaleenoletusfontti"/>
    <w:link w:val="Kommentinteksti"/>
    <w:rsid w:val="00EB2CA5"/>
    <w:rPr>
      <w:rFonts w:ascii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EB2CA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EB2CA5"/>
    <w:rPr>
      <w:rFonts w:ascii="Calibri" w:hAnsi="Calibri"/>
      <w:b/>
      <w:bCs/>
      <w:lang w:eastAsia="en-US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6D5977"/>
    <w:pPr>
      <w:jc w:val="both"/>
    </w:pPr>
    <w:rPr>
      <w:rFonts w:ascii="Times New Roman" w:eastAsiaTheme="minorHAnsi" w:hAnsi="Times New Roman" w:cstheme="minorBidi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6D5977"/>
    <w:rPr>
      <w:rFonts w:eastAsiaTheme="minorHAnsi" w:cstheme="minorBidi"/>
      <w:lang w:eastAsia="en-US"/>
    </w:rPr>
  </w:style>
  <w:style w:type="character" w:styleId="Alaviitteenviite">
    <w:name w:val="footnote reference"/>
    <w:basedOn w:val="Kappaleenoletusfontti"/>
    <w:uiPriority w:val="99"/>
    <w:unhideWhenUsed/>
    <w:rsid w:val="006D5977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5F3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9AF48-239F-4500-836B-044530EB2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2160</Words>
  <Characters>18186</Characters>
  <Application>Microsoft Office Word</Application>
  <DocSecurity>4</DocSecurity>
  <Lines>151</Lines>
  <Paragraphs>40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tieto</Company>
  <LinksUpToDate>false</LinksUpToDate>
  <CharactersWithSpaces>20306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Färkkilä Heini</dc:creator>
  <cp:lastModifiedBy>Lampinen Lotta TEM</cp:lastModifiedBy>
  <cp:revision>2</cp:revision>
  <cp:lastPrinted>2017-08-15T13:29:00Z</cp:lastPrinted>
  <dcterms:created xsi:type="dcterms:W3CDTF">2017-08-22T12:18:00Z</dcterms:created>
  <dcterms:modified xsi:type="dcterms:W3CDTF">2017-08-22T12:18:00Z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Julkisoikeuden yksikkö</vt:lpwstr>
  </property>
  <property fmtid="{D5CDD505-2E9C-101B-9397-08002B2CF9AE}" pid="6" name="DC.X-DocumentType">
    <vt:lpwstr>LAUSUNTO</vt:lpwstr>
  </property>
  <property fmtid="{D5CDD505-2E9C-101B-9397-08002B2CF9AE}" pid="7" name="DC.Language">
    <vt:lpwstr>fi</vt:lpwstr>
  </property>
  <property fmtid="{D5CDD505-2E9C-101B-9397-08002B2CF9AE}" pid="8" name="DC.Date.Created">
    <vt:lpwstr>20161003</vt:lpwstr>
  </property>
  <property fmtid="{D5CDD505-2E9C-101B-9397-08002B2CF9AE}" pid="9" name="DC.Identifier">
    <vt:lpwstr>OM xx</vt:lpwstr>
  </property>
  <property fmtid="{D5CDD505-2E9C-101B-9397-08002B2CF9AE}" pid="10" name="DC.Identifier.Type">
    <vt:lpwstr/>
  </property>
  <property fmtid="{D5CDD505-2E9C-101B-9397-08002B2CF9AE}" pid="11" name="DC.Creator.PersonalName">
    <vt:lpwstr>Heini Färkkilä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Sami Manninen, Heini Färkkilä</vt:lpwstr>
  </property>
  <property fmtid="{D5CDD505-2E9C-101B-9397-08002B2CF9AE}" pid="21" name="DC.Identifier.FilePath">
    <vt:lpwstr/>
  </property>
  <property fmtid="{D5CDD505-2E9C-101B-9397-08002B2CF9AE}" pid="22" name="DC.Title">
    <vt:lpwstr>LAUSUNTO</vt:lpwstr>
  </property>
</Properties>
</file>