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5C" w:rsidRPr="00B650D5" w:rsidRDefault="005C145C" w:rsidP="005C145C">
      <w:pPr>
        <w:spacing w:after="0" w:line="240" w:lineRule="auto"/>
        <w:rPr>
          <w:rFonts w:ascii="Palatino Linotype" w:eastAsia="Times New Roman" w:hAnsi="Palatino Linotype" w:cs="Times New Roman"/>
          <w:sz w:val="20"/>
          <w:szCs w:val="20"/>
          <w:lang w:eastAsia="fi-FI"/>
        </w:rPr>
      </w:pPr>
      <w:bookmarkStart w:id="0" w:name="_GoBack"/>
      <w:bookmarkEnd w:id="0"/>
      <w:r w:rsidRPr="00B650D5">
        <w:rPr>
          <w:rFonts w:ascii="Palatino Linotype" w:eastAsia="Times New Roman" w:hAnsi="Palatino Linotype" w:cs="Times New Roman"/>
          <w:sz w:val="20"/>
          <w:szCs w:val="20"/>
          <w:lang w:eastAsia="fi-FI"/>
        </w:rPr>
        <w:t>Opetus- ja kulttuuriministeriölle</w:t>
      </w:r>
      <w:r>
        <w:rPr>
          <w:rFonts w:ascii="Palatino Linotype" w:eastAsia="Times New Roman" w:hAnsi="Palatino Linotype" w:cs="Times New Roman"/>
          <w:sz w:val="20"/>
          <w:szCs w:val="20"/>
          <w:lang w:eastAsia="fi-FI"/>
        </w:rPr>
        <w:tab/>
      </w:r>
      <w:r>
        <w:rPr>
          <w:rFonts w:ascii="Palatino Linotype" w:eastAsia="Times New Roman" w:hAnsi="Palatino Linotype" w:cs="Times New Roman"/>
          <w:sz w:val="20"/>
          <w:szCs w:val="20"/>
          <w:lang w:eastAsia="fi-FI"/>
        </w:rPr>
        <w:tab/>
      </w:r>
      <w:r>
        <w:rPr>
          <w:rFonts w:ascii="Palatino Linotype" w:eastAsia="Times New Roman" w:hAnsi="Palatino Linotype" w:cs="Times New Roman"/>
          <w:sz w:val="20"/>
          <w:szCs w:val="20"/>
          <w:lang w:eastAsia="fi-FI"/>
        </w:rPr>
        <w:tab/>
      </w:r>
      <w:r>
        <w:rPr>
          <w:rFonts w:ascii="Palatino Linotype" w:eastAsia="Times New Roman" w:hAnsi="Palatino Linotype" w:cs="Times New Roman"/>
          <w:sz w:val="20"/>
          <w:szCs w:val="20"/>
          <w:lang w:eastAsia="fi-FI"/>
        </w:rPr>
        <w:tab/>
      </w:r>
      <w:r w:rsidRPr="00B650D5">
        <w:rPr>
          <w:rFonts w:ascii="Palatino Linotype" w:eastAsia="Times New Roman" w:hAnsi="Palatino Linotype" w:cs="Times New Roman"/>
          <w:sz w:val="20"/>
          <w:szCs w:val="20"/>
          <w:lang w:eastAsia="fi-FI"/>
        </w:rPr>
        <w:t>27.11.2015</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b/>
          <w:bCs/>
          <w:sz w:val="20"/>
          <w:szCs w:val="20"/>
          <w:lang w:eastAsia="fi-FI"/>
        </w:rPr>
        <w:t>ASIA: Nuorisolain uudistaminen - työryhmän esitys uudeksi nuorisolaiksi</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Suomen ylioppilaskuntien liitto (SYL) ry kunnioittavasti lausuu Opetus- ja kulttuuriministeriön nuorisolain uudistamista pohtineen työryhmän esityksestä uudeksi nuorisolaiksi. SYL haluaa tuoda näkemyksiään koskien työryhmän esitystä seuraavasti:</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b/>
          <w:bCs/>
          <w:sz w:val="20"/>
          <w:szCs w:val="20"/>
          <w:lang w:eastAsia="fi-FI"/>
        </w:rPr>
        <w:t>Lausunnon yhteenveto:</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numPr>
          <w:ilvl w:val="0"/>
          <w:numId w:val="14"/>
        </w:numPr>
        <w:spacing w:after="0" w:line="240" w:lineRule="auto"/>
        <w:rPr>
          <w:rFonts w:ascii="Palatino Linotype" w:eastAsia="Times New Roman" w:hAnsi="Palatino Linotype" w:cs="Times New Roman"/>
          <w:b/>
          <w:bCs/>
          <w:sz w:val="20"/>
          <w:szCs w:val="20"/>
          <w:lang w:eastAsia="fi-FI"/>
        </w:rPr>
      </w:pPr>
      <w:r w:rsidRPr="00B650D5">
        <w:rPr>
          <w:rFonts w:ascii="Palatino Linotype" w:eastAsia="Times New Roman" w:hAnsi="Palatino Linotype" w:cs="Times New Roman"/>
          <w:sz w:val="20"/>
          <w:szCs w:val="20"/>
          <w:lang w:eastAsia="fi-FI"/>
        </w:rPr>
        <w:t>SYL on huolissaan siitä, että nuorisolain uudistaminen ei ole noussut nuorisojärjestökentän tarpeista tai epäkohdista, vaan puhtaasti hallinnosta käsin. Prosessin missään vaiheessa nuorten edustajille ei tyhjentävästi selitetty uudistustarvetta.</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numPr>
          <w:ilvl w:val="0"/>
          <w:numId w:val="15"/>
        </w:num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Esitetyn nuorisolain tavoitteet ja niiden lähtökohdat ovat hyviä. SYL korostaa erityisesti nuorten yhdenvertaisuuden, tasa-arvon, kansainvälisten sopimuksien mukaista oikeuksien toteutumista sekä monikulttuurisuuden ja kansainvälisyyden merkitystä.</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numPr>
          <w:ilvl w:val="0"/>
          <w:numId w:val="16"/>
        </w:num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SYL pitää yläikärajan nostamista selkeyttävänä ja hyvänä muutoksena. SYL näkee nuorisolain soveltamisalan alaikärajan määrittelemisen alkavaksi 7 ikävuodesta erityisen haasteelliseksi, sillä nykyinen nuorisolaki vahvistaa lasten ja nuorten oikeutta tulla kuulluksi, joka turvataan myös perustuslaissa. Epäselväksi jää, miten tämä lakiluonnos tulisi takaamaan alle 7-vuotiaiden lasten yhdenvertaisten osallistumisoikeuksien toteutumisen.</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numPr>
          <w:ilvl w:val="0"/>
          <w:numId w:val="17"/>
        </w:num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 xml:space="preserve">SYL näkee, että avustustoimikunnan vastuuna tulevaisuudessakin olisi esityksen antaminen nuorisojärjestöjen osalta. </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numPr>
          <w:ilvl w:val="0"/>
          <w:numId w:val="18"/>
        </w:num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SYL haluaa, että nuorten osallistuminen, vaikuttaminen ja kuuleminen kirjataan lakiin nykyistä luonnosta velvoittavammin.</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b/>
          <w:bCs/>
          <w:sz w:val="20"/>
          <w:szCs w:val="20"/>
          <w:lang w:eastAsia="fi-FI"/>
        </w:rPr>
        <w:t>Nuorisolain uudistamisen lähtökohdat</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SYL on huolissaan siitä, että nuorisolain uudistaminen ei ole noussut nuorisojärjestökentän tarpeista tai epäkohdista, vaan puhtaasti hallinnosta käsin. Kun laki on nyt valmistelussa, on tärkeää että se valmistellaan mahdollisimman hyvin sekä nuoria kuullaan aidosti lain valmistelun kaikissa vaiheissa.  </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b/>
          <w:bCs/>
          <w:sz w:val="20"/>
          <w:szCs w:val="20"/>
          <w:lang w:eastAsia="fi-FI"/>
        </w:rPr>
        <w:t>Lain tavoite</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Esitetyn nuorisolain tavoitteet ja niiden lähtökohdat ovat hyviä. SYL korostaa erityisesti nuorten yhdenvertaisuuden, tasa-arvon, kansainvälisten sopimuksien mukaista oikeuksien toteutumista sekä monikulttuurisuuden ja kansainvälisyyden merkitystä tulevaisuuden nopeasti muuttuvassa ja entistä globaalimmassa toimintaympäristössä, jossa tärkeää on erilaisten kulttuurien ja ajatusten avoin ja ennakkoluuloton kohtaaminen. Nuorisolain tulee vahvistaa erityisesti lasten ja nuorten oikeutta tulla kuulluksi, joka turvataan myös perustuslaissa.</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b/>
          <w:bCs/>
          <w:sz w:val="20"/>
          <w:szCs w:val="20"/>
          <w:lang w:eastAsia="fi-FI"/>
        </w:rPr>
        <w:t>Lain soveltamisala ja ikärajat</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 xml:space="preserve">SYL pitää yläikärajan nostamista selkeyttävänä ja hyvänä muutoksena. Yläikärajan muutos tulee helpottamaan valtionavustusten jakoa sekä selkeyttää sitä, miten nuorten edustus tulevaisuudessa määräytyy. Kansainvälisesti ikäraja on yhdenmukainen esimerkiksi EU:n Erasmus+ -ohjelman kanssa. </w:t>
      </w:r>
      <w:r w:rsidRPr="00B650D5">
        <w:rPr>
          <w:rFonts w:ascii="Palatino Linotype" w:eastAsia="Times New Roman" w:hAnsi="Palatino Linotype" w:cs="Times New Roman"/>
          <w:sz w:val="20"/>
          <w:szCs w:val="20"/>
          <w:lang w:eastAsia="fi-FI"/>
        </w:rPr>
        <w:lastRenderedPageBreak/>
        <w:t>Yläikärajan muutos myös tukee vallitsevaa ymmärrystä nuoruudesta elämänvaiheena, joka on pitkittynyt. Nuorisolaki tukee ikäryhmää, joka on monessa suhteessa väliinputoaja.</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SYL näkee nuorisolain soveltamisalan alaikärajan määrittelemisen alkavaksi 7 ikävuodesta erityisen haasteelliseksi, sillä nykyinen nuorisolaki vahvistaa lasten ja nuorten oikeutta tulla kuulluksi, joka turvataan myös perustuslaissa. Epäselväksi jää, miten tämä lakiluonnos tulisi takaamaan alle 7-vuotiaiden lasten yhdenvertaisten osallistumisoikeuksien toteutumisen.</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b/>
          <w:bCs/>
          <w:sz w:val="20"/>
          <w:szCs w:val="20"/>
          <w:lang w:eastAsia="fi-FI"/>
        </w:rPr>
        <w:t>Avustustoimikunnan rooli</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Esitetyssä lakiluonnoksessa avustustoimikunta antaisi ainoastaan lausunnon, ei esitystä. Voimassa olevassa laissa nuorisojärjestöjen ja palvelujärjestöjen osalta toimikunta tekee esityksen asiassa. Avustustoimikunta tuo prosessiin avustuksen käyttäjien äänen ja järjestöasiantuntemusta. Tämän luonnoksen mukaisella pelkällä lausunnolla ei kovin paljoa painoarvoa ole. Pelkän lausunnon antaminen kasvattaa virkamiesvaltaa ja vie roolia järjestöjen vertaisarvioinnilta. SYL näkee, että avustustoimikunnan vastuuna tulevaisuudessakin olisi esityksen antaminen nuorisojärjestöjen osalta ja pitää vertaisarvioinnin elementtiä tärkeänä ja se tulisi säilyttää tulevaisuudessakin.</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b/>
          <w:bCs/>
          <w:sz w:val="20"/>
          <w:szCs w:val="20"/>
          <w:lang w:eastAsia="fi-FI"/>
        </w:rPr>
        <w:t>Kunnan vastuu</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SYL on erityisen huolissaan hallitusohjelman mukaisesta kuntien lisääntyvästä valinnanvapaudesta nuorisolain osalta, joka tulee vaikuttamaan siihen, mitä toimintaa kunnat toteuttavat. Toivottavaa on, että kunnat eivät leikkaa nuorisotyöstä, samaan aikaan, kun valtiovalta kohdentaa leikkauksia nuorisotyön määrärahoihin.</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b/>
          <w:bCs/>
          <w:sz w:val="20"/>
          <w:szCs w:val="20"/>
          <w:lang w:eastAsia="fi-FI"/>
        </w:rPr>
        <w:t>Nuorisoalan järjestön valtionapukelpoisuus</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SYL ei pidä hyvänä suuntausta, että nuorisoalan järjestöjen tavoitteenasetantaa halutaan siirtää nuorten omista käsistä vahvemmin valtionhallinnon ohjailtavaksi. Pääsääntöisesti nuorisojärjestöjen tavoitteiden tulisi olla peräisin järjestön omista lähtökohdista ja mahdollisuuksien mukaan nuorten itsensä määrittämiä - ja järjestöjä tulisi arvioida näiden tavoitteiden toteutumisen osalta. SYL on kuitenkin valmis kannattamaan esitystä, jonka mukaan valtionavustusta saavien tahojen olisi edistettävä nykyisessä lakiluonnoksessa mainittuja tavoitteita omassa toiminnassaan sekä sitä, että nuorisoalan järjestöjen osalta näiden tavoitteiden toteuttaminen otetaan huomioon myös valtionavustuksen harkinnassa.</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SYL ei pidä tarpeellisena eikä tarkoituksenmukaisena, että kaikkien nuorisojärjestöjen pitäisi hakea valtionapukelpoisuutta uudestaan lakiuudistuksen myötä. Uudistuksen tavoitteena ei voi olla byrokratian ja sääntelyn lisääminen.</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SYL kummeksuu sitä, että lakiuudistuksen yhtenä tavoitteena on kolmen tiettyä opintoalaa edustavan nuorisojärjestön poistaminen valtionapukelpoisuuden piiristä.</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b/>
          <w:bCs/>
          <w:sz w:val="20"/>
          <w:szCs w:val="20"/>
          <w:lang w:eastAsia="fi-FI"/>
        </w:rPr>
        <w:t>Nuorten osallistumisen, vaikuttamisen ja kuulemisen tulee olla velvoittavaa</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SYL haluaa huomioida, että lain yleisperusteluissa todetaan, että tietyt ryhmät nuorten keskuudessa eivät saa ääntään kuuluviin. Tätä ei kuitenkaan ole huomioitu lainkaan itse laissa kiinnittämällä huomiota esimerkiksi esteettömyyteen, saavutettavuuteen tai yhdenvertaisuuteen.</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 xml:space="preserve">Lakiluonnoksen 22 § Nuorten osallistuminen, vaikuttaminen ja kuuleminen on muotoilultaan liian yleispiirteinen. Lapsille ja nuorille ei tule ainoastaan “tarjota mahdollisuutta”, vaan laissa tulee selkeästi </w:t>
      </w:r>
      <w:r w:rsidRPr="00B650D5">
        <w:rPr>
          <w:rFonts w:ascii="Palatino Linotype" w:eastAsia="Times New Roman" w:hAnsi="Palatino Linotype" w:cs="Times New Roman"/>
          <w:sz w:val="20"/>
          <w:szCs w:val="20"/>
          <w:lang w:eastAsia="fi-FI"/>
        </w:rPr>
        <w:lastRenderedPageBreak/>
        <w:t>“järjestää mahdollisuus” osallistua, ja vaikuttaa paikallista, alueellista ja valtakunnallista nuorisotyötä ja – politiikkaa koskevien asioiden käsittelyyn.</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Lakiluonnoksen nykyinen muotoilu jättää mahdollisuuden esimerkiksi siihen, että säännöksessä tarkoitettua osallistumisoikeutta ja kuulemisvelvollisuutta toteutettaisiin käytännössä esimerkiksi tiedottamalla nuoria koskevista asioista verkossa. Tärkeää olisi, että nuoret pääsevät tosiasiallisesti vaikuttamaan nuorisotyötä ja -politiikkaa koskevien asioiden käsittelyyn ja että nuoret tulevat kuulluiksi heitä koskevissa asioissa jo niiden valmisteluvaiheessa.</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b/>
          <w:bCs/>
          <w:sz w:val="20"/>
          <w:szCs w:val="20"/>
          <w:lang w:eastAsia="fi-FI"/>
        </w:rPr>
        <w:t>Huumausainetestaus nuorten työpajatoiminnassa</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SYL haluaa korostaa, että lain valmistelussa huumausainetestauksessa nuorten työpajatoiminnassa huomioidaan keskeisimpänä nuoren tarpeet esimerkiksi hoitoon ohjauksessa ja työpajatoiminnan jatkumisen osalta. Lainsäädäntöä valmisteltaessa on huomioitava, että pykälät valmistellaan yhdenvertaisuuslain ja tasavertaisen kohtelun - periaatteen mukaisesti.</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Suomen ylioppilaskuntien liitto (SYL) ry.</w:t>
      </w:r>
    </w:p>
    <w:p w:rsidR="005C145C" w:rsidRDefault="005C145C" w:rsidP="005C145C">
      <w:pPr>
        <w:spacing w:after="0" w:line="240" w:lineRule="auto"/>
        <w:rPr>
          <w:rFonts w:ascii="Palatino Linotype" w:eastAsia="Times New Roman" w:hAnsi="Palatino Linotype" w:cs="Times New Roman"/>
          <w:sz w:val="20"/>
          <w:szCs w:val="20"/>
          <w:lang w:eastAsia="fi-FI"/>
        </w:rPr>
      </w:pPr>
    </w:p>
    <w:p w:rsidR="005C145C" w:rsidRDefault="005C145C" w:rsidP="005C145C">
      <w:pPr>
        <w:spacing w:after="0" w:line="240" w:lineRule="auto"/>
        <w:rPr>
          <w:rFonts w:ascii="Palatino Linotype" w:eastAsia="Times New Roman" w:hAnsi="Palatino Linotype" w:cs="Times New Roman"/>
          <w:sz w:val="20"/>
          <w:szCs w:val="20"/>
          <w:lang w:eastAsia="fi-FI"/>
        </w:rPr>
      </w:pPr>
    </w:p>
    <w:p w:rsidR="005C145C" w:rsidRDefault="005C145C" w:rsidP="005C145C">
      <w:pPr>
        <w:spacing w:after="0" w:line="240" w:lineRule="auto"/>
        <w:rPr>
          <w:rFonts w:ascii="Palatino Linotype" w:eastAsia="Times New Roman" w:hAnsi="Palatino Linotype" w:cs="Times New Roman"/>
          <w:sz w:val="20"/>
          <w:szCs w:val="20"/>
          <w:lang w:eastAsia="fi-FI"/>
        </w:rPr>
      </w:pPr>
    </w:p>
    <w:p w:rsidR="005C145C"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Jari Järvenp</w:t>
      </w:r>
      <w:r>
        <w:rPr>
          <w:rFonts w:ascii="Palatino Linotype" w:eastAsia="Times New Roman" w:hAnsi="Palatino Linotype" w:cs="Times New Roman"/>
          <w:sz w:val="20"/>
          <w:szCs w:val="20"/>
          <w:lang w:eastAsia="fi-FI"/>
        </w:rPr>
        <w:t>ää</w:t>
      </w:r>
      <w:r>
        <w:rPr>
          <w:rFonts w:ascii="Palatino Linotype" w:eastAsia="Times New Roman" w:hAnsi="Palatino Linotype" w:cs="Times New Roman"/>
          <w:sz w:val="20"/>
          <w:szCs w:val="20"/>
          <w:lang w:eastAsia="fi-FI"/>
        </w:rPr>
        <w:tab/>
      </w:r>
      <w:r>
        <w:rPr>
          <w:rFonts w:ascii="Palatino Linotype" w:eastAsia="Times New Roman" w:hAnsi="Palatino Linotype" w:cs="Times New Roman"/>
          <w:sz w:val="20"/>
          <w:szCs w:val="20"/>
          <w:lang w:eastAsia="fi-FI"/>
        </w:rPr>
        <w:tab/>
      </w:r>
      <w:r>
        <w:rPr>
          <w:rFonts w:ascii="Palatino Linotype" w:eastAsia="Times New Roman" w:hAnsi="Palatino Linotype" w:cs="Times New Roman"/>
          <w:sz w:val="20"/>
          <w:szCs w:val="20"/>
          <w:lang w:eastAsia="fi-FI"/>
        </w:rPr>
        <w:tab/>
      </w:r>
      <w:r w:rsidRPr="00B650D5">
        <w:rPr>
          <w:rFonts w:ascii="Palatino Linotype" w:eastAsia="Times New Roman" w:hAnsi="Palatino Linotype" w:cs="Times New Roman"/>
          <w:sz w:val="20"/>
          <w:szCs w:val="20"/>
          <w:lang w:eastAsia="fi-FI"/>
        </w:rPr>
        <w:t>Juha Töyrylä</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Pr>
          <w:rFonts w:ascii="Palatino Linotype" w:eastAsia="Times New Roman" w:hAnsi="Palatino Linotype" w:cs="Times New Roman"/>
          <w:sz w:val="20"/>
          <w:szCs w:val="20"/>
          <w:lang w:eastAsia="fi-FI"/>
        </w:rPr>
        <w:t>puheenjohtaja</w:t>
      </w:r>
      <w:r>
        <w:rPr>
          <w:rFonts w:ascii="Palatino Linotype" w:eastAsia="Times New Roman" w:hAnsi="Palatino Linotype" w:cs="Times New Roman"/>
          <w:sz w:val="20"/>
          <w:szCs w:val="20"/>
          <w:lang w:eastAsia="fi-FI"/>
        </w:rPr>
        <w:tab/>
      </w:r>
      <w:r>
        <w:rPr>
          <w:rFonts w:ascii="Palatino Linotype" w:eastAsia="Times New Roman" w:hAnsi="Palatino Linotype" w:cs="Times New Roman"/>
          <w:sz w:val="20"/>
          <w:szCs w:val="20"/>
          <w:lang w:eastAsia="fi-FI"/>
        </w:rPr>
        <w:tab/>
      </w:r>
      <w:r>
        <w:rPr>
          <w:rFonts w:ascii="Palatino Linotype" w:eastAsia="Times New Roman" w:hAnsi="Palatino Linotype" w:cs="Times New Roman"/>
          <w:sz w:val="20"/>
          <w:szCs w:val="20"/>
          <w:lang w:eastAsia="fi-FI"/>
        </w:rPr>
        <w:tab/>
      </w:r>
      <w:r w:rsidRPr="00B650D5">
        <w:rPr>
          <w:rFonts w:ascii="Palatino Linotype" w:eastAsia="Times New Roman" w:hAnsi="Palatino Linotype" w:cs="Times New Roman"/>
          <w:sz w:val="20"/>
          <w:szCs w:val="20"/>
          <w:lang w:eastAsia="fi-FI"/>
        </w:rPr>
        <w:t>pääsihteeri</w:t>
      </w:r>
    </w:p>
    <w:p w:rsidR="005C145C" w:rsidRDefault="005C145C" w:rsidP="005C145C">
      <w:pPr>
        <w:spacing w:after="0" w:line="240" w:lineRule="auto"/>
        <w:rPr>
          <w:rFonts w:ascii="Palatino Linotype" w:eastAsia="Times New Roman" w:hAnsi="Palatino Linotype" w:cs="Times New Roman"/>
          <w:sz w:val="20"/>
          <w:szCs w:val="20"/>
          <w:lang w:eastAsia="fi-FI"/>
        </w:rPr>
      </w:pPr>
    </w:p>
    <w:p w:rsidR="005C145C" w:rsidRDefault="005C145C" w:rsidP="005C145C">
      <w:pPr>
        <w:spacing w:after="0" w:line="240" w:lineRule="auto"/>
        <w:rPr>
          <w:rFonts w:ascii="Palatino Linotype" w:eastAsia="Times New Roman" w:hAnsi="Palatino Linotype" w:cs="Times New Roman"/>
          <w:sz w:val="20"/>
          <w:szCs w:val="20"/>
          <w:lang w:eastAsia="fi-FI"/>
        </w:rPr>
      </w:pP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Lisätiedot:</w:t>
      </w:r>
    </w:p>
    <w:p w:rsidR="005C145C" w:rsidRPr="00B650D5"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pääsihteeri Juha Töyrylä, juha.toyryla@syl.fi, 041 515 2229</w:t>
      </w:r>
    </w:p>
    <w:p w:rsidR="005C145C" w:rsidRPr="00001DC2" w:rsidRDefault="005C145C" w:rsidP="005C145C">
      <w:pPr>
        <w:spacing w:after="0" w:line="240" w:lineRule="auto"/>
        <w:rPr>
          <w:rFonts w:ascii="Palatino Linotype" w:eastAsia="Times New Roman" w:hAnsi="Palatino Linotype" w:cs="Times New Roman"/>
          <w:sz w:val="20"/>
          <w:szCs w:val="20"/>
          <w:lang w:eastAsia="fi-FI"/>
        </w:rPr>
      </w:pPr>
      <w:r w:rsidRPr="00B650D5">
        <w:rPr>
          <w:rFonts w:ascii="Palatino Linotype" w:eastAsia="Times New Roman" w:hAnsi="Palatino Linotype" w:cs="Times New Roman"/>
          <w:sz w:val="20"/>
          <w:szCs w:val="20"/>
          <w:lang w:eastAsia="fi-FI"/>
        </w:rPr>
        <w:t>sosiaalipoliittinen sihteeri Turkka Sinisalo, turkka.sinisalo@syl.fi, 041 515 2227</w:t>
      </w:r>
    </w:p>
    <w:p w:rsidR="00685912" w:rsidRDefault="00685912"/>
    <w:sectPr w:rsidR="00685912" w:rsidSect="00685912">
      <w:headerReference w:type="even" r:id="rId8"/>
      <w:headerReference w:type="default" r:id="rId9"/>
      <w:footerReference w:type="even" r:id="rId10"/>
      <w:footerReference w:type="default" r:id="rId11"/>
      <w:headerReference w:type="first" r:id="rId12"/>
      <w:footerReference w:type="first" r:id="rId13"/>
      <w:pgSz w:w="11906" w:h="16838"/>
      <w:pgMar w:top="567" w:right="1106" w:bottom="567" w:left="120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AB" w:rsidRDefault="00831FAB">
      <w:pPr>
        <w:spacing w:after="0" w:line="240" w:lineRule="auto"/>
      </w:pPr>
      <w:r>
        <w:separator/>
      </w:r>
    </w:p>
  </w:endnote>
  <w:endnote w:type="continuationSeparator" w:id="0">
    <w:p w:rsidR="00831FAB" w:rsidRDefault="0083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12" w:rsidRDefault="00685912">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12" w:rsidRPr="00DA55C6" w:rsidRDefault="00685912" w:rsidP="00685912">
    <w:pPr>
      <w:pStyle w:val="Alatunniste"/>
      <w:tabs>
        <w:tab w:val="clear" w:pos="4819"/>
        <w:tab w:val="left" w:pos="2640"/>
        <w:tab w:val="left" w:pos="4290"/>
        <w:tab w:val="left" w:pos="6270"/>
      </w:tabs>
      <w:ind w:hanging="1208"/>
      <w:rPr>
        <w:sz w:val="14"/>
        <w:szCs w:val="14"/>
      </w:rPr>
    </w:pPr>
    <w:r>
      <w:rPr>
        <w:noProof/>
        <w:sz w:val="14"/>
        <w:szCs w:val="14"/>
      </w:rPr>
      <w:drawing>
        <wp:inline distT="0" distB="0" distL="0" distR="0">
          <wp:extent cx="7612380" cy="495300"/>
          <wp:effectExtent l="0" t="0" r="7620" b="0"/>
          <wp:docPr id="3" name="Kuva 3" descr="ala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495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12" w:rsidRDefault="0068591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AB" w:rsidRDefault="00831FAB">
      <w:pPr>
        <w:spacing w:after="0" w:line="240" w:lineRule="auto"/>
      </w:pPr>
      <w:r>
        <w:separator/>
      </w:r>
    </w:p>
  </w:footnote>
  <w:footnote w:type="continuationSeparator" w:id="0">
    <w:p w:rsidR="00831FAB" w:rsidRDefault="0083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12" w:rsidRDefault="0068591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12" w:rsidRDefault="00685912" w:rsidP="00685912">
    <w:pPr>
      <w:pStyle w:val="Yltunniste"/>
      <w:tabs>
        <w:tab w:val="clear" w:pos="4819"/>
        <w:tab w:val="left" w:pos="5170"/>
        <w:tab w:val="left" w:pos="9130"/>
      </w:tabs>
      <w:ind w:hanging="1208"/>
    </w:pPr>
    <w:r>
      <w:rPr>
        <w:noProof/>
      </w:rPr>
      <w:drawing>
        <wp:inline distT="0" distB="0" distL="0" distR="0">
          <wp:extent cx="7612380" cy="1196340"/>
          <wp:effectExtent l="0" t="0" r="7620" b="3810"/>
          <wp:docPr id="4" name="Kuva 4" descr="yla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a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1196340"/>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12" w:rsidRDefault="0068591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D7B"/>
    <w:multiLevelType w:val="multilevel"/>
    <w:tmpl w:val="70A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C5D62"/>
    <w:multiLevelType w:val="multilevel"/>
    <w:tmpl w:val="6E76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D3706"/>
    <w:multiLevelType w:val="multilevel"/>
    <w:tmpl w:val="3D0C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3709B"/>
    <w:multiLevelType w:val="multilevel"/>
    <w:tmpl w:val="938E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30F88"/>
    <w:multiLevelType w:val="multilevel"/>
    <w:tmpl w:val="040B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5">
    <w:nsid w:val="26251FF3"/>
    <w:multiLevelType w:val="multilevel"/>
    <w:tmpl w:val="BB9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F6596"/>
    <w:multiLevelType w:val="multilevel"/>
    <w:tmpl w:val="1016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C3A21"/>
    <w:multiLevelType w:val="multilevel"/>
    <w:tmpl w:val="86D0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675FF"/>
    <w:multiLevelType w:val="hybridMultilevel"/>
    <w:tmpl w:val="E866573A"/>
    <w:lvl w:ilvl="0" w:tplc="AA7CE508">
      <w:start w:val="1"/>
      <w:numFmt w:val="lowerLetter"/>
      <w:lvlText w:val="%1)"/>
      <w:lvlJc w:val="left"/>
      <w:pPr>
        <w:ind w:left="720" w:hanging="360"/>
      </w:pPr>
      <w:rPr>
        <w:rFonts w:cs="Arial" w:hint="default"/>
        <w:b/>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44CC05CE"/>
    <w:multiLevelType w:val="hybridMultilevel"/>
    <w:tmpl w:val="C7081448"/>
    <w:lvl w:ilvl="0" w:tplc="0A5E1C7A">
      <w:start w:val="1"/>
      <w:numFmt w:val="lowerLetter"/>
      <w:lvlText w:val="%1)"/>
      <w:lvlJc w:val="left"/>
      <w:pPr>
        <w:ind w:left="1668" w:hanging="130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5CDB0C09"/>
    <w:multiLevelType w:val="multilevel"/>
    <w:tmpl w:val="EAB8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257B8D"/>
    <w:multiLevelType w:val="multilevel"/>
    <w:tmpl w:val="60F2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E3A04"/>
    <w:multiLevelType w:val="multilevel"/>
    <w:tmpl w:val="DEF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5F5E3E"/>
    <w:multiLevelType w:val="multilevel"/>
    <w:tmpl w:val="90C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8B3D21"/>
    <w:multiLevelType w:val="multilevel"/>
    <w:tmpl w:val="CF28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3A0495"/>
    <w:multiLevelType w:val="multilevel"/>
    <w:tmpl w:val="FD40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3D1A8C"/>
    <w:multiLevelType w:val="multilevel"/>
    <w:tmpl w:val="3FFE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9B3B3F"/>
    <w:multiLevelType w:val="multilevel"/>
    <w:tmpl w:val="5CE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6"/>
  </w:num>
  <w:num w:numId="5">
    <w:abstractNumId w:val="8"/>
  </w:num>
  <w:num w:numId="6">
    <w:abstractNumId w:val="7"/>
  </w:num>
  <w:num w:numId="7">
    <w:abstractNumId w:val="0"/>
  </w:num>
  <w:num w:numId="8">
    <w:abstractNumId w:val="9"/>
  </w:num>
  <w:num w:numId="9">
    <w:abstractNumId w:val="13"/>
  </w:num>
  <w:num w:numId="10">
    <w:abstractNumId w:val="5"/>
  </w:num>
  <w:num w:numId="11">
    <w:abstractNumId w:val="17"/>
  </w:num>
  <w:num w:numId="12">
    <w:abstractNumId w:val="11"/>
  </w:num>
  <w:num w:numId="13">
    <w:abstractNumId w:val="3"/>
  </w:num>
  <w:num w:numId="14">
    <w:abstractNumId w:val="15"/>
  </w:num>
  <w:num w:numId="15">
    <w:abstractNumId w:val="14"/>
  </w:num>
  <w:num w:numId="16">
    <w:abstractNumId w:val="16"/>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07"/>
    <w:rsid w:val="00001DC2"/>
    <w:rsid w:val="0002682F"/>
    <w:rsid w:val="00076284"/>
    <w:rsid w:val="002035EF"/>
    <w:rsid w:val="002131D6"/>
    <w:rsid w:val="003E02C0"/>
    <w:rsid w:val="00426009"/>
    <w:rsid w:val="004C6265"/>
    <w:rsid w:val="005C145C"/>
    <w:rsid w:val="00685912"/>
    <w:rsid w:val="007F052F"/>
    <w:rsid w:val="00831FAB"/>
    <w:rsid w:val="008D160A"/>
    <w:rsid w:val="00953A07"/>
    <w:rsid w:val="0095757D"/>
    <w:rsid w:val="009C061B"/>
    <w:rsid w:val="009D64E0"/>
    <w:rsid w:val="00A30D38"/>
    <w:rsid w:val="00D2268E"/>
    <w:rsid w:val="00D40D7B"/>
    <w:rsid w:val="00DD4662"/>
    <w:rsid w:val="00E82B82"/>
    <w:rsid w:val="00EF5185"/>
    <w:rsid w:val="00F309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C145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001DC2"/>
    <w:pPr>
      <w:tabs>
        <w:tab w:val="center" w:pos="4819"/>
        <w:tab w:val="right" w:pos="9638"/>
      </w:tabs>
      <w:spacing w:after="0" w:line="240" w:lineRule="auto"/>
    </w:pPr>
    <w:rPr>
      <w:rFonts w:ascii="Arial" w:eastAsia="Times New Roman" w:hAnsi="Arial" w:cs="Times New Roman"/>
      <w:lang w:eastAsia="fi-FI"/>
    </w:rPr>
  </w:style>
  <w:style w:type="character" w:customStyle="1" w:styleId="YltunnisteChar">
    <w:name w:val="Ylätunniste Char"/>
    <w:basedOn w:val="Kappaleenoletusfontti"/>
    <w:link w:val="Yltunniste"/>
    <w:rsid w:val="00001DC2"/>
    <w:rPr>
      <w:rFonts w:ascii="Arial" w:eastAsia="Times New Roman" w:hAnsi="Arial" w:cs="Times New Roman"/>
      <w:lang w:eastAsia="fi-FI"/>
    </w:rPr>
  </w:style>
  <w:style w:type="paragraph" w:styleId="Alatunniste">
    <w:name w:val="footer"/>
    <w:basedOn w:val="Normaali"/>
    <w:link w:val="AlatunnisteChar"/>
    <w:rsid w:val="00001DC2"/>
    <w:pPr>
      <w:tabs>
        <w:tab w:val="center" w:pos="4819"/>
        <w:tab w:val="right" w:pos="9638"/>
      </w:tabs>
      <w:spacing w:after="0" w:line="240" w:lineRule="auto"/>
    </w:pPr>
    <w:rPr>
      <w:rFonts w:ascii="Arial" w:eastAsia="Times New Roman" w:hAnsi="Arial" w:cs="Times New Roman"/>
      <w:lang w:eastAsia="fi-FI"/>
    </w:rPr>
  </w:style>
  <w:style w:type="character" w:customStyle="1" w:styleId="AlatunnisteChar">
    <w:name w:val="Alatunniste Char"/>
    <w:basedOn w:val="Kappaleenoletusfontti"/>
    <w:link w:val="Alatunniste"/>
    <w:rsid w:val="00001DC2"/>
    <w:rPr>
      <w:rFonts w:ascii="Arial" w:eastAsia="Times New Roman" w:hAnsi="Arial" w:cs="Times New Roman"/>
      <w:lang w:eastAsia="fi-FI"/>
    </w:rPr>
  </w:style>
  <w:style w:type="character" w:styleId="Hyperlinkki">
    <w:name w:val="Hyperlink"/>
    <w:basedOn w:val="Kappaleenoletusfontti"/>
    <w:uiPriority w:val="99"/>
    <w:unhideWhenUsed/>
    <w:rsid w:val="009C061B"/>
    <w:rPr>
      <w:color w:val="0563C1" w:themeColor="hyperlink"/>
      <w:u w:val="single"/>
    </w:rPr>
  </w:style>
  <w:style w:type="paragraph" w:styleId="Luettelokappale">
    <w:name w:val="List Paragraph"/>
    <w:basedOn w:val="Normaali"/>
    <w:uiPriority w:val="34"/>
    <w:qFormat/>
    <w:rsid w:val="00426009"/>
    <w:pPr>
      <w:ind w:left="720"/>
      <w:contextualSpacing/>
    </w:pPr>
  </w:style>
  <w:style w:type="paragraph" w:styleId="Seliteteksti">
    <w:name w:val="Balloon Text"/>
    <w:basedOn w:val="Normaali"/>
    <w:link w:val="SelitetekstiChar"/>
    <w:uiPriority w:val="99"/>
    <w:semiHidden/>
    <w:unhideWhenUsed/>
    <w:rsid w:val="002131D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31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C145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001DC2"/>
    <w:pPr>
      <w:tabs>
        <w:tab w:val="center" w:pos="4819"/>
        <w:tab w:val="right" w:pos="9638"/>
      </w:tabs>
      <w:spacing w:after="0" w:line="240" w:lineRule="auto"/>
    </w:pPr>
    <w:rPr>
      <w:rFonts w:ascii="Arial" w:eastAsia="Times New Roman" w:hAnsi="Arial" w:cs="Times New Roman"/>
      <w:lang w:eastAsia="fi-FI"/>
    </w:rPr>
  </w:style>
  <w:style w:type="character" w:customStyle="1" w:styleId="YltunnisteChar">
    <w:name w:val="Ylätunniste Char"/>
    <w:basedOn w:val="Kappaleenoletusfontti"/>
    <w:link w:val="Yltunniste"/>
    <w:rsid w:val="00001DC2"/>
    <w:rPr>
      <w:rFonts w:ascii="Arial" w:eastAsia="Times New Roman" w:hAnsi="Arial" w:cs="Times New Roman"/>
      <w:lang w:eastAsia="fi-FI"/>
    </w:rPr>
  </w:style>
  <w:style w:type="paragraph" w:styleId="Alatunniste">
    <w:name w:val="footer"/>
    <w:basedOn w:val="Normaali"/>
    <w:link w:val="AlatunnisteChar"/>
    <w:rsid w:val="00001DC2"/>
    <w:pPr>
      <w:tabs>
        <w:tab w:val="center" w:pos="4819"/>
        <w:tab w:val="right" w:pos="9638"/>
      </w:tabs>
      <w:spacing w:after="0" w:line="240" w:lineRule="auto"/>
    </w:pPr>
    <w:rPr>
      <w:rFonts w:ascii="Arial" w:eastAsia="Times New Roman" w:hAnsi="Arial" w:cs="Times New Roman"/>
      <w:lang w:eastAsia="fi-FI"/>
    </w:rPr>
  </w:style>
  <w:style w:type="character" w:customStyle="1" w:styleId="AlatunnisteChar">
    <w:name w:val="Alatunniste Char"/>
    <w:basedOn w:val="Kappaleenoletusfontti"/>
    <w:link w:val="Alatunniste"/>
    <w:rsid w:val="00001DC2"/>
    <w:rPr>
      <w:rFonts w:ascii="Arial" w:eastAsia="Times New Roman" w:hAnsi="Arial" w:cs="Times New Roman"/>
      <w:lang w:eastAsia="fi-FI"/>
    </w:rPr>
  </w:style>
  <w:style w:type="character" w:styleId="Hyperlinkki">
    <w:name w:val="Hyperlink"/>
    <w:basedOn w:val="Kappaleenoletusfontti"/>
    <w:uiPriority w:val="99"/>
    <w:unhideWhenUsed/>
    <w:rsid w:val="009C061B"/>
    <w:rPr>
      <w:color w:val="0563C1" w:themeColor="hyperlink"/>
      <w:u w:val="single"/>
    </w:rPr>
  </w:style>
  <w:style w:type="paragraph" w:styleId="Luettelokappale">
    <w:name w:val="List Paragraph"/>
    <w:basedOn w:val="Normaali"/>
    <w:uiPriority w:val="34"/>
    <w:qFormat/>
    <w:rsid w:val="00426009"/>
    <w:pPr>
      <w:ind w:left="720"/>
      <w:contextualSpacing/>
    </w:pPr>
  </w:style>
  <w:style w:type="paragraph" w:styleId="Seliteteksti">
    <w:name w:val="Balloon Text"/>
    <w:basedOn w:val="Normaali"/>
    <w:link w:val="SelitetekstiChar"/>
    <w:uiPriority w:val="99"/>
    <w:semiHidden/>
    <w:unhideWhenUsed/>
    <w:rsid w:val="002131D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3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5172">
      <w:bodyDiv w:val="1"/>
      <w:marLeft w:val="0"/>
      <w:marRight w:val="0"/>
      <w:marTop w:val="0"/>
      <w:marBottom w:val="0"/>
      <w:divBdr>
        <w:top w:val="none" w:sz="0" w:space="0" w:color="auto"/>
        <w:left w:val="none" w:sz="0" w:space="0" w:color="auto"/>
        <w:bottom w:val="none" w:sz="0" w:space="0" w:color="auto"/>
        <w:right w:val="none" w:sz="0" w:space="0" w:color="auto"/>
      </w:divBdr>
    </w:div>
    <w:div w:id="585110674">
      <w:bodyDiv w:val="1"/>
      <w:marLeft w:val="0"/>
      <w:marRight w:val="0"/>
      <w:marTop w:val="0"/>
      <w:marBottom w:val="0"/>
      <w:divBdr>
        <w:top w:val="none" w:sz="0" w:space="0" w:color="auto"/>
        <w:left w:val="none" w:sz="0" w:space="0" w:color="auto"/>
        <w:bottom w:val="none" w:sz="0" w:space="0" w:color="auto"/>
        <w:right w:val="none" w:sz="0" w:space="0" w:color="auto"/>
      </w:divBdr>
    </w:div>
    <w:div w:id="1432628584">
      <w:bodyDiv w:val="1"/>
      <w:marLeft w:val="0"/>
      <w:marRight w:val="0"/>
      <w:marTop w:val="0"/>
      <w:marBottom w:val="0"/>
      <w:divBdr>
        <w:top w:val="none" w:sz="0" w:space="0" w:color="auto"/>
        <w:left w:val="none" w:sz="0" w:space="0" w:color="auto"/>
        <w:bottom w:val="none" w:sz="0" w:space="0" w:color="auto"/>
        <w:right w:val="none" w:sz="0" w:space="0" w:color="auto"/>
      </w:divBdr>
    </w:div>
    <w:div w:id="15049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6551</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Turkka Sinisalo</dc:creator>
  <cp:lastModifiedBy>Laitinen Veli-Matti</cp:lastModifiedBy>
  <cp:revision>2</cp:revision>
  <cp:lastPrinted>2015-11-24T16:17:00Z</cp:lastPrinted>
  <dcterms:created xsi:type="dcterms:W3CDTF">2015-12-04T11:37:00Z</dcterms:created>
  <dcterms:modified xsi:type="dcterms:W3CDTF">2015-12-04T11:37:00Z</dcterms:modified>
</cp:coreProperties>
</file>