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E3" w:rsidRPr="00FB7AE3" w:rsidRDefault="00FB7AE3" w:rsidP="00FB7AE3">
      <w:pPr>
        <w:pStyle w:val="NormaaliWWW"/>
        <w:spacing w:line="360" w:lineRule="auto"/>
        <w:jc w:val="center"/>
        <w:rPr>
          <w:rFonts w:ascii="Tahoma" w:hAnsi="Tahoma" w:cs="Tahoma"/>
          <w:b/>
          <w:color w:val="000000"/>
          <w:sz w:val="20"/>
          <w:szCs w:val="20"/>
          <w:u w:val="single"/>
        </w:rPr>
      </w:pPr>
      <w:r w:rsidRPr="00FB7AE3">
        <w:rPr>
          <w:rFonts w:ascii="Tahoma" w:hAnsi="Tahoma" w:cs="Tahoma"/>
          <w:b/>
          <w:color w:val="000000"/>
          <w:sz w:val="20"/>
          <w:szCs w:val="20"/>
          <w:u w:val="single"/>
        </w:rPr>
        <w:t>MUHOKSEN KUNNAN NUORISOVALTUUSTON LAUSUNTO NUORISOLAIN UUDISTAMISESTA</w:t>
      </w:r>
    </w:p>
    <w:p w:rsidR="00FB7AE3" w:rsidRDefault="00FB7AE3" w:rsidP="00FB7AE3">
      <w:pPr>
        <w:pStyle w:val="NormaaliWWW"/>
        <w:spacing w:line="360" w:lineRule="auto"/>
        <w:jc w:val="center"/>
        <w:rPr>
          <w:rFonts w:ascii="Tahoma" w:hAnsi="Tahoma" w:cs="Tahoma"/>
          <w:b/>
          <w:color w:val="000000"/>
          <w:sz w:val="20"/>
          <w:szCs w:val="20"/>
        </w:rPr>
      </w:pPr>
    </w:p>
    <w:p w:rsidR="00FB7AE3" w:rsidRP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Tämä lausunto on laadittu yhteistyössä Muhoksen kunnan nuorisovaltuuston ja Muhoksen kunnan nuoriso-ohjaaja Heikki Väkeväisen kanssa. Nuorisovaltuusto haluaa ottaa kantaa seuraaviin nuorisolain pykäliin:</w:t>
      </w:r>
      <w:bookmarkStart w:id="0" w:name="_GoBack"/>
      <w:bookmarkEnd w:id="0"/>
    </w:p>
    <w:p w:rsidR="00FB7AE3" w:rsidRDefault="00FB7AE3" w:rsidP="00FB7AE3">
      <w:pPr>
        <w:pStyle w:val="NormaaliWWW"/>
        <w:spacing w:line="360" w:lineRule="auto"/>
        <w:jc w:val="both"/>
        <w:rPr>
          <w:rFonts w:ascii="Tahoma" w:hAnsi="Tahoma" w:cs="Tahoma"/>
          <w:b/>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3§ Määritelmät 1) nuorilla tarkoitetaan 7-29 -vuotiaita</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 xml:space="preserve">Nuoruuden rajaaminen 7-29 ikävuosiin koettiin liian ”laajaksi haarukaksi”. Keskustelujen perusteella nuoruus alkaa </w:t>
      </w:r>
      <w:proofErr w:type="gramStart"/>
      <w:r>
        <w:rPr>
          <w:rFonts w:ascii="Tahoma" w:hAnsi="Tahoma" w:cs="Tahoma"/>
          <w:color w:val="000000"/>
          <w:sz w:val="20"/>
          <w:szCs w:val="20"/>
        </w:rPr>
        <w:t>11-13</w:t>
      </w:r>
      <w:proofErr w:type="gramEnd"/>
      <w:r>
        <w:rPr>
          <w:rFonts w:ascii="Tahoma" w:hAnsi="Tahoma" w:cs="Tahoma"/>
          <w:color w:val="000000"/>
          <w:sz w:val="20"/>
          <w:szCs w:val="20"/>
        </w:rPr>
        <w:t xml:space="preserve"> ikävuoden aikana ja jatkuu osittain täysi-ikäisyyteen saakka. Alle </w:t>
      </w:r>
      <w:proofErr w:type="gramStart"/>
      <w:r>
        <w:rPr>
          <w:rFonts w:ascii="Tahoma" w:hAnsi="Tahoma" w:cs="Tahoma"/>
          <w:color w:val="000000"/>
          <w:sz w:val="20"/>
          <w:szCs w:val="20"/>
        </w:rPr>
        <w:t>11-13</w:t>
      </w:r>
      <w:proofErr w:type="gramEnd"/>
      <w:r>
        <w:rPr>
          <w:rFonts w:ascii="Tahoma" w:hAnsi="Tahoma" w:cs="Tahoma"/>
          <w:color w:val="000000"/>
          <w:sz w:val="20"/>
          <w:szCs w:val="20"/>
        </w:rPr>
        <w:t xml:space="preserve"> -vuotias henkilö on selkeästi lapsi, ei nuori. Yli 20 vuotiaista tulisi puhua nuorina aikuisina. Kaiken kaikkiaan määritelmä koettiin epämääräiseksi ja liian tulkinnanvaraiseksi. Tähän toivottiin selkeämpää rajausta.</w:t>
      </w:r>
    </w:p>
    <w:p w:rsidR="00FB7AE3" w:rsidRDefault="00FB7AE3" w:rsidP="00FB7AE3">
      <w:pPr>
        <w:pStyle w:val="NormaaliWWW"/>
        <w:spacing w:line="360" w:lineRule="auto"/>
        <w:jc w:val="both"/>
        <w:rPr>
          <w:rFonts w:ascii="Tahoma" w:hAnsi="Tahoma" w:cs="Tahoma"/>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8§ Kunnan vastuu</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On hyvä, että kunnille annetaan mahdollisuuksia pohtia itsenäisesti, miten he järjestävät nuorisotoimintaa kunnassa. Olisi kuitenkin toivottavaa, että laki antaisi jonkin sortin raja-aidat, jonka mukaan toiminta tulisi järjestää. On ensiarvoisen tärkeää, että nuorisotoimintaa järjestävät koulutuksen saaneet kasvatusalan ammattilaiset. Näin kaikki nuoret Helsingistä Ivaloon olisivat samalla viivalla palvelujen laatua mitattaessa.</w:t>
      </w:r>
    </w:p>
    <w:p w:rsidR="00FB7AE3" w:rsidRDefault="00FB7AE3" w:rsidP="00FB7AE3">
      <w:pPr>
        <w:pStyle w:val="NormaaliWWW"/>
        <w:spacing w:line="360" w:lineRule="auto"/>
        <w:jc w:val="both"/>
        <w:rPr>
          <w:rFonts w:ascii="Tahoma" w:hAnsi="Tahoma" w:cs="Tahoma"/>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9§ Monialainen yhteistyö</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Monialainen yhteistyön maininta laissa on tärkeä asia. Laaja ja hyvin toimiva monialainen yhteistyöverkosto tukee lasten ja nuorten kasvua. Hyväksi asiaksi koettiin se, että yhteistyöverkoston kokoonpanon määrittelyvastuu jää kunnalle. Näin otetaan huomioon kuntien koko ja jo olemassa olevat yhteistyöverkostot.</w:t>
      </w:r>
    </w:p>
    <w:p w:rsidR="00FB7AE3" w:rsidRDefault="00FB7AE3" w:rsidP="00FB7AE3">
      <w:pPr>
        <w:pStyle w:val="NormaaliWWW"/>
        <w:spacing w:line="360" w:lineRule="auto"/>
        <w:jc w:val="both"/>
        <w:rPr>
          <w:rFonts w:ascii="Tahoma" w:hAnsi="Tahoma" w:cs="Tahoma"/>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10§ Etsivä nuorisotyö</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Toivottavaa olisi, että laki velvoittaisi kaikkia kuntia järjestämään etsivää nuorisotyötä tavalla tai toisella. On erityisen tärkeää, että laissa painotetaan sitä, että etsivää nuorisotyötä tekevällä henkilöllä tulee olla riittävä koulutus sekä kokemus lasten ja nuorten kanssa työskentelystä.</w:t>
      </w:r>
    </w:p>
    <w:p w:rsidR="00FB7AE3" w:rsidRDefault="00FB7AE3" w:rsidP="00FB7AE3">
      <w:pPr>
        <w:pStyle w:val="NormaaliWWW"/>
        <w:spacing w:line="360" w:lineRule="auto"/>
        <w:jc w:val="both"/>
        <w:rPr>
          <w:rFonts w:ascii="Tahoma" w:hAnsi="Tahoma" w:cs="Tahoma"/>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22§ Nuorten osallistuminen, vaikuttaminen ja kuuleminen</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On tärkeää että lakiehdotus nostaa nuorten vaikuttamisen esille, sillä kaikkien suomalaisten nuorten tulisi päästä osallistumaan heitä koskevaan päätöksen tekoon. Tämä kannustaa kohti aktiivista aikuisuutta. Lakiehdotuksessa tulisi kuitenkin mainita, että vaikuttamiskanavien tulisi olla ”aitoja”, joilla on mahdollisuus oikeasti vaikuttaa nuoria koskevaan päätöksen tekoon, eikä vain vaikutuskanavia vaikutuskanavien vuoksi.</w:t>
      </w:r>
    </w:p>
    <w:p w:rsidR="00FB7AE3" w:rsidRDefault="00FB7AE3" w:rsidP="00FB7AE3">
      <w:pPr>
        <w:pStyle w:val="NormaaliWWW"/>
        <w:spacing w:line="360" w:lineRule="auto"/>
        <w:jc w:val="both"/>
        <w:rPr>
          <w:rFonts w:ascii="Tahoma" w:hAnsi="Tahoma" w:cs="Tahoma"/>
          <w:color w:val="000000"/>
          <w:sz w:val="20"/>
          <w:szCs w:val="20"/>
        </w:rPr>
      </w:pPr>
    </w:p>
    <w:p w:rsidR="00FB7AE3" w:rsidRPr="00FB7AE3" w:rsidRDefault="00FB7AE3" w:rsidP="00FB7AE3">
      <w:pPr>
        <w:pStyle w:val="NormaaliWWW"/>
        <w:spacing w:line="360" w:lineRule="auto"/>
        <w:jc w:val="both"/>
        <w:rPr>
          <w:rFonts w:ascii="Tahoma" w:hAnsi="Tahoma" w:cs="Tahoma"/>
          <w:b/>
          <w:color w:val="000000"/>
          <w:sz w:val="20"/>
          <w:szCs w:val="20"/>
        </w:rPr>
      </w:pPr>
      <w:r w:rsidRPr="00FB7AE3">
        <w:rPr>
          <w:rFonts w:ascii="Tahoma" w:hAnsi="Tahoma" w:cs="Tahoma"/>
          <w:b/>
          <w:color w:val="000000"/>
          <w:sz w:val="20"/>
          <w:szCs w:val="20"/>
        </w:rPr>
        <w:t>Yleistä nuorisolakiehdotuksesta:</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 xml:space="preserve">On hyvä, että nuoria varten on olemassa omaa lainsäädäntöä, jossa huomioidaan heidän ikänsä sekä ne olosuhteet, jossa he kasvavat kohti aikuisuutta. Tärkeää on myös se, että lakia päivitetään säännöllisin väliajoin, myös tulevaisuudessa. 2020 </w:t>
      </w:r>
      <w:proofErr w:type="gramStart"/>
      <w:r>
        <w:rPr>
          <w:rFonts w:ascii="Tahoma" w:hAnsi="Tahoma" w:cs="Tahoma"/>
          <w:color w:val="000000"/>
          <w:sz w:val="20"/>
          <w:szCs w:val="20"/>
        </w:rPr>
        <w:t>–luvun</w:t>
      </w:r>
      <w:proofErr w:type="gramEnd"/>
      <w:r>
        <w:rPr>
          <w:rFonts w:ascii="Tahoma" w:hAnsi="Tahoma" w:cs="Tahoma"/>
          <w:color w:val="000000"/>
          <w:sz w:val="20"/>
          <w:szCs w:val="20"/>
        </w:rPr>
        <w:t xml:space="preserve"> nuoret elävät todennäköisesti jo hiukan erilaisessa maailmassa kuin nuoret nyt. </w:t>
      </w:r>
    </w:p>
    <w:p w:rsidR="00FB7AE3" w:rsidRDefault="00FB7AE3" w:rsidP="00FB7AE3">
      <w:pPr>
        <w:pStyle w:val="NormaaliWWW"/>
        <w:spacing w:line="360" w:lineRule="auto"/>
        <w:jc w:val="both"/>
        <w:rPr>
          <w:rFonts w:ascii="Tahoma" w:hAnsi="Tahoma" w:cs="Tahoma"/>
          <w:color w:val="000000"/>
          <w:sz w:val="20"/>
          <w:szCs w:val="20"/>
        </w:rPr>
      </w:pPr>
    </w:p>
    <w:p w:rsidR="00FB7AE3" w:rsidRDefault="00FB7AE3" w:rsidP="00FB7AE3">
      <w:pPr>
        <w:pStyle w:val="NormaaliWWW"/>
        <w:spacing w:line="360" w:lineRule="auto"/>
        <w:jc w:val="both"/>
        <w:rPr>
          <w:rFonts w:ascii="Tahoma" w:hAnsi="Tahoma" w:cs="Tahoma"/>
          <w:color w:val="000000"/>
          <w:sz w:val="20"/>
          <w:szCs w:val="20"/>
        </w:rPr>
      </w:pPr>
      <w:r>
        <w:rPr>
          <w:rFonts w:ascii="Tahoma" w:hAnsi="Tahoma" w:cs="Tahoma"/>
          <w:color w:val="000000"/>
          <w:sz w:val="20"/>
          <w:szCs w:val="20"/>
        </w:rPr>
        <w:t>Lainsäädännön tavoitteena tulisi olla tukea tätä kasvua ja edistää kaikkien nuorten. Ehdotus uudesta nuorisolaista on osittain selkeä ja helposti ymmärrettävä, mutta osittain melko tulkinnanvarainen ja hankalaselkoinen. Toivoisimme, että lakitekstiä muutettaisiin siihen suuntaan, että kaikkien, erityisesti nuorien, olisi helppo ymmärtää lakitekstiä.</w:t>
      </w:r>
    </w:p>
    <w:p w:rsidR="00B900DA" w:rsidRDefault="00B900DA" w:rsidP="00FB7AE3">
      <w:pPr>
        <w:spacing w:line="360" w:lineRule="auto"/>
        <w:jc w:val="both"/>
      </w:pPr>
    </w:p>
    <w:sectPr w:rsidR="00B900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E3"/>
    <w:rsid w:val="00B900DA"/>
    <w:rsid w:val="00FB7A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B7AE3"/>
    <w:pPr>
      <w:spacing w:after="0"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B7AE3"/>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58834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2723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Väkeväinen</dc:creator>
  <cp:lastModifiedBy>Heikki Väkeväinen</cp:lastModifiedBy>
  <cp:revision>1</cp:revision>
  <dcterms:created xsi:type="dcterms:W3CDTF">2015-11-27T07:02:00Z</dcterms:created>
  <dcterms:modified xsi:type="dcterms:W3CDTF">2015-11-27T07:06:00Z</dcterms:modified>
</cp:coreProperties>
</file>