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D1" w:rsidRPr="00C57010" w:rsidRDefault="00F478D1" w:rsidP="00DC591D">
      <w:pPr>
        <w:pStyle w:val="Eivli"/>
        <w:rPr>
          <w:sz w:val="24"/>
          <w:szCs w:val="24"/>
        </w:rPr>
      </w:pPr>
      <w:r w:rsidRPr="00C57010">
        <w:rPr>
          <w:sz w:val="24"/>
          <w:szCs w:val="24"/>
        </w:rPr>
        <w:t>TA-YHTYMÄ OY</w:t>
      </w:r>
      <w:r w:rsidRPr="00C57010">
        <w:rPr>
          <w:sz w:val="24"/>
          <w:szCs w:val="24"/>
        </w:rPr>
        <w:tab/>
      </w:r>
      <w:r w:rsidRPr="00C57010">
        <w:rPr>
          <w:sz w:val="24"/>
          <w:szCs w:val="24"/>
        </w:rPr>
        <w:tab/>
      </w:r>
      <w:r w:rsidRPr="00C57010">
        <w:rPr>
          <w:sz w:val="24"/>
          <w:szCs w:val="24"/>
        </w:rPr>
        <w:tab/>
        <w:t xml:space="preserve">                </w:t>
      </w:r>
      <w:r w:rsidRPr="00C57010">
        <w:rPr>
          <w:sz w:val="24"/>
          <w:szCs w:val="24"/>
        </w:rPr>
        <w:tab/>
        <w:t xml:space="preserve"> </w:t>
      </w:r>
      <w:r w:rsidR="002B3AA9">
        <w:rPr>
          <w:sz w:val="24"/>
          <w:szCs w:val="24"/>
        </w:rPr>
        <w:t>13</w:t>
      </w:r>
      <w:r>
        <w:rPr>
          <w:sz w:val="24"/>
          <w:szCs w:val="24"/>
        </w:rPr>
        <w:t>.1.2012</w:t>
      </w:r>
    </w:p>
    <w:p w:rsidR="00F478D1" w:rsidRPr="00C57010" w:rsidRDefault="00F478D1" w:rsidP="00DC591D">
      <w:pPr>
        <w:pStyle w:val="Eivli"/>
        <w:rPr>
          <w:sz w:val="24"/>
          <w:szCs w:val="24"/>
        </w:rPr>
      </w:pPr>
    </w:p>
    <w:p w:rsidR="00F478D1" w:rsidRPr="00C57010" w:rsidRDefault="00F478D1" w:rsidP="00DC591D">
      <w:pPr>
        <w:pStyle w:val="Eivli"/>
        <w:rPr>
          <w:sz w:val="24"/>
          <w:szCs w:val="24"/>
        </w:rPr>
      </w:pPr>
      <w:r w:rsidRPr="00C57010">
        <w:rPr>
          <w:sz w:val="24"/>
          <w:szCs w:val="24"/>
        </w:rPr>
        <w:t>Ympäristöministeriö</w:t>
      </w:r>
    </w:p>
    <w:p w:rsidR="00F478D1" w:rsidRDefault="00F478D1" w:rsidP="00DC591D">
      <w:pPr>
        <w:pStyle w:val="Eivli"/>
        <w:rPr>
          <w:sz w:val="24"/>
          <w:szCs w:val="24"/>
        </w:rPr>
      </w:pPr>
      <w:r>
        <w:rPr>
          <w:sz w:val="24"/>
          <w:szCs w:val="24"/>
        </w:rPr>
        <w:t>PL 35</w:t>
      </w:r>
    </w:p>
    <w:p w:rsidR="00F478D1" w:rsidRDefault="00F478D1" w:rsidP="00DC591D">
      <w:pPr>
        <w:pStyle w:val="Eivli"/>
        <w:rPr>
          <w:sz w:val="24"/>
          <w:szCs w:val="24"/>
        </w:rPr>
      </w:pPr>
      <w:r>
        <w:rPr>
          <w:sz w:val="24"/>
          <w:szCs w:val="24"/>
        </w:rPr>
        <w:t>00023 VALTIONEUVOSTO</w:t>
      </w:r>
    </w:p>
    <w:p w:rsidR="00F478D1" w:rsidRDefault="002D638C" w:rsidP="00DC591D">
      <w:pPr>
        <w:pStyle w:val="Eivli"/>
        <w:rPr>
          <w:sz w:val="24"/>
          <w:szCs w:val="24"/>
        </w:rPr>
      </w:pPr>
      <w:hyperlink r:id="rId6" w:history="1">
        <w:r w:rsidR="00F478D1" w:rsidRPr="00285E68">
          <w:rPr>
            <w:rStyle w:val="Hyperlinkki"/>
            <w:sz w:val="24"/>
            <w:szCs w:val="24"/>
          </w:rPr>
          <w:t>kirjaamo.ym@ymparisto.fi</w:t>
        </w:r>
      </w:hyperlink>
    </w:p>
    <w:p w:rsidR="00F478D1" w:rsidRDefault="00F478D1" w:rsidP="00DC591D">
      <w:pPr>
        <w:pStyle w:val="Eivli"/>
        <w:rPr>
          <w:sz w:val="24"/>
          <w:szCs w:val="24"/>
        </w:rPr>
      </w:pPr>
    </w:p>
    <w:p w:rsidR="00F478D1" w:rsidRPr="00C57010" w:rsidRDefault="00F478D1" w:rsidP="00DC591D">
      <w:pPr>
        <w:pStyle w:val="Eivli"/>
        <w:ind w:right="-54"/>
        <w:rPr>
          <w:b/>
          <w:sz w:val="24"/>
          <w:szCs w:val="24"/>
        </w:rPr>
      </w:pPr>
    </w:p>
    <w:p w:rsidR="00F478D1" w:rsidRDefault="00F478D1" w:rsidP="00DC591D">
      <w:pPr>
        <w:pStyle w:val="Eivli"/>
        <w:ind w:right="-54"/>
        <w:rPr>
          <w:b/>
          <w:sz w:val="24"/>
          <w:szCs w:val="24"/>
        </w:rPr>
      </w:pPr>
      <w:r w:rsidRPr="00C57010">
        <w:rPr>
          <w:b/>
          <w:sz w:val="24"/>
          <w:szCs w:val="24"/>
        </w:rPr>
        <w:t xml:space="preserve">LAUSUNTO </w:t>
      </w:r>
      <w:r>
        <w:rPr>
          <w:b/>
          <w:sz w:val="24"/>
          <w:szCs w:val="24"/>
        </w:rPr>
        <w:t>ASUNTOPOLIITTISEN OHJELMAN LUONNOSTELUUN</w:t>
      </w:r>
    </w:p>
    <w:p w:rsidR="00F478D1" w:rsidRPr="00C57010" w:rsidRDefault="00F478D1" w:rsidP="00DC591D">
      <w:pPr>
        <w:pStyle w:val="Eivli"/>
        <w:ind w:right="-54"/>
        <w:rPr>
          <w:sz w:val="24"/>
          <w:szCs w:val="24"/>
        </w:rPr>
      </w:pPr>
    </w:p>
    <w:p w:rsidR="00F478D1" w:rsidRDefault="00F478D1" w:rsidP="00DC591D">
      <w:pPr>
        <w:pStyle w:val="Eivli"/>
        <w:ind w:right="-54"/>
        <w:rPr>
          <w:sz w:val="24"/>
          <w:szCs w:val="24"/>
        </w:rPr>
      </w:pPr>
      <w:r>
        <w:rPr>
          <w:sz w:val="24"/>
          <w:szCs w:val="24"/>
        </w:rPr>
        <w:t>Viitaten lausuntopyyntöönne 16.12.2012 YM022:00/2011</w:t>
      </w:r>
      <w:r w:rsidRPr="00C57010">
        <w:rPr>
          <w:sz w:val="24"/>
          <w:szCs w:val="24"/>
        </w:rPr>
        <w:t xml:space="preserve"> esitämme kohteliaimmin seuraavaa:</w:t>
      </w:r>
    </w:p>
    <w:p w:rsidR="00F478D1" w:rsidRPr="00C57010" w:rsidRDefault="00F478D1" w:rsidP="00DC591D">
      <w:pPr>
        <w:pStyle w:val="Eivli"/>
        <w:ind w:right="-54"/>
        <w:rPr>
          <w:sz w:val="24"/>
          <w:szCs w:val="24"/>
        </w:rPr>
      </w:pPr>
    </w:p>
    <w:p w:rsidR="00F478D1" w:rsidRDefault="00F478D1" w:rsidP="00DC591D">
      <w:pPr>
        <w:pStyle w:val="Eivli"/>
        <w:ind w:right="-57"/>
        <w:rPr>
          <w:sz w:val="24"/>
          <w:szCs w:val="24"/>
        </w:rPr>
      </w:pPr>
      <w:r>
        <w:rPr>
          <w:sz w:val="24"/>
          <w:szCs w:val="24"/>
        </w:rPr>
        <w:t>Kiitämme mahdollisuudesta antaa lausuntomme liittyen asuntopoliittisen ohjelman luonnosteluun. Ohessa kommentoimme tarkemmin eräitä ohjelmatyön kokonaisuuksia:</w:t>
      </w:r>
    </w:p>
    <w:p w:rsidR="00F44BCD" w:rsidRDefault="00F44BCD" w:rsidP="00DC591D">
      <w:pPr>
        <w:pStyle w:val="Eivli"/>
        <w:ind w:right="-57"/>
        <w:rPr>
          <w:sz w:val="24"/>
          <w:szCs w:val="24"/>
        </w:rPr>
      </w:pPr>
    </w:p>
    <w:p w:rsidR="00F478D1" w:rsidRPr="00B80A73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Sosiaalisesti ja alueellisesti tasapainoiset ja vakaat asuntomarkkinat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F478D1" w:rsidRDefault="00F478D1" w:rsidP="000D1718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Sosiaalisesti ja alueellisesti tasapainoisten ja vakaiden asuntomarkkinoiden lähtökohtana on laadukkaiden asuntojen monipuolinen ja riittävä tarjonta. Asuntojen uudistuotannon osalta tämä merkitsee vapaarahoitteisen asuntotuotannon rinnalla riittävää yleishyödyllistä vuokra- ja asumisoikeustuotantoa. </w:t>
      </w:r>
      <w:r w:rsidR="000D1718">
        <w:rPr>
          <w:sz w:val="24"/>
          <w:szCs w:val="24"/>
        </w:rPr>
        <w:t>Rakennuttaville tahoille on myös taattava pitkäjänteisesti riittävät toimintaedellytykset.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F44BCD" w:rsidRDefault="00F478D1" w:rsidP="00F44BCD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>Asunnon tarvitsijoiden on kyettävä valitsemaan kulloiseenkin elämäntilanteeseen parhaiten soveltuva asumismuoto. Yksipuolisen omistus- ja vuokra-asuntotarjonnan rinnalle on edellee</w:t>
      </w:r>
      <w:r w:rsidR="002B3AA9">
        <w:rPr>
          <w:sz w:val="24"/>
          <w:szCs w:val="24"/>
        </w:rPr>
        <w:t>n vahvistettava</w:t>
      </w:r>
      <w:r w:rsidR="00814F43">
        <w:rPr>
          <w:sz w:val="24"/>
          <w:szCs w:val="24"/>
        </w:rPr>
        <w:t xml:space="preserve"> myös muita</w:t>
      </w:r>
      <w:r>
        <w:rPr>
          <w:sz w:val="24"/>
          <w:szCs w:val="24"/>
        </w:rPr>
        <w:t xml:space="preserve"> asumisen vaihtoehtoja, joista kokemuksiemme mukaan erityisesti asumisoikeusasuminen </w:t>
      </w:r>
      <w:r w:rsidR="00F44BCD">
        <w:rPr>
          <w:sz w:val="24"/>
          <w:szCs w:val="24"/>
        </w:rPr>
        <w:t>täydentää hyvin tarjontaa.</w:t>
      </w:r>
    </w:p>
    <w:p w:rsidR="0045046F" w:rsidRDefault="0045046F" w:rsidP="000D1718">
      <w:pPr>
        <w:pStyle w:val="Eivli"/>
        <w:ind w:right="-57"/>
        <w:jc w:val="both"/>
        <w:rPr>
          <w:sz w:val="24"/>
          <w:szCs w:val="24"/>
        </w:rPr>
      </w:pPr>
    </w:p>
    <w:p w:rsidR="00F478D1" w:rsidRDefault="00647D5C" w:rsidP="002C1489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Nykytilanteessa on kiinnitettävä </w:t>
      </w:r>
      <w:r w:rsidR="00F478D1">
        <w:rPr>
          <w:sz w:val="24"/>
          <w:szCs w:val="24"/>
        </w:rPr>
        <w:t>huomiota</w:t>
      </w:r>
      <w:r>
        <w:rPr>
          <w:sz w:val="24"/>
          <w:szCs w:val="24"/>
        </w:rPr>
        <w:t xml:space="preserve"> </w:t>
      </w:r>
      <w:r w:rsidR="00F478D1">
        <w:rPr>
          <w:sz w:val="24"/>
          <w:szCs w:val="24"/>
        </w:rPr>
        <w:t xml:space="preserve">asuntorahoituksen määrälliseen </w:t>
      </w:r>
      <w:r w:rsidR="0034792E">
        <w:rPr>
          <w:sz w:val="24"/>
          <w:szCs w:val="24"/>
        </w:rPr>
        <w:t>saatavuuteen ja hintaan</w:t>
      </w:r>
      <w:r w:rsidR="0045046F">
        <w:rPr>
          <w:sz w:val="24"/>
          <w:szCs w:val="24"/>
        </w:rPr>
        <w:t>. Nämä ovat</w:t>
      </w:r>
      <w:r w:rsidR="00C6731F">
        <w:rPr>
          <w:sz w:val="24"/>
          <w:szCs w:val="24"/>
        </w:rPr>
        <w:t xml:space="preserve"> yhteiskunnan taholta turvattava.</w:t>
      </w:r>
      <w:r w:rsidR="00F478D1">
        <w:rPr>
          <w:sz w:val="24"/>
          <w:szCs w:val="24"/>
        </w:rPr>
        <w:t xml:space="preserve">  </w:t>
      </w:r>
    </w:p>
    <w:p w:rsidR="002C1489" w:rsidRDefault="00F478D1" w:rsidP="0078303D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478D1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Maankäyttö ja kaavoitus</w:t>
      </w:r>
    </w:p>
    <w:p w:rsidR="00F478D1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</w:p>
    <w:p w:rsidR="00F478D1" w:rsidRDefault="00F478D1" w:rsidP="00E12DEA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Kasvukeskuksissa valtion </w:t>
      </w:r>
      <w:r w:rsidR="0034792E">
        <w:rPr>
          <w:sz w:val="24"/>
          <w:szCs w:val="24"/>
        </w:rPr>
        <w:t xml:space="preserve">ja kuntien </w:t>
      </w:r>
      <w:r>
        <w:rPr>
          <w:sz w:val="24"/>
          <w:szCs w:val="24"/>
        </w:rPr>
        <w:t>on varmistettava riittävä laadu</w:t>
      </w:r>
      <w:r w:rsidR="0034792E">
        <w:rPr>
          <w:sz w:val="24"/>
          <w:szCs w:val="24"/>
        </w:rPr>
        <w:t>kkaan ja kohtuuhintaisen tontti</w:t>
      </w:r>
      <w:r>
        <w:rPr>
          <w:sz w:val="24"/>
          <w:szCs w:val="24"/>
        </w:rPr>
        <w:t>maan tarjonta. Asuntotonttien myynti ei sa</w:t>
      </w:r>
      <w:r w:rsidR="00C6731F">
        <w:rPr>
          <w:sz w:val="24"/>
          <w:szCs w:val="24"/>
        </w:rPr>
        <w:t xml:space="preserve">a olla lyhytnäköinen </w:t>
      </w:r>
      <w:r>
        <w:rPr>
          <w:sz w:val="24"/>
          <w:szCs w:val="24"/>
        </w:rPr>
        <w:t>keino hankkia tuloja, koska</w:t>
      </w:r>
      <w:r w:rsidR="00C6731F">
        <w:rPr>
          <w:sz w:val="24"/>
          <w:szCs w:val="24"/>
        </w:rPr>
        <w:t xml:space="preserve"> se </w:t>
      </w:r>
      <w:r>
        <w:rPr>
          <w:sz w:val="24"/>
          <w:szCs w:val="24"/>
        </w:rPr>
        <w:t>aiheutetaan m</w:t>
      </w:r>
      <w:r w:rsidR="00C6731F">
        <w:rPr>
          <w:sz w:val="24"/>
          <w:szCs w:val="24"/>
        </w:rPr>
        <w:t>erkittäviä pitkäaikaisia kansan</w:t>
      </w:r>
      <w:r>
        <w:rPr>
          <w:sz w:val="24"/>
          <w:szCs w:val="24"/>
        </w:rPr>
        <w:t xml:space="preserve">taloudellisia haittavaikutuksia.  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C6731F" w:rsidRDefault="00013E9F" w:rsidP="00C6731F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478D1">
        <w:rPr>
          <w:sz w:val="24"/>
          <w:szCs w:val="24"/>
        </w:rPr>
        <w:t xml:space="preserve">ääkaupunkiseudulla kuntien olisi lisättävä asumiseen tarkoitettujen vuokratonttien tarjontaa merkittävästi. Tällä olisi asunnontarvitsijoille merkittävä asuntojen hankintakustannusta pienentävä vaikutus. </w:t>
      </w:r>
    </w:p>
    <w:p w:rsidR="00C6731F" w:rsidRDefault="00C6731F" w:rsidP="00DC591D">
      <w:pPr>
        <w:pStyle w:val="Eivli"/>
        <w:ind w:left="720" w:right="-57"/>
        <w:rPr>
          <w:sz w:val="24"/>
          <w:szCs w:val="24"/>
        </w:rPr>
      </w:pPr>
    </w:p>
    <w:p w:rsidR="00F478D1" w:rsidRDefault="00F478D1" w:rsidP="0078303D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Kaavoituksessa olisi luovuttava keinotekoisista asuntojen pinta-alaa koskevista säädöksistä ja annettava asuntoja toteuttavien organisaatioiden </w:t>
      </w:r>
      <w:r w:rsidR="005B094D">
        <w:rPr>
          <w:sz w:val="24"/>
          <w:szCs w:val="24"/>
        </w:rPr>
        <w:t xml:space="preserve">tehdä </w:t>
      </w:r>
      <w:r>
        <w:rPr>
          <w:sz w:val="24"/>
          <w:szCs w:val="24"/>
        </w:rPr>
        <w:t>vapaammin markkinatietämykseensä noja</w:t>
      </w:r>
      <w:r w:rsidR="005B094D">
        <w:rPr>
          <w:sz w:val="24"/>
          <w:szCs w:val="24"/>
        </w:rPr>
        <w:t xml:space="preserve">utuen </w:t>
      </w:r>
      <w:r>
        <w:rPr>
          <w:sz w:val="24"/>
          <w:szCs w:val="24"/>
        </w:rPr>
        <w:t xml:space="preserve">päätöksiä. Samaten autopaikkojen määrän kategorinen sitominen asuntojen lukumäärään yms. ei </w:t>
      </w:r>
      <w:r w:rsidR="005B094D">
        <w:rPr>
          <w:sz w:val="24"/>
          <w:szCs w:val="24"/>
        </w:rPr>
        <w:t xml:space="preserve">ole </w:t>
      </w:r>
      <w:r>
        <w:rPr>
          <w:sz w:val="24"/>
          <w:szCs w:val="24"/>
        </w:rPr>
        <w:t xml:space="preserve">mielekästä eikä millään muotoa vastaa tulevaisuuden muuttuvia tarpeita. </w:t>
      </w:r>
      <w:r w:rsidR="0078303D">
        <w:rPr>
          <w:sz w:val="24"/>
          <w:szCs w:val="24"/>
        </w:rPr>
        <w:t>Kohtuuhintaisten asuntojen tuotantoedelly</w:t>
      </w:r>
      <w:r w:rsidR="005B094D">
        <w:rPr>
          <w:sz w:val="24"/>
          <w:szCs w:val="24"/>
        </w:rPr>
        <w:t>tyksenä</w:t>
      </w:r>
      <w:r w:rsidR="0078303D">
        <w:rPr>
          <w:sz w:val="24"/>
          <w:szCs w:val="24"/>
        </w:rPr>
        <w:t xml:space="preserve"> on kustannusvaikutuksiltaan kohtuulliset kaavaratkaisut.</w:t>
      </w:r>
    </w:p>
    <w:p w:rsidR="00F478D1" w:rsidRDefault="00F478D1" w:rsidP="00C6731F">
      <w:pPr>
        <w:pStyle w:val="Eivli"/>
        <w:ind w:right="-57"/>
        <w:rPr>
          <w:sz w:val="24"/>
          <w:szCs w:val="24"/>
          <w:u w:val="single"/>
        </w:rPr>
      </w:pPr>
    </w:p>
    <w:p w:rsidR="00F478D1" w:rsidRPr="00B80A73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Asuntokannan kehittäminen kasvukeskusten ulkopuolella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F478D1" w:rsidRDefault="00F478D1" w:rsidP="00C6731F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>Maan tasapuolinen kehittäminen edellyttää panostuksia myös kasvukeskusten ulko-puolisten alueiden kehittämiseen.  Kasvukeskusten ulkopuolella luontaiset mahdollisuudet mm. biopolttoaineiden hyödyntämiseen ovat kasvukeskuksia otollisemmat. Tietotekniikan ja tietoliikenteen kehittyminen mahdollistaa tulevaisuudessa entistä monipuolisemmin mm. etätyön tekemisen ja uudet kustann</w:t>
      </w:r>
      <w:r w:rsidR="00C6731F">
        <w:rPr>
          <w:sz w:val="24"/>
          <w:szCs w:val="24"/>
        </w:rPr>
        <w:t>ustehokkaat työskentelytavat.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F478D1" w:rsidRPr="00B80A73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Erityisryhmien asunto-olojen parantaminen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C364B3" w:rsidRDefault="00F478D1" w:rsidP="008C28D2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Erityisryhmien asunto-olojen parantamiseen on tehty viime vuosina merkittävästi toimenpiteitä. </w:t>
      </w:r>
      <w:r w:rsidR="00EC14C6">
        <w:rPr>
          <w:sz w:val="24"/>
          <w:szCs w:val="24"/>
        </w:rPr>
        <w:t>Myös i</w:t>
      </w:r>
      <w:r w:rsidR="00C364B3">
        <w:rPr>
          <w:sz w:val="24"/>
          <w:szCs w:val="24"/>
        </w:rPr>
        <w:t>kääntyvän väestön uusia asumis- ja palveluratkaisuja on tuettava edistämällä esimerkiksi senioreille kohdennettua asumisoikeusasumista.</w:t>
      </w:r>
    </w:p>
    <w:p w:rsidR="00C6731F" w:rsidRDefault="00C6731F" w:rsidP="00DC591D">
      <w:pPr>
        <w:pStyle w:val="Eivli"/>
        <w:ind w:left="720" w:right="-57"/>
        <w:rPr>
          <w:sz w:val="24"/>
          <w:szCs w:val="24"/>
        </w:rPr>
      </w:pPr>
    </w:p>
    <w:p w:rsidR="00F478D1" w:rsidRPr="00B80A73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Energiatehokas rakentaminen</w:t>
      </w:r>
    </w:p>
    <w:p w:rsidR="00F478D1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</w:p>
    <w:p w:rsidR="001155E2" w:rsidRDefault="00F478D1" w:rsidP="001155E2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>Energiatehokkaan rakentamisen sijasta olisi puhuttava energiatehokkaasta asumisesta. Teoreettisen pohdiskelun sijaan on keskityttävä käytännön toteutuksiin, joista tietoa ja kokemuksia ammentamalla kehitetään laajasti rakentamisen ja asumisen käytäntöjä.</w:t>
      </w:r>
    </w:p>
    <w:p w:rsidR="00F478D1" w:rsidRDefault="00F478D1" w:rsidP="00E7577C">
      <w:pPr>
        <w:pStyle w:val="Eivli"/>
        <w:ind w:left="720" w:right="-57"/>
        <w:jc w:val="both"/>
        <w:rPr>
          <w:sz w:val="24"/>
          <w:szCs w:val="24"/>
        </w:rPr>
      </w:pPr>
    </w:p>
    <w:p w:rsidR="00F478D1" w:rsidRPr="00B80A73" w:rsidRDefault="00F478D1" w:rsidP="00B80A73">
      <w:pPr>
        <w:pStyle w:val="Eivli"/>
        <w:ind w:left="720" w:right="-57"/>
        <w:rPr>
          <w:sz w:val="24"/>
          <w:szCs w:val="24"/>
          <w:u w:val="single"/>
        </w:rPr>
      </w:pPr>
      <w:r w:rsidRPr="00B80A73">
        <w:rPr>
          <w:sz w:val="24"/>
          <w:szCs w:val="24"/>
          <w:u w:val="single"/>
        </w:rPr>
        <w:t>Rakentamisen laatu</w:t>
      </w:r>
    </w:p>
    <w:p w:rsidR="00F478D1" w:rsidRDefault="00F478D1" w:rsidP="00DC591D">
      <w:pPr>
        <w:pStyle w:val="Eivli"/>
        <w:ind w:left="720" w:right="-57"/>
        <w:rPr>
          <w:sz w:val="24"/>
          <w:szCs w:val="24"/>
        </w:rPr>
      </w:pPr>
    </w:p>
    <w:p w:rsidR="00F478D1" w:rsidRPr="00AC6483" w:rsidRDefault="00F478D1" w:rsidP="00735A7E">
      <w:pPr>
        <w:pStyle w:val="Eivli"/>
        <w:ind w:left="720" w:right="-57"/>
        <w:jc w:val="both"/>
        <w:rPr>
          <w:sz w:val="24"/>
          <w:szCs w:val="24"/>
        </w:rPr>
      </w:pPr>
      <w:r>
        <w:rPr>
          <w:sz w:val="24"/>
          <w:szCs w:val="24"/>
        </w:rPr>
        <w:t>Rakentamisen laadun k</w:t>
      </w:r>
      <w:r w:rsidR="00DD15DF">
        <w:rPr>
          <w:sz w:val="24"/>
          <w:szCs w:val="24"/>
        </w:rPr>
        <w:t xml:space="preserve">ehittäminen on jatkuva prosessi, </w:t>
      </w:r>
      <w:r w:rsidR="001673CF">
        <w:rPr>
          <w:sz w:val="24"/>
          <w:szCs w:val="24"/>
        </w:rPr>
        <w:t>mutta liiallinen normiohjaus laadun kehittämisessä vaikeuttaa parhaiden ratkaisujen kehittämistä ja nostaa turhaan asuntojen kustannuksia.</w:t>
      </w:r>
    </w:p>
    <w:p w:rsidR="001673CF" w:rsidRDefault="001673CF" w:rsidP="00DC591D">
      <w:pPr>
        <w:pStyle w:val="Eivli"/>
        <w:ind w:right="-57"/>
        <w:rPr>
          <w:sz w:val="24"/>
          <w:szCs w:val="24"/>
        </w:rPr>
      </w:pPr>
    </w:p>
    <w:p w:rsidR="008C28D2" w:rsidRPr="001673CF" w:rsidRDefault="008C28D2" w:rsidP="008C28D2">
      <w:pPr>
        <w:pStyle w:val="Eivli"/>
        <w:ind w:left="720" w:right="-57"/>
        <w:rPr>
          <w:sz w:val="24"/>
          <w:szCs w:val="24"/>
          <w:u w:val="single"/>
        </w:rPr>
      </w:pPr>
      <w:r w:rsidRPr="001673CF">
        <w:rPr>
          <w:sz w:val="24"/>
          <w:szCs w:val="24"/>
          <w:u w:val="single"/>
        </w:rPr>
        <w:t>Toimenpide-ehdotukset</w:t>
      </w:r>
    </w:p>
    <w:p w:rsidR="00055D96" w:rsidRDefault="00055D96" w:rsidP="00055D96">
      <w:pPr>
        <w:pStyle w:val="Eivli"/>
        <w:ind w:left="1440" w:right="-57"/>
        <w:rPr>
          <w:sz w:val="24"/>
          <w:szCs w:val="24"/>
        </w:rPr>
      </w:pPr>
    </w:p>
    <w:p w:rsidR="008C28D2" w:rsidRPr="004D1454" w:rsidRDefault="008C28D2" w:rsidP="008C28D2">
      <w:pPr>
        <w:pStyle w:val="Eivli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sz w:val="24"/>
          <w:szCs w:val="24"/>
        </w:rPr>
        <w:t>Asumisoikeuden korkotukilainan omavastuukorko tulisi olla sama kuin korkotukivuokra-asunnoilla.</w:t>
      </w:r>
    </w:p>
    <w:p w:rsidR="008C28D2" w:rsidRDefault="008C28D2" w:rsidP="008C28D2">
      <w:pPr>
        <w:pStyle w:val="Eivli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ARA:n käyttösuunnitelma yhdeksi kokonaisuudeksi korkotukivuokra-asuntojen, asumisoikeusasuntojen ja takausmallin osalta, jolloin joustava kohdentaminen on mahdollista tarpeen mukaan. </w:t>
      </w:r>
    </w:p>
    <w:p w:rsidR="008645C2" w:rsidRDefault="008645C2" w:rsidP="008C28D2">
      <w:pPr>
        <w:pStyle w:val="Eivli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Takausmalli voidaan poistaa ja tähän varatut lainavaltuudet allokoida muuhun tuettuun tuotantoon. </w:t>
      </w:r>
    </w:p>
    <w:p w:rsidR="00F478D1" w:rsidRDefault="008C28D2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Rahoituksen </w:t>
      </w:r>
      <w:r w:rsidR="00055D96">
        <w:rPr>
          <w:sz w:val="24"/>
          <w:szCs w:val="24"/>
        </w:rPr>
        <w:t>riittävyys ja rahoituskustannusten nykytaso on turvattava esim. säilyttämällä</w:t>
      </w:r>
      <w:r>
        <w:rPr>
          <w:sz w:val="24"/>
          <w:szCs w:val="24"/>
        </w:rPr>
        <w:t xml:space="preserve"> Kuntarahoituksen nykyinen asema</w:t>
      </w:r>
      <w:r w:rsidR="00055D96">
        <w:rPr>
          <w:sz w:val="24"/>
          <w:szCs w:val="24"/>
        </w:rPr>
        <w:t>.</w:t>
      </w:r>
    </w:p>
    <w:p w:rsidR="00C364B3" w:rsidRDefault="00055D96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Käynnistysavustus korkotukivuokra-asumiseen ja käynnistysavustus on luettava osaksi omarahoitusosuutta.</w:t>
      </w:r>
    </w:p>
    <w:p w:rsidR="00055D96" w:rsidRDefault="00055D96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Kuntien vuokratonttien saatavuutta on lisättävä.</w:t>
      </w:r>
    </w:p>
    <w:p w:rsidR="00055D96" w:rsidRDefault="00055D96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Omistustontille rakennettavan korkotuetun kohteen omarahoitusosuus on laskettava vuokratontin tasolle (5 %).</w:t>
      </w:r>
    </w:p>
    <w:p w:rsidR="00055D96" w:rsidRDefault="00DE3971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ARA:n hintavalvonta yhdenmukaistettava Helsingin seudulla.</w:t>
      </w:r>
    </w:p>
    <w:p w:rsidR="001155E2" w:rsidRPr="00C364B3" w:rsidRDefault="001155E2" w:rsidP="00DC591D">
      <w:pPr>
        <w:pStyle w:val="Eivli"/>
        <w:numPr>
          <w:ilvl w:val="0"/>
          <w:numId w:val="3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Aiemmin hyväksi havaitut energia-avustukset on palautettava.</w:t>
      </w:r>
    </w:p>
    <w:sectPr w:rsidR="001155E2" w:rsidRPr="00C364B3" w:rsidSect="00740A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7E3"/>
    <w:multiLevelType w:val="hybridMultilevel"/>
    <w:tmpl w:val="B0485E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30389B"/>
    <w:multiLevelType w:val="hybridMultilevel"/>
    <w:tmpl w:val="C442C5EC"/>
    <w:lvl w:ilvl="0" w:tplc="60D2EB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A51EC"/>
    <w:multiLevelType w:val="hybridMultilevel"/>
    <w:tmpl w:val="2DD6EA5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647985"/>
    <w:multiLevelType w:val="hybridMultilevel"/>
    <w:tmpl w:val="241E02C8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C0D20"/>
    <w:rsid w:val="00013E9F"/>
    <w:rsid w:val="00055D96"/>
    <w:rsid w:val="000C5AD0"/>
    <w:rsid w:val="000C72B1"/>
    <w:rsid w:val="000D04B1"/>
    <w:rsid w:val="000D1718"/>
    <w:rsid w:val="000F70A2"/>
    <w:rsid w:val="00113779"/>
    <w:rsid w:val="001155E2"/>
    <w:rsid w:val="001673CF"/>
    <w:rsid w:val="00182E1F"/>
    <w:rsid w:val="001B16F0"/>
    <w:rsid w:val="00232259"/>
    <w:rsid w:val="0025664D"/>
    <w:rsid w:val="00285E68"/>
    <w:rsid w:val="00293B2A"/>
    <w:rsid w:val="002B3AA9"/>
    <w:rsid w:val="002C1489"/>
    <w:rsid w:val="002D638C"/>
    <w:rsid w:val="002E7D7D"/>
    <w:rsid w:val="002F58C1"/>
    <w:rsid w:val="0034792E"/>
    <w:rsid w:val="00386797"/>
    <w:rsid w:val="003A2BE8"/>
    <w:rsid w:val="004443D4"/>
    <w:rsid w:val="0045046F"/>
    <w:rsid w:val="004D1454"/>
    <w:rsid w:val="004E589D"/>
    <w:rsid w:val="00554D79"/>
    <w:rsid w:val="005551FB"/>
    <w:rsid w:val="00557529"/>
    <w:rsid w:val="005B094D"/>
    <w:rsid w:val="005E1CB8"/>
    <w:rsid w:val="00615D58"/>
    <w:rsid w:val="00647D5C"/>
    <w:rsid w:val="0069066B"/>
    <w:rsid w:val="006B6C50"/>
    <w:rsid w:val="007205D8"/>
    <w:rsid w:val="00735A7E"/>
    <w:rsid w:val="00740A92"/>
    <w:rsid w:val="00755459"/>
    <w:rsid w:val="00776C2C"/>
    <w:rsid w:val="0078303D"/>
    <w:rsid w:val="007B067E"/>
    <w:rsid w:val="007C0D20"/>
    <w:rsid w:val="00814F43"/>
    <w:rsid w:val="00851C6C"/>
    <w:rsid w:val="008645C2"/>
    <w:rsid w:val="00865A88"/>
    <w:rsid w:val="008C28D2"/>
    <w:rsid w:val="00A224E8"/>
    <w:rsid w:val="00A51B4B"/>
    <w:rsid w:val="00A557F8"/>
    <w:rsid w:val="00A56913"/>
    <w:rsid w:val="00A67DAA"/>
    <w:rsid w:val="00AB2235"/>
    <w:rsid w:val="00AC1E61"/>
    <w:rsid w:val="00AC6483"/>
    <w:rsid w:val="00AC65C3"/>
    <w:rsid w:val="00B329D0"/>
    <w:rsid w:val="00B52408"/>
    <w:rsid w:val="00B5737C"/>
    <w:rsid w:val="00B60C70"/>
    <w:rsid w:val="00B76375"/>
    <w:rsid w:val="00B80A73"/>
    <w:rsid w:val="00BD25CB"/>
    <w:rsid w:val="00C11A9C"/>
    <w:rsid w:val="00C14D5D"/>
    <w:rsid w:val="00C364B3"/>
    <w:rsid w:val="00C57010"/>
    <w:rsid w:val="00C6731F"/>
    <w:rsid w:val="00CA2274"/>
    <w:rsid w:val="00CD403A"/>
    <w:rsid w:val="00D15545"/>
    <w:rsid w:val="00D162F2"/>
    <w:rsid w:val="00D40A95"/>
    <w:rsid w:val="00DC591D"/>
    <w:rsid w:val="00DD15DF"/>
    <w:rsid w:val="00DE3971"/>
    <w:rsid w:val="00DF5B1A"/>
    <w:rsid w:val="00E12DEA"/>
    <w:rsid w:val="00E7577C"/>
    <w:rsid w:val="00EC14C6"/>
    <w:rsid w:val="00F44BCD"/>
    <w:rsid w:val="00F466CD"/>
    <w:rsid w:val="00F478D1"/>
    <w:rsid w:val="00F60CAB"/>
    <w:rsid w:val="00FD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25CB"/>
    <w:pPr>
      <w:spacing w:after="200" w:line="276" w:lineRule="auto"/>
    </w:pPr>
    <w:rPr>
      <w:rFonts w:ascii="Arial" w:hAnsi="Arial" w:cs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7C0D20"/>
    <w:rPr>
      <w:lang w:eastAsia="en-US"/>
    </w:rPr>
  </w:style>
  <w:style w:type="character" w:styleId="Hyperlinkki">
    <w:name w:val="Hyperlink"/>
    <w:basedOn w:val="Kappaleenoletusfontti"/>
    <w:uiPriority w:val="99"/>
    <w:rsid w:val="007C0D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jaamo.ym@ymparisto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9054-59B9-413E-8306-010A6552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TA-YHTYMÄ OY</vt:lpstr>
    </vt:vector>
  </TitlesOfParts>
  <Company>Ympäristöhallinto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TA-YHTYMÄ OY</dc:title>
  <dc:creator>Jukka Helminen</dc:creator>
  <cp:lastModifiedBy>hakkarainens</cp:lastModifiedBy>
  <cp:revision>2</cp:revision>
  <cp:lastPrinted>2012-01-10T14:32:00Z</cp:lastPrinted>
  <dcterms:created xsi:type="dcterms:W3CDTF">2012-01-13T13:48:00Z</dcterms:created>
  <dcterms:modified xsi:type="dcterms:W3CDTF">2012-01-13T13:48:00Z</dcterms:modified>
</cp:coreProperties>
</file>