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18" w:type="dxa"/>
        <w:tblLayout w:type="fixed"/>
        <w:tblCellMar>
          <w:left w:w="70" w:type="dxa"/>
          <w:right w:w="70" w:type="dxa"/>
        </w:tblCellMar>
        <w:tblLook w:val="0000"/>
      </w:tblPr>
      <w:tblGrid>
        <w:gridCol w:w="6155"/>
        <w:gridCol w:w="3963"/>
      </w:tblGrid>
      <w:tr w:rsidR="00F51527">
        <w:trPr>
          <w:cantSplit/>
        </w:trPr>
        <w:tc>
          <w:tcPr>
            <w:tcW w:w="6155" w:type="dxa"/>
          </w:tcPr>
          <w:p w:rsidR="00F51527" w:rsidRDefault="00F51527" w:rsidP="00EF73DE">
            <w:pPr>
              <w:jc w:val="both"/>
            </w:pPr>
            <w:bookmarkStart w:id="0" w:name="_GoBack"/>
            <w:bookmarkStart w:id="1" w:name="Lähettäjä_FI"/>
            <w:bookmarkEnd w:id="0"/>
            <w:r>
              <w:t>V</w:t>
            </w:r>
            <w:bookmarkEnd w:id="1"/>
            <w:r>
              <w:t>EROHALLINTO</w:t>
            </w:r>
          </w:p>
        </w:tc>
        <w:tc>
          <w:tcPr>
            <w:tcW w:w="3963" w:type="dxa"/>
          </w:tcPr>
          <w:p w:rsidR="00F51527" w:rsidRDefault="00F51527" w:rsidP="00EF73DE">
            <w:pPr>
              <w:pStyle w:val="Header"/>
              <w:tabs>
                <w:tab w:val="clear" w:pos="4819"/>
                <w:tab w:val="clear" w:pos="9638"/>
              </w:tabs>
              <w:spacing w:before="40"/>
              <w:jc w:val="both"/>
              <w:rPr>
                <w:rFonts w:cs="Arial"/>
                <w:b/>
                <w:bCs/>
              </w:rPr>
            </w:pPr>
            <w:r>
              <w:rPr>
                <w:rFonts w:cs="Arial"/>
                <w:b/>
                <w:bCs/>
              </w:rPr>
              <w:t>LAUSUNTO</w:t>
            </w:r>
          </w:p>
        </w:tc>
      </w:tr>
      <w:tr w:rsidR="00F51527">
        <w:tc>
          <w:tcPr>
            <w:tcW w:w="6155" w:type="dxa"/>
          </w:tcPr>
          <w:p w:rsidR="00F51527" w:rsidRDefault="00F51527" w:rsidP="00EF73DE">
            <w:pPr>
              <w:jc w:val="both"/>
              <w:rPr>
                <w:rFonts w:cs="Arial"/>
              </w:rPr>
            </w:pPr>
            <w:bookmarkStart w:id="2" w:name="Lähettäjän_tark_FI"/>
            <w:r>
              <w:rPr>
                <w:rFonts w:cs="Arial"/>
              </w:rPr>
              <w:t>Harmaan talouden selvitysyksikkö</w:t>
            </w:r>
            <w:bookmarkEnd w:id="2"/>
          </w:p>
        </w:tc>
        <w:tc>
          <w:tcPr>
            <w:tcW w:w="3963" w:type="dxa"/>
          </w:tcPr>
          <w:p w:rsidR="00F51527" w:rsidRDefault="00F51527" w:rsidP="00EF73DE">
            <w:pPr>
              <w:pStyle w:val="Header"/>
              <w:tabs>
                <w:tab w:val="clear" w:pos="4819"/>
                <w:tab w:val="clear" w:pos="9638"/>
              </w:tabs>
              <w:jc w:val="both"/>
              <w:rPr>
                <w:rFonts w:cs="Arial"/>
              </w:rPr>
            </w:pPr>
          </w:p>
        </w:tc>
      </w:tr>
      <w:tr w:rsidR="00F51527">
        <w:tc>
          <w:tcPr>
            <w:tcW w:w="6155" w:type="dxa"/>
          </w:tcPr>
          <w:p w:rsidR="00F51527" w:rsidRDefault="00F51527" w:rsidP="00EF73DE">
            <w:pPr>
              <w:jc w:val="both"/>
              <w:rPr>
                <w:rFonts w:cs="Arial"/>
              </w:rPr>
            </w:pPr>
            <w:bookmarkStart w:id="3" w:name="Postiosoite_FI"/>
            <w:r>
              <w:rPr>
                <w:rFonts w:cs="Arial"/>
              </w:rPr>
              <w:t>PL 325</w:t>
            </w:r>
            <w:bookmarkEnd w:id="3"/>
          </w:p>
        </w:tc>
        <w:tc>
          <w:tcPr>
            <w:tcW w:w="3963" w:type="dxa"/>
          </w:tcPr>
          <w:p w:rsidR="00F51527" w:rsidRDefault="00F51527" w:rsidP="00EF73DE">
            <w:pPr>
              <w:jc w:val="both"/>
            </w:pPr>
            <w:r>
              <w:t>5.7.2013</w:t>
            </w:r>
          </w:p>
        </w:tc>
      </w:tr>
      <w:tr w:rsidR="00F51527">
        <w:tc>
          <w:tcPr>
            <w:tcW w:w="6155" w:type="dxa"/>
          </w:tcPr>
          <w:p w:rsidR="00F51527" w:rsidRDefault="00F51527" w:rsidP="00EF73DE">
            <w:pPr>
              <w:jc w:val="both"/>
              <w:rPr>
                <w:rFonts w:cs="Arial"/>
              </w:rPr>
            </w:pPr>
            <w:bookmarkStart w:id="4" w:name="Postinumero_FI"/>
            <w:r>
              <w:rPr>
                <w:rFonts w:cs="Arial"/>
              </w:rPr>
              <w:t>00052</w:t>
            </w:r>
            <w:bookmarkEnd w:id="4"/>
            <w:r>
              <w:rPr>
                <w:rFonts w:cs="Arial"/>
              </w:rPr>
              <w:t xml:space="preserve"> </w:t>
            </w:r>
            <w:bookmarkStart w:id="5" w:name="Postitoimipaikka_FI"/>
            <w:r>
              <w:rPr>
                <w:rFonts w:cs="Arial"/>
              </w:rPr>
              <w:t>VERO</w:t>
            </w:r>
            <w:bookmarkEnd w:id="5"/>
          </w:p>
        </w:tc>
        <w:tc>
          <w:tcPr>
            <w:tcW w:w="3963" w:type="dxa"/>
          </w:tcPr>
          <w:p w:rsidR="00F51527" w:rsidRDefault="00F51527" w:rsidP="00EF73DE">
            <w:pPr>
              <w:jc w:val="both"/>
            </w:pPr>
          </w:p>
          <w:p w:rsidR="00F51527" w:rsidRDefault="00F51527" w:rsidP="00EF73DE">
            <w:pPr>
              <w:jc w:val="both"/>
            </w:pPr>
          </w:p>
        </w:tc>
      </w:tr>
      <w:tr w:rsidR="00F51527">
        <w:tc>
          <w:tcPr>
            <w:tcW w:w="6155" w:type="dxa"/>
          </w:tcPr>
          <w:p w:rsidR="00F51527" w:rsidRDefault="00F51527" w:rsidP="00EF73DE">
            <w:pPr>
              <w:jc w:val="both"/>
              <w:rPr>
                <w:rFonts w:cs="Arial"/>
              </w:rPr>
            </w:pPr>
          </w:p>
        </w:tc>
        <w:tc>
          <w:tcPr>
            <w:tcW w:w="3963" w:type="dxa"/>
          </w:tcPr>
          <w:p w:rsidR="00F51527" w:rsidRDefault="00F51527" w:rsidP="00EF73DE">
            <w:pPr>
              <w:jc w:val="both"/>
            </w:pPr>
          </w:p>
        </w:tc>
      </w:tr>
      <w:tr w:rsidR="00F51527">
        <w:tc>
          <w:tcPr>
            <w:tcW w:w="6155" w:type="dxa"/>
          </w:tcPr>
          <w:p w:rsidR="00F51527" w:rsidRDefault="00F51527" w:rsidP="00EF73DE">
            <w:pPr>
              <w:pStyle w:val="Header"/>
              <w:tabs>
                <w:tab w:val="clear" w:pos="4819"/>
                <w:tab w:val="clear" w:pos="9638"/>
              </w:tabs>
              <w:jc w:val="both"/>
              <w:rPr>
                <w:rFonts w:cs="Arial"/>
              </w:rPr>
            </w:pPr>
          </w:p>
        </w:tc>
        <w:tc>
          <w:tcPr>
            <w:tcW w:w="3963" w:type="dxa"/>
          </w:tcPr>
          <w:p w:rsidR="00F51527" w:rsidRDefault="00F51527" w:rsidP="00EF73DE">
            <w:pPr>
              <w:jc w:val="both"/>
            </w:pPr>
          </w:p>
        </w:tc>
      </w:tr>
      <w:tr w:rsidR="00F51527">
        <w:tc>
          <w:tcPr>
            <w:tcW w:w="6155" w:type="dxa"/>
          </w:tcPr>
          <w:p w:rsidR="00F51527" w:rsidRPr="007267B8" w:rsidRDefault="00F51527" w:rsidP="00EF73DE">
            <w:pPr>
              <w:jc w:val="both"/>
              <w:rPr>
                <w:b/>
                <w:bCs/>
                <w:szCs w:val="22"/>
              </w:rPr>
            </w:pPr>
            <w:r>
              <w:rPr>
                <w:b/>
                <w:bCs/>
                <w:szCs w:val="22"/>
              </w:rPr>
              <w:t>Oikeusministeriölle</w:t>
            </w:r>
          </w:p>
        </w:tc>
        <w:tc>
          <w:tcPr>
            <w:tcW w:w="3963" w:type="dxa"/>
          </w:tcPr>
          <w:p w:rsidR="00F51527" w:rsidRDefault="00F51527" w:rsidP="00EF73DE">
            <w:pPr>
              <w:jc w:val="both"/>
            </w:pPr>
          </w:p>
        </w:tc>
      </w:tr>
      <w:tr w:rsidR="00F51527">
        <w:tc>
          <w:tcPr>
            <w:tcW w:w="6155" w:type="dxa"/>
          </w:tcPr>
          <w:p w:rsidR="00F51527" w:rsidRDefault="00F51527" w:rsidP="00EF73DE">
            <w:pPr>
              <w:pStyle w:val="Header"/>
              <w:tabs>
                <w:tab w:val="clear" w:pos="4819"/>
                <w:tab w:val="clear" w:pos="9638"/>
              </w:tabs>
              <w:jc w:val="both"/>
              <w:rPr>
                <w:rFonts w:cs="Arial"/>
              </w:rPr>
            </w:pPr>
          </w:p>
        </w:tc>
        <w:tc>
          <w:tcPr>
            <w:tcW w:w="3963" w:type="dxa"/>
          </w:tcPr>
          <w:p w:rsidR="00F51527" w:rsidRDefault="00F51527" w:rsidP="00EF73DE">
            <w:pPr>
              <w:pStyle w:val="Header"/>
              <w:tabs>
                <w:tab w:val="clear" w:pos="4819"/>
                <w:tab w:val="clear" w:pos="9638"/>
              </w:tabs>
              <w:jc w:val="both"/>
              <w:rPr>
                <w:rFonts w:cs="Arial"/>
                <w:sz w:val="18"/>
              </w:rPr>
            </w:pPr>
          </w:p>
        </w:tc>
      </w:tr>
      <w:tr w:rsidR="00F51527">
        <w:tc>
          <w:tcPr>
            <w:tcW w:w="6155" w:type="dxa"/>
          </w:tcPr>
          <w:p w:rsidR="00F51527" w:rsidRDefault="00F51527" w:rsidP="00EF73DE">
            <w:pPr>
              <w:pStyle w:val="Header"/>
              <w:tabs>
                <w:tab w:val="clear" w:pos="4819"/>
                <w:tab w:val="clear" w:pos="9638"/>
              </w:tabs>
              <w:jc w:val="both"/>
              <w:rPr>
                <w:rFonts w:cs="Arial"/>
              </w:rPr>
            </w:pPr>
          </w:p>
        </w:tc>
        <w:tc>
          <w:tcPr>
            <w:tcW w:w="3963" w:type="dxa"/>
          </w:tcPr>
          <w:p w:rsidR="00F51527" w:rsidRDefault="00F51527" w:rsidP="00EF73DE">
            <w:pPr>
              <w:pStyle w:val="Header"/>
              <w:tabs>
                <w:tab w:val="clear" w:pos="4819"/>
                <w:tab w:val="clear" w:pos="9638"/>
              </w:tabs>
              <w:jc w:val="both"/>
              <w:rPr>
                <w:rFonts w:cs="Arial"/>
              </w:rPr>
            </w:pPr>
          </w:p>
        </w:tc>
      </w:tr>
      <w:tr w:rsidR="00F51527">
        <w:tc>
          <w:tcPr>
            <w:tcW w:w="6155" w:type="dxa"/>
          </w:tcPr>
          <w:p w:rsidR="00F51527" w:rsidRDefault="00F51527" w:rsidP="00EF73DE">
            <w:pPr>
              <w:pStyle w:val="Header"/>
              <w:tabs>
                <w:tab w:val="clear" w:pos="4819"/>
                <w:tab w:val="clear" w:pos="9638"/>
              </w:tabs>
              <w:jc w:val="both"/>
              <w:rPr>
                <w:rFonts w:cs="Arial"/>
              </w:rPr>
            </w:pPr>
          </w:p>
        </w:tc>
        <w:tc>
          <w:tcPr>
            <w:tcW w:w="3963" w:type="dxa"/>
          </w:tcPr>
          <w:p w:rsidR="00F51527" w:rsidRDefault="00F51527" w:rsidP="00EF73DE">
            <w:pPr>
              <w:pStyle w:val="Header"/>
              <w:tabs>
                <w:tab w:val="clear" w:pos="4819"/>
                <w:tab w:val="clear" w:pos="9638"/>
              </w:tabs>
              <w:jc w:val="both"/>
              <w:rPr>
                <w:rFonts w:cs="Arial"/>
              </w:rPr>
            </w:pPr>
          </w:p>
        </w:tc>
      </w:tr>
    </w:tbl>
    <w:p w:rsidR="00F51527" w:rsidRDefault="00F51527" w:rsidP="00EF73DE">
      <w:pPr>
        <w:pStyle w:val="Header"/>
        <w:jc w:val="both"/>
      </w:pPr>
    </w:p>
    <w:p w:rsidR="00F51527" w:rsidRDefault="00F51527" w:rsidP="00EF73DE">
      <w:pPr>
        <w:jc w:val="both"/>
        <w:rPr>
          <w:b/>
          <w:bCs/>
          <w:szCs w:val="22"/>
        </w:rPr>
      </w:pPr>
      <w:r>
        <w:rPr>
          <w:b/>
        </w:rPr>
        <w:t>Lausunto säätiölainsäädännön uudistamista koskevan Säätiölakityöryhmän mietinnöstä</w:t>
      </w:r>
    </w:p>
    <w:p w:rsidR="00F51527" w:rsidRDefault="00F51527" w:rsidP="00EF73DE">
      <w:pPr>
        <w:jc w:val="both"/>
        <w:rPr>
          <w:b/>
          <w:bCs/>
          <w:szCs w:val="22"/>
        </w:rPr>
      </w:pPr>
      <w:r>
        <w:rPr>
          <w:b/>
          <w:bCs/>
          <w:szCs w:val="22"/>
        </w:rPr>
        <w:tab/>
      </w:r>
    </w:p>
    <w:p w:rsidR="00F51527" w:rsidRDefault="00F51527" w:rsidP="00EF73DE">
      <w:pPr>
        <w:ind w:left="1304"/>
        <w:jc w:val="both"/>
        <w:rPr>
          <w:iCs/>
          <w:szCs w:val="22"/>
        </w:rPr>
      </w:pPr>
    </w:p>
    <w:p w:rsidR="00F51527" w:rsidRPr="00B53243" w:rsidRDefault="00F51527" w:rsidP="00EF73DE">
      <w:pPr>
        <w:jc w:val="both"/>
        <w:rPr>
          <w:b/>
          <w:iCs/>
          <w:szCs w:val="22"/>
        </w:rPr>
      </w:pPr>
      <w:r w:rsidRPr="00B53243">
        <w:rPr>
          <w:b/>
          <w:iCs/>
          <w:szCs w:val="22"/>
        </w:rPr>
        <w:t>Lausuntopyyntö</w:t>
      </w:r>
    </w:p>
    <w:p w:rsidR="00F51527" w:rsidRDefault="00F51527" w:rsidP="00EF73DE">
      <w:pPr>
        <w:ind w:left="1304"/>
        <w:jc w:val="both"/>
        <w:rPr>
          <w:iCs/>
          <w:szCs w:val="22"/>
        </w:rPr>
      </w:pPr>
    </w:p>
    <w:p w:rsidR="00F51527" w:rsidRDefault="00F51527" w:rsidP="00EF73DE">
      <w:pPr>
        <w:ind w:left="1304"/>
        <w:jc w:val="both"/>
        <w:rPr>
          <w:iCs/>
          <w:szCs w:val="22"/>
        </w:rPr>
      </w:pPr>
      <w:r>
        <w:rPr>
          <w:iCs/>
          <w:szCs w:val="22"/>
        </w:rPr>
        <w:t>Oikeusministeriö on pyytänyt Verohallinnon Harmaan talouden selvitysyksiköltä la</w:t>
      </w:r>
      <w:r>
        <w:rPr>
          <w:iCs/>
          <w:szCs w:val="22"/>
        </w:rPr>
        <w:t>u</w:t>
      </w:r>
      <w:r>
        <w:rPr>
          <w:iCs/>
          <w:szCs w:val="22"/>
        </w:rPr>
        <w:t>sumaa säätiölain uudistamista koskevasta Säätiölakityöryhmän mietinnöstä ”Uusi säätiölaki” (Mietintöjä ja lausuntoja 23/2013).</w:t>
      </w:r>
    </w:p>
    <w:p w:rsidR="00F51527" w:rsidRDefault="00F51527" w:rsidP="00EF73DE">
      <w:pPr>
        <w:ind w:left="1304"/>
        <w:jc w:val="both"/>
        <w:rPr>
          <w:iCs/>
          <w:szCs w:val="22"/>
        </w:rPr>
      </w:pPr>
    </w:p>
    <w:p w:rsidR="00F51527" w:rsidRDefault="00F51527" w:rsidP="00EF73DE">
      <w:pPr>
        <w:ind w:left="1304"/>
        <w:jc w:val="both"/>
        <w:rPr>
          <w:iCs/>
          <w:szCs w:val="22"/>
        </w:rPr>
      </w:pPr>
      <w:r>
        <w:rPr>
          <w:iCs/>
          <w:szCs w:val="22"/>
        </w:rPr>
        <w:t>Työryhmän mietinnössä ehdotetaan säädettäväksi uutta säätiölakia vuodelta 1931 peräisin olevan lain tilalle. Ehdotuksen lähtökohtana on, että säätiöiden toimintaa voitaisiin uuden lain avulla tehostaa, joustavoittaa ja paremmin ennakoida. Tarko</w:t>
      </w:r>
      <w:r>
        <w:rPr>
          <w:iCs/>
          <w:szCs w:val="22"/>
        </w:rPr>
        <w:t>i</w:t>
      </w:r>
      <w:r>
        <w:rPr>
          <w:iCs/>
          <w:szCs w:val="22"/>
        </w:rPr>
        <w:t>tuksena on lisäksi poistaa säätiöiden käyttämiseen liittyviä tarpeettomia esteitä. E</w:t>
      </w:r>
      <w:r>
        <w:rPr>
          <w:iCs/>
          <w:szCs w:val="22"/>
        </w:rPr>
        <w:t>h</w:t>
      </w:r>
      <w:r>
        <w:rPr>
          <w:iCs/>
          <w:szCs w:val="22"/>
        </w:rPr>
        <w:t>dotuksen keskeisenä sisältönä on hallinnollisen taakan keventäminen mutta myös säätiötoiminnan läpinäkyvyyden lisääminen. Säätiöiden toiminnan läpinäkyvyyden lisäämisellä on tavoitteena muun muassa helpottaa säätiöiden viranomaisvalvontaa.</w:t>
      </w:r>
    </w:p>
    <w:p w:rsidR="00F51527" w:rsidRDefault="00F51527" w:rsidP="00EF73DE">
      <w:pPr>
        <w:ind w:left="1304"/>
        <w:jc w:val="both"/>
        <w:rPr>
          <w:iCs/>
          <w:szCs w:val="22"/>
        </w:rPr>
      </w:pPr>
    </w:p>
    <w:p w:rsidR="00F51527" w:rsidRPr="00B43BFE" w:rsidRDefault="00F51527" w:rsidP="00EF73DE">
      <w:pPr>
        <w:jc w:val="both"/>
        <w:rPr>
          <w:b/>
          <w:iCs/>
          <w:szCs w:val="22"/>
        </w:rPr>
      </w:pPr>
      <w:r w:rsidRPr="00B43BFE">
        <w:rPr>
          <w:b/>
          <w:iCs/>
          <w:szCs w:val="22"/>
        </w:rPr>
        <w:t>Lausuma</w:t>
      </w:r>
    </w:p>
    <w:p w:rsidR="00F51527" w:rsidRDefault="00F51527" w:rsidP="00EF73DE">
      <w:pPr>
        <w:ind w:left="1304"/>
        <w:jc w:val="both"/>
        <w:rPr>
          <w:iCs/>
          <w:szCs w:val="22"/>
        </w:rPr>
      </w:pPr>
    </w:p>
    <w:p w:rsidR="00F51527" w:rsidRPr="002701F0" w:rsidRDefault="00F51527" w:rsidP="00EF73DE">
      <w:pPr>
        <w:ind w:left="1304"/>
        <w:jc w:val="both"/>
        <w:rPr>
          <w:i/>
          <w:iCs/>
          <w:szCs w:val="22"/>
        </w:rPr>
      </w:pPr>
      <w:r w:rsidRPr="002701F0">
        <w:rPr>
          <w:i/>
          <w:iCs/>
          <w:szCs w:val="22"/>
        </w:rPr>
        <w:t>Selvitysyksikkö lausuu asiasta harmaan talouden torjunnan näkökulmasta seura</w:t>
      </w:r>
      <w:r w:rsidRPr="002701F0">
        <w:rPr>
          <w:i/>
          <w:iCs/>
          <w:szCs w:val="22"/>
        </w:rPr>
        <w:t>a</w:t>
      </w:r>
      <w:r w:rsidRPr="002701F0">
        <w:rPr>
          <w:i/>
          <w:iCs/>
          <w:szCs w:val="22"/>
        </w:rPr>
        <w:t>vaa:</w:t>
      </w:r>
    </w:p>
    <w:p w:rsidR="00F51527" w:rsidRDefault="00F51527" w:rsidP="00EF73DE">
      <w:pPr>
        <w:ind w:left="1304"/>
        <w:jc w:val="both"/>
        <w:rPr>
          <w:iCs/>
          <w:szCs w:val="22"/>
        </w:rPr>
      </w:pPr>
    </w:p>
    <w:p w:rsidR="00F51527" w:rsidRDefault="00F51527" w:rsidP="00EF73DE">
      <w:pPr>
        <w:ind w:left="1304"/>
        <w:jc w:val="both"/>
        <w:rPr>
          <w:iCs/>
          <w:szCs w:val="22"/>
        </w:rPr>
      </w:pPr>
      <w:r>
        <w:rPr>
          <w:iCs/>
          <w:szCs w:val="22"/>
        </w:rPr>
        <w:t>Selvitysyksikkö pitää säätiölain uudistamista tarpeellisena. Mietinnön esitykset sä</w:t>
      </w:r>
      <w:r>
        <w:rPr>
          <w:iCs/>
          <w:szCs w:val="22"/>
        </w:rPr>
        <w:t>ä</w:t>
      </w:r>
      <w:r>
        <w:rPr>
          <w:iCs/>
          <w:szCs w:val="22"/>
        </w:rPr>
        <w:t>tiöiden hallinnollisen taakan keventämisestä ja läpinäkyvyyden lisäämisestä ovat kannatettavia sikäli, kun ne eivät ole omiaan lisäämään harmaan talouden toiminnan riskiä ja sikäli kun ne parantavat viranomaisten mahdollisuutta valvoa säätiöiden toimintaa.</w:t>
      </w:r>
    </w:p>
    <w:p w:rsidR="00F51527" w:rsidRDefault="00F51527" w:rsidP="00EF73DE">
      <w:pPr>
        <w:ind w:left="1304"/>
        <w:jc w:val="both"/>
        <w:rPr>
          <w:iCs/>
          <w:szCs w:val="22"/>
        </w:rPr>
      </w:pPr>
    </w:p>
    <w:p w:rsidR="00F51527" w:rsidRDefault="00F51527" w:rsidP="00EF73DE">
      <w:pPr>
        <w:ind w:left="1304"/>
        <w:jc w:val="both"/>
        <w:rPr>
          <w:iCs/>
          <w:szCs w:val="22"/>
        </w:rPr>
      </w:pPr>
      <w:r>
        <w:rPr>
          <w:iCs/>
          <w:szCs w:val="22"/>
        </w:rPr>
        <w:t xml:space="preserve">Nykyinen lainsäädäntö ei anna riittäviä työkaluja säätiöiden </w:t>
      </w:r>
      <w:r w:rsidRPr="00AE7934">
        <w:rPr>
          <w:iCs/>
          <w:szCs w:val="22"/>
        </w:rPr>
        <w:t>valvonta</w:t>
      </w:r>
      <w:r>
        <w:rPr>
          <w:iCs/>
          <w:szCs w:val="22"/>
        </w:rPr>
        <w:t>an,</w:t>
      </w:r>
      <w:r w:rsidRPr="00AE7934">
        <w:rPr>
          <w:iCs/>
          <w:szCs w:val="22"/>
        </w:rPr>
        <w:t xml:space="preserve"> eivätkä säännökset vastaa </w:t>
      </w:r>
      <w:r>
        <w:rPr>
          <w:iCs/>
          <w:szCs w:val="22"/>
        </w:rPr>
        <w:t>harmaan talouden torjunnan tarpeita nykyi</w:t>
      </w:r>
      <w:r w:rsidRPr="00AE7934">
        <w:rPr>
          <w:iCs/>
          <w:szCs w:val="22"/>
        </w:rPr>
        <w:t>sessä toimintaymp</w:t>
      </w:r>
      <w:r w:rsidRPr="00AE7934">
        <w:rPr>
          <w:iCs/>
          <w:szCs w:val="22"/>
        </w:rPr>
        <w:t>ä</w:t>
      </w:r>
      <w:r w:rsidRPr="00AE7934">
        <w:rPr>
          <w:iCs/>
          <w:szCs w:val="22"/>
        </w:rPr>
        <w:t xml:space="preserve">ristössä. </w:t>
      </w:r>
      <w:r>
        <w:rPr>
          <w:iCs/>
          <w:szCs w:val="22"/>
        </w:rPr>
        <w:t>Taloudellisen toiminnan</w:t>
      </w:r>
      <w:r w:rsidRPr="00AE7934">
        <w:rPr>
          <w:iCs/>
          <w:szCs w:val="22"/>
        </w:rPr>
        <w:t xml:space="preserve"> </w:t>
      </w:r>
      <w:r>
        <w:rPr>
          <w:iCs/>
          <w:szCs w:val="22"/>
        </w:rPr>
        <w:t>kansainvälisty</w:t>
      </w:r>
      <w:r w:rsidRPr="00AE7934">
        <w:rPr>
          <w:iCs/>
          <w:szCs w:val="22"/>
        </w:rPr>
        <w:t xml:space="preserve">minen </w:t>
      </w:r>
      <w:r>
        <w:rPr>
          <w:iCs/>
          <w:szCs w:val="22"/>
        </w:rPr>
        <w:t>tarjoaa</w:t>
      </w:r>
      <w:r w:rsidRPr="00AE7934">
        <w:rPr>
          <w:iCs/>
          <w:szCs w:val="22"/>
        </w:rPr>
        <w:t xml:space="preserve"> uusia mahdollisuuksia </w:t>
      </w:r>
      <w:r>
        <w:rPr>
          <w:iCs/>
          <w:szCs w:val="22"/>
        </w:rPr>
        <w:t xml:space="preserve">myös harmaaseen talouteen ja jopa </w:t>
      </w:r>
      <w:r w:rsidRPr="00AE7934">
        <w:rPr>
          <w:iCs/>
          <w:szCs w:val="22"/>
        </w:rPr>
        <w:t xml:space="preserve">rikolliseen toimintaan. </w:t>
      </w:r>
      <w:r>
        <w:rPr>
          <w:iCs/>
          <w:szCs w:val="22"/>
        </w:rPr>
        <w:t>Säätiömuodossa toim</w:t>
      </w:r>
      <w:r>
        <w:rPr>
          <w:iCs/>
          <w:szCs w:val="22"/>
        </w:rPr>
        <w:t>i</w:t>
      </w:r>
      <w:r>
        <w:rPr>
          <w:iCs/>
          <w:szCs w:val="22"/>
        </w:rPr>
        <w:t>minen</w:t>
      </w:r>
      <w:r w:rsidRPr="00AE7934">
        <w:rPr>
          <w:iCs/>
          <w:szCs w:val="22"/>
        </w:rPr>
        <w:t xml:space="preserve"> tarjoa</w:t>
      </w:r>
      <w:r>
        <w:rPr>
          <w:iCs/>
          <w:szCs w:val="22"/>
        </w:rPr>
        <w:t>a</w:t>
      </w:r>
      <w:r w:rsidRPr="00AE7934">
        <w:rPr>
          <w:iCs/>
          <w:szCs w:val="22"/>
        </w:rPr>
        <w:t xml:space="preserve"> monia mahdollisuuksia taloudellisille väärinkäytöksille. Säätiöt halli</w:t>
      </w:r>
      <w:r w:rsidRPr="00AE7934">
        <w:rPr>
          <w:iCs/>
          <w:szCs w:val="22"/>
        </w:rPr>
        <w:t>n</w:t>
      </w:r>
      <w:r w:rsidRPr="00AE7934">
        <w:rPr>
          <w:iCs/>
          <w:szCs w:val="22"/>
        </w:rPr>
        <w:t>noivat merkittäviä omai</w:t>
      </w:r>
      <w:r>
        <w:rPr>
          <w:iCs/>
          <w:szCs w:val="22"/>
        </w:rPr>
        <w:t>suus</w:t>
      </w:r>
      <w:r w:rsidRPr="00AE7934">
        <w:rPr>
          <w:iCs/>
          <w:szCs w:val="22"/>
        </w:rPr>
        <w:t>massoja ja harjoittavat sijoitustoimintaa. Monilla säätiöi</w:t>
      </w:r>
      <w:r w:rsidRPr="00AE7934">
        <w:rPr>
          <w:iCs/>
          <w:szCs w:val="22"/>
        </w:rPr>
        <w:t>l</w:t>
      </w:r>
      <w:r w:rsidRPr="00AE7934">
        <w:rPr>
          <w:iCs/>
          <w:szCs w:val="22"/>
        </w:rPr>
        <w:t xml:space="preserve">lä on </w:t>
      </w:r>
      <w:r>
        <w:rPr>
          <w:iCs/>
          <w:szCs w:val="22"/>
        </w:rPr>
        <w:t xml:space="preserve">myös </w:t>
      </w:r>
      <w:r w:rsidRPr="00AE7934">
        <w:rPr>
          <w:iCs/>
          <w:szCs w:val="22"/>
        </w:rPr>
        <w:t>liike</w:t>
      </w:r>
      <w:r>
        <w:rPr>
          <w:iCs/>
          <w:szCs w:val="22"/>
        </w:rPr>
        <w:t>toiminnan kaltaista toimintaa tai ne hallinnoivat</w:t>
      </w:r>
      <w:r w:rsidRPr="00AE7934">
        <w:rPr>
          <w:iCs/>
          <w:szCs w:val="22"/>
        </w:rPr>
        <w:t xml:space="preserve"> yritystoimintaa sä</w:t>
      </w:r>
      <w:r w:rsidRPr="00AE7934">
        <w:rPr>
          <w:iCs/>
          <w:szCs w:val="22"/>
        </w:rPr>
        <w:t>ä</w:t>
      </w:r>
      <w:r w:rsidRPr="00AE7934">
        <w:rPr>
          <w:iCs/>
          <w:szCs w:val="22"/>
        </w:rPr>
        <w:t>tiöomistuksen kautta.</w:t>
      </w:r>
      <w:r>
        <w:rPr>
          <w:iCs/>
          <w:szCs w:val="22"/>
        </w:rPr>
        <w:t xml:space="preserve"> Säätiöiden liiketoiminnan kaltainen toiminta saattaa jäädä v</w:t>
      </w:r>
      <w:r>
        <w:rPr>
          <w:iCs/>
          <w:szCs w:val="22"/>
        </w:rPr>
        <w:t>e</w:t>
      </w:r>
      <w:r>
        <w:rPr>
          <w:iCs/>
          <w:szCs w:val="22"/>
        </w:rPr>
        <w:t xml:space="preserve">rovalvonnan ulkopuolelle ja aiheuttaa veronmenetyksiä. Lisäksi riskinä on myös, että </w:t>
      </w:r>
      <w:r w:rsidRPr="00AE7934">
        <w:rPr>
          <w:iCs/>
          <w:szCs w:val="22"/>
        </w:rPr>
        <w:t>säätiössä toimivat ohjaa</w:t>
      </w:r>
      <w:r>
        <w:rPr>
          <w:iCs/>
          <w:szCs w:val="22"/>
        </w:rPr>
        <w:t xml:space="preserve">vat säätiön </w:t>
      </w:r>
      <w:r w:rsidRPr="00AE7934">
        <w:rPr>
          <w:iCs/>
          <w:szCs w:val="22"/>
        </w:rPr>
        <w:t>pääomia eri tavoin henkilökoh</w:t>
      </w:r>
      <w:r>
        <w:rPr>
          <w:iCs/>
          <w:szCs w:val="22"/>
        </w:rPr>
        <w:t xml:space="preserve">taisiin, säätiölain vastaisiin </w:t>
      </w:r>
      <w:r w:rsidRPr="00AE7934">
        <w:rPr>
          <w:iCs/>
          <w:szCs w:val="22"/>
        </w:rPr>
        <w:t>tarkoituksiin</w:t>
      </w:r>
      <w:r>
        <w:rPr>
          <w:iCs/>
          <w:szCs w:val="22"/>
        </w:rPr>
        <w:t>sa</w:t>
      </w:r>
      <w:r w:rsidRPr="00AE7934">
        <w:rPr>
          <w:iCs/>
          <w:szCs w:val="22"/>
        </w:rPr>
        <w:t xml:space="preserve">. </w:t>
      </w:r>
      <w:r>
        <w:rPr>
          <w:iCs/>
          <w:szCs w:val="22"/>
        </w:rPr>
        <w:t>Säätiön tarkoituksen vastainen ja verovalvonnan ulkopu</w:t>
      </w:r>
      <w:r>
        <w:rPr>
          <w:iCs/>
          <w:szCs w:val="22"/>
        </w:rPr>
        <w:t>o</w:t>
      </w:r>
      <w:r>
        <w:rPr>
          <w:iCs/>
          <w:szCs w:val="22"/>
        </w:rPr>
        <w:t>lella tapahtuva liiketoiminta</w:t>
      </w:r>
      <w:r w:rsidRPr="00AE7934">
        <w:rPr>
          <w:iCs/>
          <w:szCs w:val="22"/>
        </w:rPr>
        <w:t xml:space="preserve"> saattaa </w:t>
      </w:r>
      <w:r>
        <w:rPr>
          <w:iCs/>
          <w:szCs w:val="22"/>
        </w:rPr>
        <w:t xml:space="preserve">aiheuttaa </w:t>
      </w:r>
      <w:r w:rsidRPr="00AE7934">
        <w:rPr>
          <w:iCs/>
          <w:szCs w:val="22"/>
        </w:rPr>
        <w:t>vaa</w:t>
      </w:r>
      <w:r>
        <w:rPr>
          <w:iCs/>
          <w:szCs w:val="22"/>
        </w:rPr>
        <w:t>raa myös kilpailuneutraalisuudelle</w:t>
      </w:r>
      <w:r w:rsidRPr="00AE7934">
        <w:rPr>
          <w:iCs/>
          <w:szCs w:val="22"/>
        </w:rPr>
        <w:t>.</w:t>
      </w:r>
    </w:p>
    <w:p w:rsidR="00F51527" w:rsidRDefault="00F51527" w:rsidP="00EF73DE">
      <w:pPr>
        <w:ind w:left="1304"/>
        <w:jc w:val="both"/>
        <w:rPr>
          <w:iCs/>
          <w:szCs w:val="22"/>
        </w:rPr>
      </w:pPr>
    </w:p>
    <w:p w:rsidR="00F51527" w:rsidRDefault="00F51527" w:rsidP="00EF73DE">
      <w:pPr>
        <w:ind w:left="1304"/>
        <w:jc w:val="both"/>
        <w:rPr>
          <w:iCs/>
          <w:szCs w:val="22"/>
        </w:rPr>
      </w:pPr>
      <w:r>
        <w:rPr>
          <w:iCs/>
          <w:szCs w:val="22"/>
        </w:rPr>
        <w:t>V</w:t>
      </w:r>
      <w:r w:rsidRPr="00AE7934">
        <w:rPr>
          <w:iCs/>
          <w:szCs w:val="22"/>
        </w:rPr>
        <w:t xml:space="preserve">alvontaan jäävien aukkojen vuoksi </w:t>
      </w:r>
      <w:r>
        <w:rPr>
          <w:iCs/>
          <w:szCs w:val="22"/>
        </w:rPr>
        <w:t>s</w:t>
      </w:r>
      <w:r w:rsidRPr="00AE7934">
        <w:rPr>
          <w:iCs/>
          <w:szCs w:val="22"/>
        </w:rPr>
        <w:t xml:space="preserve">äätiöitä </w:t>
      </w:r>
      <w:r>
        <w:rPr>
          <w:iCs/>
          <w:szCs w:val="22"/>
        </w:rPr>
        <w:t>ja niiden hallinnoimia varoja on ma</w:t>
      </w:r>
      <w:r>
        <w:rPr>
          <w:iCs/>
          <w:szCs w:val="22"/>
        </w:rPr>
        <w:t>h</w:t>
      </w:r>
      <w:r>
        <w:rPr>
          <w:iCs/>
          <w:szCs w:val="22"/>
        </w:rPr>
        <w:t xml:space="preserve">dollista </w:t>
      </w:r>
      <w:r w:rsidRPr="00AE7934">
        <w:rPr>
          <w:iCs/>
          <w:szCs w:val="22"/>
        </w:rPr>
        <w:t xml:space="preserve">käyttää säätiön tarkoituksen vastaisesti sekä yhteiskuntaa vahingoittavaan toimintaan. </w:t>
      </w:r>
      <w:r>
        <w:rPr>
          <w:iCs/>
          <w:szCs w:val="22"/>
        </w:rPr>
        <w:t xml:space="preserve">Säätiöiden valvomiseksi ja niissä mahdollisesti tapahtuvien </w:t>
      </w:r>
      <w:r w:rsidRPr="00AE7934">
        <w:rPr>
          <w:iCs/>
          <w:szCs w:val="22"/>
        </w:rPr>
        <w:t>väärinkä</w:t>
      </w:r>
      <w:r w:rsidRPr="00AE7934">
        <w:rPr>
          <w:iCs/>
          <w:szCs w:val="22"/>
        </w:rPr>
        <w:t>y</w:t>
      </w:r>
      <w:r w:rsidRPr="00AE7934">
        <w:rPr>
          <w:iCs/>
          <w:szCs w:val="22"/>
        </w:rPr>
        <w:t>tösten paljas</w:t>
      </w:r>
      <w:r>
        <w:rPr>
          <w:iCs/>
          <w:szCs w:val="22"/>
        </w:rPr>
        <w:t>tamiseksi tarvitaan näin ollen riittävän tehokkaita valvontakeinoja</w:t>
      </w:r>
      <w:r w:rsidRPr="00AE7934">
        <w:rPr>
          <w:iCs/>
          <w:szCs w:val="22"/>
        </w:rPr>
        <w:t xml:space="preserve">. </w:t>
      </w:r>
    </w:p>
    <w:p w:rsidR="00F51527" w:rsidRDefault="00F51527" w:rsidP="00EF73DE">
      <w:pPr>
        <w:ind w:left="1304"/>
        <w:jc w:val="both"/>
        <w:rPr>
          <w:iCs/>
          <w:szCs w:val="22"/>
        </w:rPr>
      </w:pPr>
    </w:p>
    <w:p w:rsidR="00F51527" w:rsidRDefault="00F51527" w:rsidP="00EF73DE">
      <w:pPr>
        <w:ind w:left="1304"/>
        <w:jc w:val="both"/>
        <w:rPr>
          <w:i/>
          <w:iCs/>
          <w:szCs w:val="22"/>
        </w:rPr>
      </w:pPr>
    </w:p>
    <w:p w:rsidR="00F51527" w:rsidRPr="00624DAE" w:rsidRDefault="00F51527" w:rsidP="00EF73DE">
      <w:pPr>
        <w:ind w:left="1304"/>
        <w:jc w:val="both"/>
        <w:rPr>
          <w:i/>
          <w:iCs/>
          <w:szCs w:val="22"/>
        </w:rPr>
      </w:pPr>
      <w:r w:rsidRPr="00624DAE">
        <w:rPr>
          <w:i/>
          <w:iCs/>
          <w:szCs w:val="22"/>
        </w:rPr>
        <w:t>Valvonnan tehostaminen</w:t>
      </w:r>
    </w:p>
    <w:p w:rsidR="00F51527" w:rsidRDefault="00F51527" w:rsidP="00EF73DE">
      <w:pPr>
        <w:ind w:left="1304"/>
        <w:jc w:val="both"/>
        <w:rPr>
          <w:iCs/>
          <w:szCs w:val="22"/>
        </w:rPr>
      </w:pPr>
    </w:p>
    <w:p w:rsidR="00F51527" w:rsidRDefault="00F51527" w:rsidP="00EF73DE">
      <w:pPr>
        <w:ind w:left="1304"/>
        <w:jc w:val="both"/>
        <w:rPr>
          <w:iCs/>
          <w:szCs w:val="22"/>
        </w:rPr>
      </w:pPr>
      <w:r>
        <w:rPr>
          <w:iCs/>
          <w:szCs w:val="22"/>
        </w:rPr>
        <w:t>Selvitysyksikkö katsoo, että säätiöitä valvovalla viranomaisella tulisi myös olla riitt</w:t>
      </w:r>
      <w:r>
        <w:rPr>
          <w:iCs/>
          <w:szCs w:val="22"/>
        </w:rPr>
        <w:t>ä</w:t>
      </w:r>
      <w:r>
        <w:rPr>
          <w:iCs/>
          <w:szCs w:val="22"/>
        </w:rPr>
        <w:t>vät mahdollisuudet valvoa säätiöiden toimintaa. Riittävät mahdollisuudet valvontaan luodaan toisaalta rakenteellisesti, säätämällä viranomaisen valvontatehtävästä riitt</w:t>
      </w:r>
      <w:r>
        <w:rPr>
          <w:iCs/>
          <w:szCs w:val="22"/>
        </w:rPr>
        <w:t>ä</w:t>
      </w:r>
      <w:r>
        <w:rPr>
          <w:iCs/>
          <w:szCs w:val="22"/>
        </w:rPr>
        <w:t>vän laajasti sekä säätämällä viranomaiselle valvontaa varten riittävän laajat tiedo</w:t>
      </w:r>
      <w:r>
        <w:rPr>
          <w:iCs/>
          <w:szCs w:val="22"/>
        </w:rPr>
        <w:t>n</w:t>
      </w:r>
      <w:r>
        <w:rPr>
          <w:iCs/>
          <w:szCs w:val="22"/>
        </w:rPr>
        <w:t>saantioikeudet sekä valvottavilta kohteilta että muilta viranomaisilta ja toisaalta t</w:t>
      </w:r>
      <w:r>
        <w:rPr>
          <w:iCs/>
          <w:szCs w:val="22"/>
        </w:rPr>
        <w:t>a</w:t>
      </w:r>
      <w:r>
        <w:rPr>
          <w:iCs/>
          <w:szCs w:val="22"/>
        </w:rPr>
        <w:t>kaamalla viranomaiselle valvontaa varten riittävät resurssit.</w:t>
      </w:r>
    </w:p>
    <w:p w:rsidR="00F51527" w:rsidRDefault="00F51527" w:rsidP="00EF73DE">
      <w:pPr>
        <w:ind w:left="1304"/>
        <w:jc w:val="both"/>
        <w:rPr>
          <w:iCs/>
          <w:szCs w:val="22"/>
        </w:rPr>
      </w:pPr>
    </w:p>
    <w:p w:rsidR="00F51527" w:rsidRDefault="00F51527" w:rsidP="00EF73DE">
      <w:pPr>
        <w:ind w:left="1304"/>
        <w:jc w:val="both"/>
        <w:rPr>
          <w:iCs/>
          <w:szCs w:val="22"/>
        </w:rPr>
      </w:pPr>
      <w:r>
        <w:rPr>
          <w:iCs/>
          <w:szCs w:val="22"/>
        </w:rPr>
        <w:t>Selvitysyksikkö katsoo, että erityisesti muiden viranomaisten hallussa olevien tiet</w:t>
      </w:r>
      <w:r>
        <w:rPr>
          <w:iCs/>
          <w:szCs w:val="22"/>
        </w:rPr>
        <w:t>o</w:t>
      </w:r>
      <w:r>
        <w:rPr>
          <w:iCs/>
          <w:szCs w:val="22"/>
        </w:rPr>
        <w:t>jen käytöllä säätiövalvonnassa voidaan saavuttaa merkittävää tehostamista lisä</w:t>
      </w:r>
      <w:r>
        <w:rPr>
          <w:iCs/>
          <w:szCs w:val="22"/>
        </w:rPr>
        <w:t>ä</w:t>
      </w:r>
      <w:r>
        <w:rPr>
          <w:iCs/>
          <w:szCs w:val="22"/>
        </w:rPr>
        <w:t>mättä kuitenkaan säätiöiden hallinnollista taakkaa.</w:t>
      </w:r>
    </w:p>
    <w:p w:rsidR="00F51527" w:rsidRPr="00CB2D98" w:rsidRDefault="00F51527" w:rsidP="00EF73DE">
      <w:pPr>
        <w:jc w:val="both"/>
      </w:pPr>
      <w:r>
        <w:tab/>
      </w:r>
      <w:r w:rsidRPr="00CB2D98">
        <w:tab/>
      </w:r>
    </w:p>
    <w:p w:rsidR="00F51527" w:rsidRDefault="00F51527" w:rsidP="00EF73DE">
      <w:pPr>
        <w:ind w:left="1276"/>
        <w:jc w:val="both"/>
        <w:rPr>
          <w:i/>
        </w:rPr>
      </w:pPr>
    </w:p>
    <w:p w:rsidR="00F51527" w:rsidRDefault="00F51527" w:rsidP="00EF73DE">
      <w:pPr>
        <w:ind w:left="1276"/>
        <w:jc w:val="both"/>
        <w:rPr>
          <w:i/>
        </w:rPr>
      </w:pPr>
      <w:r>
        <w:rPr>
          <w:i/>
        </w:rPr>
        <w:t>Valvontaa koskevat säännökset</w:t>
      </w:r>
    </w:p>
    <w:p w:rsidR="00F51527" w:rsidRDefault="00F51527" w:rsidP="00EF73DE">
      <w:pPr>
        <w:ind w:left="1276"/>
        <w:jc w:val="both"/>
        <w:rPr>
          <w:i/>
        </w:rPr>
      </w:pPr>
    </w:p>
    <w:p w:rsidR="00F51527" w:rsidRDefault="00F51527" w:rsidP="00EF73DE">
      <w:pPr>
        <w:ind w:left="1276"/>
        <w:jc w:val="both"/>
      </w:pPr>
      <w:r>
        <w:t>Työryhmämietinnössä ehdotetaan, että Patentti- ja rekisterihallitus toimisi myös ja</w:t>
      </w:r>
      <w:r>
        <w:t>t</w:t>
      </w:r>
      <w:r>
        <w:t>kossa säätiöitä valvovana viranomaisena. Myöskään valvonnan keinoja ei ehdoteta muutettavaksi, vaan valvonta kohdistettaisiin edelleenkin säätiön rekisteröintiin ja t</w:t>
      </w:r>
      <w:r>
        <w:t>i</w:t>
      </w:r>
      <w:r>
        <w:t>linpäätökseen ja olisi luonteeltaan jälkikäteistä laillisuusvalvontaa. PRH valvoisi lä</w:t>
      </w:r>
      <w:r>
        <w:t>h</w:t>
      </w:r>
      <w:r>
        <w:t>tökohtaisesti vain sitä, noudatetaanko säätiössä säätiölakia ja säätiön sääntöjä.</w:t>
      </w:r>
    </w:p>
    <w:p w:rsidR="00F51527" w:rsidRDefault="00F51527" w:rsidP="00DB6C9F">
      <w:pPr>
        <w:jc w:val="both"/>
      </w:pPr>
    </w:p>
    <w:p w:rsidR="00F51527" w:rsidRDefault="00F51527" w:rsidP="00734140">
      <w:pPr>
        <w:ind w:left="1276"/>
        <w:jc w:val="both"/>
      </w:pPr>
      <w:r>
        <w:t>Mietinnössä todetaan, että Patentti- ja rekisterihallituksen valvontatehtävään ei kuulu muiden lakien kuin säätiölain noudattamisen valvonta. Jos valvontatehtävää suori</w:t>
      </w:r>
      <w:r>
        <w:t>t</w:t>
      </w:r>
      <w:r>
        <w:t>taessaan Patentti- ja rekisterihallitus havaitsee säätiön toimivan jonkin muun vira</w:t>
      </w:r>
      <w:r>
        <w:t>n</w:t>
      </w:r>
      <w:r>
        <w:t>omaisvalvontaan kuuluvan lainsäädännön vastaisesti, Patentti- ja rekisterihallitus voi ilmoittaa säätiön toimintaa valvovalle muulle viranomaiselle säätiövalvonnan yhte</w:t>
      </w:r>
      <w:r>
        <w:t>y</w:t>
      </w:r>
      <w:r>
        <w:t>dessä tekemistään havainnoista.</w:t>
      </w:r>
    </w:p>
    <w:p w:rsidR="00F51527" w:rsidRDefault="00F51527" w:rsidP="00734140">
      <w:pPr>
        <w:ind w:left="1276"/>
        <w:jc w:val="both"/>
      </w:pPr>
    </w:p>
    <w:p w:rsidR="00F51527" w:rsidRDefault="00F51527" w:rsidP="00DB6C9F">
      <w:pPr>
        <w:ind w:left="1276"/>
        <w:jc w:val="both"/>
      </w:pPr>
      <w:r>
        <w:t>Muistiossa ehdotetun uuden säätiölain 2 §:n 1 momentin mukaan säätiön tarkoitu</w:t>
      </w:r>
      <w:r>
        <w:t>k</w:t>
      </w:r>
      <w:r>
        <w:t>sena on tuottaa hyötyä sen säännöissä määrättyyn tarkoitukseen. Säätiön tarkoitu</w:t>
      </w:r>
      <w:r>
        <w:t>k</w:t>
      </w:r>
      <w:r>
        <w:t>sena ei momentin mukaan voi olla liiketoiminnan harjoittaminen eikä erityisen talo</w:t>
      </w:r>
      <w:r>
        <w:t>u</w:t>
      </w:r>
      <w:r>
        <w:t>dellisen edun tuottaminen lähipiiriin kuuluvalle. Harmaan talouden torjunnan näk</w:t>
      </w:r>
      <w:r>
        <w:t>ö</w:t>
      </w:r>
      <w:r>
        <w:t>kulmasta katsottuna juuri näitä seikkoja tulisi pitää keskeisimpinä valvottavina asio</w:t>
      </w:r>
      <w:r>
        <w:t>i</w:t>
      </w:r>
      <w:r>
        <w:t>na. Viranomaisten tulisi valvoa, harjoittaako säätiö (tai sen omistuksessa oleva yr</w:t>
      </w:r>
      <w:r>
        <w:t>i</w:t>
      </w:r>
      <w:r>
        <w:t>tys) liiketoimintaa, joka on sen sääntöjen ja tarkoituksensa puitteissa ja hoitaako säätiö tästä liiketoiminnasta aiheutuvat julkiset velvoitteensa. Valvoa tulisi myös sitä, ettei säätiön varoista anneta perusteettomia etuja perustajille taikka muille henkilöille ja näin kierretä myös esimerkiksi verolakien määräyksiä.</w:t>
      </w:r>
    </w:p>
    <w:p w:rsidR="00F51527" w:rsidRDefault="00F51527" w:rsidP="00DB6C9F">
      <w:pPr>
        <w:ind w:left="1276"/>
        <w:jc w:val="both"/>
      </w:pPr>
    </w:p>
    <w:p w:rsidR="00F51527" w:rsidRDefault="00F51527" w:rsidP="00DB6C9F">
      <w:pPr>
        <w:ind w:left="1276"/>
        <w:jc w:val="both"/>
      </w:pPr>
      <w:r>
        <w:t>Jotta säätiövalvonta olisi harmaan talouden torjunnan näkökulmasta tehokasta, tulisi myös säätiöitä ensisijaisesti valvovalla PRH:lla olla tosiasialliset mahdollisuudet se</w:t>
      </w:r>
      <w:r>
        <w:t>l</w:t>
      </w:r>
      <w:r>
        <w:t>vittää säätiöiden liiketoiminnan ja varojenkäytön laajuutta. Vaikka PRH:n tehtäviin ei kuulukaan verolakien mukaisen menettelyn valvominen, ovat edellä todetut sääti</w:t>
      </w:r>
      <w:r>
        <w:t>ö</w:t>
      </w:r>
      <w:r>
        <w:t>lain säännökset varsin samansuuntaiset verolakien periaatteiden kanssa. Säätiöiden lain ja sääntöjen mukaiseen toimintaan kuuluva varainhankinta ja verottoman ylei</w:t>
      </w:r>
      <w:r>
        <w:t>s</w:t>
      </w:r>
      <w:r>
        <w:t xml:space="preserve">hyödyllisyyden määritelmä on oikeuskäytännössä varsin yhteneväinen vaikkakin määräytyy eri lakien perusteella. </w:t>
      </w:r>
    </w:p>
    <w:p w:rsidR="00F51527" w:rsidRDefault="00F51527" w:rsidP="00DB6C9F">
      <w:pPr>
        <w:ind w:left="1276"/>
        <w:jc w:val="both"/>
      </w:pPr>
    </w:p>
    <w:p w:rsidR="00F51527" w:rsidRDefault="00F51527" w:rsidP="00DB6C9F">
      <w:pPr>
        <w:ind w:left="1276"/>
        <w:jc w:val="both"/>
      </w:pPr>
      <w:r>
        <w:t xml:space="preserve">Näin ollen voidaan todeta, että myös PRH:lla on oma roolinsa säätiöiden harmaan talouden toiminnan valvonnassa. Jotta tämä valvonta olisi tehokasta, tulisi PRH:n ja julkisia velvoitteita valvovien viranomaisten, kuten Verohallinnon, toimia yhteistyössä ja järjestää tietojenvaihtonsa niin, että jonkin viranomaisen valvonnassa saatu tieto on kaikkien säätiöitä valvovien viranomaisten käytössä. </w:t>
      </w:r>
    </w:p>
    <w:p w:rsidR="00F51527" w:rsidRDefault="00F51527" w:rsidP="00DB6C9F">
      <w:pPr>
        <w:ind w:left="1276"/>
        <w:jc w:val="both"/>
      </w:pPr>
    </w:p>
    <w:p w:rsidR="00F51527" w:rsidRDefault="00F51527" w:rsidP="00DB6C9F">
      <w:pPr>
        <w:ind w:left="1276"/>
        <w:jc w:val="both"/>
      </w:pPr>
      <w:r>
        <w:t>Tällä perusteella voidaankin todeta, että PRH tarvitsee tehokkaan valvonnan suori</w:t>
      </w:r>
      <w:r>
        <w:t>t</w:t>
      </w:r>
      <w:r>
        <w:t>tamiseen riittävästi tietoa säätiön sen lähipiirin taloudellisesta toiminnasta. Tämän tiedon hankinta ei voi olla pelkästään sen varassa, mitä tietoja säätiö itse PRH:lle toimittaa, vaan PRH:lle tulisi säätää tätä tehtävää varten kattava tiedonsaantioikeus muilta viranomaisilta.</w:t>
      </w:r>
    </w:p>
    <w:p w:rsidR="00F51527" w:rsidRPr="00631CF6" w:rsidRDefault="00F51527" w:rsidP="00631CF6">
      <w:pPr>
        <w:ind w:left="1276"/>
        <w:jc w:val="both"/>
      </w:pPr>
    </w:p>
    <w:p w:rsidR="00F51527" w:rsidRDefault="00F51527" w:rsidP="00EF73DE">
      <w:pPr>
        <w:ind w:left="1276"/>
        <w:jc w:val="both"/>
        <w:rPr>
          <w:i/>
        </w:rPr>
      </w:pPr>
    </w:p>
    <w:p w:rsidR="00F51527" w:rsidRDefault="00F51527" w:rsidP="00EF73DE">
      <w:pPr>
        <w:ind w:left="1276"/>
        <w:jc w:val="both"/>
      </w:pPr>
      <w:r>
        <w:rPr>
          <w:i/>
        </w:rPr>
        <w:t>Tietojensaantioikeus valvontaa varten</w:t>
      </w:r>
      <w:r>
        <w:tab/>
      </w:r>
    </w:p>
    <w:p w:rsidR="00F51527" w:rsidRDefault="00F51527" w:rsidP="00EF73DE">
      <w:pPr>
        <w:ind w:left="1276"/>
        <w:jc w:val="both"/>
      </w:pPr>
    </w:p>
    <w:p w:rsidR="00F51527" w:rsidRDefault="00F51527" w:rsidP="00EF73DE">
      <w:pPr>
        <w:ind w:left="1276"/>
        <w:jc w:val="both"/>
      </w:pPr>
      <w:r>
        <w:t>Työryhmämietinnössä ehdotettu säännös valvontaviranomaisen tiedonsaantioike</w:t>
      </w:r>
      <w:r>
        <w:t>u</w:t>
      </w:r>
      <w:r>
        <w:t>deksi valvontaa varten, on 14 luvun 3 §:n 2 momentissa. Lisäksi mietinnössä on e</w:t>
      </w:r>
      <w:r>
        <w:t>h</w:t>
      </w:r>
      <w:r>
        <w:t>dotus säännökseksi virka-avusta (14:8 §), jota antaisivat poliisi, tulli, ulosotto ja V</w:t>
      </w:r>
      <w:r>
        <w:t>e</w:t>
      </w:r>
      <w:r>
        <w:t>rohallinto.</w:t>
      </w:r>
    </w:p>
    <w:p w:rsidR="00F51527" w:rsidRDefault="00F51527" w:rsidP="00EF73DE">
      <w:pPr>
        <w:ind w:left="1276"/>
        <w:jc w:val="both"/>
      </w:pPr>
    </w:p>
    <w:p w:rsidR="00F51527" w:rsidRDefault="00F51527" w:rsidP="00BF34DE">
      <w:pPr>
        <w:ind w:left="1276"/>
        <w:jc w:val="both"/>
      </w:pPr>
      <w:r>
        <w:t>Varsinaisessa tiedonsaantipykälässä (14:3,2 §) todetaan, että Patentti- ja rekister</w:t>
      </w:r>
      <w:r>
        <w:t>i</w:t>
      </w:r>
      <w:r>
        <w:t>hallituksella on salassapitosäännösten estämättä oikeus saada yksilöityä valvont</w:t>
      </w:r>
      <w:r>
        <w:t>a</w:t>
      </w:r>
      <w:r>
        <w:t>tointa varten valvonnan kannalta välttämättömiä tietoja muulta kuin edellä tässä p</w:t>
      </w:r>
      <w:r>
        <w:t>y</w:t>
      </w:r>
      <w:r>
        <w:t>kälässä tarkoitetulta, jolla voidaan perustellusta syystä olettaa olevan valvontato</w:t>
      </w:r>
      <w:r>
        <w:t>i</w:t>
      </w:r>
      <w:r>
        <w:t>men kannalta tarpeellista tietoa. Pykälän otsikko on muotoiltu: ”oikeus saada tietoja muilta henkilöiltä”. Pykälän perusteluissa todetaan, että 2 momentin perusteella PRH:lla on salassapitosäännösten estämättä oikeus saada tietoja myös muilta v</w:t>
      </w:r>
      <w:r>
        <w:t>i</w:t>
      </w:r>
      <w:r>
        <w:t>ranomaisilta, joilla voidaan olettaa olevan valvontatoimen kannalta tarpeellista tietoa. Momentin perusteella PRH voi esimerkiksi pyytää verohallinnolta tietoja, joita säätiö on toimittanut sille verotusta varten, jos tietojen saaminen on tarpeellista PRH:ssa v</w:t>
      </w:r>
      <w:r>
        <w:t>i</w:t>
      </w:r>
      <w:r>
        <w:t>reillä olevan määrätyn valvontatehtävän suorittamiseksi. Tällaisia tietoja voivat es</w:t>
      </w:r>
      <w:r>
        <w:t>i</w:t>
      </w:r>
      <w:r>
        <w:t>merkiksi olla tiedot säätiön maksamista palkoista, palkkioista tai apurahoista säätiön lähipiiriin kuuluville taikka tiedot säätiön ja lähipiiriin kuuluvien välillä tehdystä kii</w:t>
      </w:r>
      <w:r>
        <w:t>n</w:t>
      </w:r>
      <w:r>
        <w:t>teistön kaupasta. Normin perusteella PRH:lla ei ole oikeutta saada yleisesti kaikkia säätiöitä koskevia tietoja viranomaiselta taikka muultakaan taholta, joka on kerännyt tietoja säätiöiltä määrättyä tarkoitusta varten.</w:t>
      </w:r>
    </w:p>
    <w:p w:rsidR="00F51527" w:rsidRDefault="00F51527" w:rsidP="00BF34DE">
      <w:pPr>
        <w:ind w:left="1276"/>
        <w:jc w:val="both"/>
      </w:pPr>
    </w:p>
    <w:p w:rsidR="00F51527" w:rsidRDefault="00F51527" w:rsidP="00BF34DE">
      <w:pPr>
        <w:ind w:left="1276"/>
        <w:jc w:val="both"/>
      </w:pPr>
      <w:r>
        <w:t>Selvitysyksikkö toteaa, että säännöksen perusteluissa esitetty ajatus siitä, että PRH:lla olisi oikeus saada määrättyä säätiötä koskevan valvontatoimen suorittam</w:t>
      </w:r>
      <w:r>
        <w:t>i</w:t>
      </w:r>
      <w:r>
        <w:t>seksi salassa pidettävää viranomaistietoa, esimerkiksi verotustietoa, on oikeansuu</w:t>
      </w:r>
      <w:r>
        <w:t>n</w:t>
      </w:r>
      <w:r>
        <w:t>tainen. Selvitysyksikkö katsoo, että olisi kuitenkin selkeämpää säätää asiasta oma</w:t>
      </w:r>
      <w:r>
        <w:t>s</w:t>
      </w:r>
      <w:r>
        <w:t xml:space="preserve">sa pykälässään. </w:t>
      </w:r>
    </w:p>
    <w:p w:rsidR="00F51527" w:rsidRDefault="00F51527" w:rsidP="00BF34DE">
      <w:pPr>
        <w:ind w:left="1276"/>
        <w:jc w:val="both"/>
      </w:pPr>
    </w:p>
    <w:p w:rsidR="00F51527" w:rsidRDefault="00F51527" w:rsidP="00BF34DE">
      <w:pPr>
        <w:ind w:left="1276"/>
        <w:jc w:val="both"/>
      </w:pPr>
      <w:r>
        <w:t>Selvitysyksikkö toteaa, viitaten valvontaa koskevassa osiossa edellä lausuttuun, että tiedonsaantisäännöstä laadittaessa tulee kiinnittää huomiota myös säätiövalvonnan harmaan talouden torjuntaan liittyvään näkökulmaan. Tästä syystä tiedonsaantioik</w:t>
      </w:r>
      <w:r>
        <w:t>e</w:t>
      </w:r>
      <w:r>
        <w:t>us tulee säätää riittävän laajaksi, jotta PRH:lla olisi oikeus saada tehtäväänsä varten riittävän laajat tiedot kaikilta sellaisilta viranomaisilta, joilla on säätiöiden tai niiden lähipiirin taloudellisesta toiminnasta tietoa. Tällaisia tietoja on verotustietojen lisäksi myös esimerkiksi työeläke- ja tapaturmavakuutusviranomaisilla sekä ulosotolla ja tu</w:t>
      </w:r>
      <w:r>
        <w:t>l</w:t>
      </w:r>
      <w:r>
        <w:t>lilla.  Myös esitutkintaviranomaisilla saattaa olla tietoja, jotka liittyvät säätiöiden ja er</w:t>
      </w:r>
      <w:r>
        <w:t>i</w:t>
      </w:r>
      <w:r>
        <w:t xml:space="preserve">tyisesti niiden lähipiirin toimintaan. </w:t>
      </w:r>
    </w:p>
    <w:p w:rsidR="00F51527" w:rsidRDefault="00F51527" w:rsidP="00BF34DE">
      <w:pPr>
        <w:ind w:left="1276"/>
        <w:jc w:val="both"/>
      </w:pPr>
    </w:p>
    <w:p w:rsidR="00F51527" w:rsidRDefault="00F51527" w:rsidP="00BF34DE">
      <w:pPr>
        <w:ind w:left="1276"/>
        <w:jc w:val="both"/>
      </w:pPr>
      <w:r>
        <w:t>Koska lain mukaan säätiöiden valvonnassa tulee kiinnittää huomiota myös siihen, ettei säätiön varoja jaeta lain vastaisesti lähipiirille, tulisi tiedonsaantioikeudesta säädettäessä myös kiinnittää huomiota tietosisällön lisäksi siihen, että valvontav</w:t>
      </w:r>
      <w:r>
        <w:t>i</w:t>
      </w:r>
      <w:r>
        <w:t>ranomainen saa salassa pidettäviä viranomaistietoja riittävästi myös säätiöiden läh</w:t>
      </w:r>
      <w:r>
        <w:t>i</w:t>
      </w:r>
      <w:r>
        <w:t xml:space="preserve">piiristä. Tämä koskee sekä tilannetta, jossa säätiötä ollaan perustamassa, kuin myös toiminnan aikana tapahtuvaa valvontaa. Erityisesti sääntelyssä pitäisi huomioida myös säätiöiden omistamat yhtiöt, joiden tietoja valvontaviranomaisen tulisi myös saada käyttöönsä. </w:t>
      </w:r>
    </w:p>
    <w:p w:rsidR="00F51527" w:rsidRDefault="00F51527" w:rsidP="000560AB">
      <w:pPr>
        <w:jc w:val="both"/>
      </w:pPr>
    </w:p>
    <w:p w:rsidR="00F51527" w:rsidRDefault="00F51527" w:rsidP="00BF34DE">
      <w:pPr>
        <w:ind w:left="1276"/>
        <w:jc w:val="both"/>
      </w:pPr>
      <w:r>
        <w:t>Toimiva viranomaisyhteistyö säätiövalvonnassa edellyttää selvitysyksikön näkemy</w:t>
      </w:r>
      <w:r>
        <w:t>k</w:t>
      </w:r>
      <w:r>
        <w:t>sen mukaan edellä todetun lisäksi myös sitä, että eri viranomaisilla olisi mahdoll</w:t>
      </w:r>
      <w:r>
        <w:t>i</w:t>
      </w:r>
      <w:r>
        <w:t>suus tietojen pyytämismenettelyn rinnalla myös oma-aloitteisesti luovuttaa toisilleen valvontaa varten tarpeellisia tietoja. Näin ollen tulisikin varmistaa, että PRH:lla olisi oma-aloitteinen oikeus luovuttaa tehtävissään saamia toisen viranomaisen valvont</w:t>
      </w:r>
      <w:r>
        <w:t>a</w:t>
      </w:r>
      <w:r>
        <w:t>tehtävää varten tarpeellisia tietoja. Samalla tavoin myös muilla viranomaisilla, kuten esimerkiksi Verohallinnolla, ulosotolla, poliisilla ja Eläketurvakeskuksella tulisi olla oikeus oma-aloitteen tietoluovutukseen.</w:t>
      </w:r>
    </w:p>
    <w:p w:rsidR="00F51527" w:rsidRDefault="00F51527" w:rsidP="00BF34DE">
      <w:pPr>
        <w:ind w:left="1276"/>
        <w:jc w:val="both"/>
      </w:pPr>
    </w:p>
    <w:p w:rsidR="00F51527" w:rsidRDefault="00F51527" w:rsidP="00BF34DE">
      <w:pPr>
        <w:ind w:left="1276"/>
        <w:jc w:val="both"/>
      </w:pPr>
    </w:p>
    <w:p w:rsidR="00F51527" w:rsidRDefault="00F51527" w:rsidP="00BF34DE">
      <w:pPr>
        <w:ind w:left="1276"/>
        <w:jc w:val="both"/>
        <w:rPr>
          <w:i/>
        </w:rPr>
      </w:pPr>
      <w:r>
        <w:rPr>
          <w:i/>
        </w:rPr>
        <w:t>Selvitysyksikön palveluiden käyttö tietojenvaihdossa</w:t>
      </w:r>
    </w:p>
    <w:p w:rsidR="00F51527" w:rsidRDefault="00F51527" w:rsidP="00BF34DE">
      <w:pPr>
        <w:ind w:left="1276"/>
        <w:jc w:val="both"/>
        <w:rPr>
          <w:i/>
        </w:rPr>
      </w:pPr>
    </w:p>
    <w:p w:rsidR="00F51527" w:rsidRDefault="00F51527" w:rsidP="00BF34DE">
      <w:pPr>
        <w:ind w:left="1276"/>
        <w:jc w:val="both"/>
      </w:pPr>
      <w:r w:rsidRPr="00E32C63">
        <w:t xml:space="preserve">Selvitysyksikön tehtävänä on tuottaa ja jakaa tietoa harmaasta taloudesta sekä sen torjunnasta (L Harmaan talouden selvitysyksiköstä (1207/2010) 1 §). Selvitysyksikön tehtävänä on lisäksi tehdä </w:t>
      </w:r>
      <w:r>
        <w:t xml:space="preserve">laissa mainittujen </w:t>
      </w:r>
      <w:r w:rsidRPr="00E32C63">
        <w:t>viranomaisten pyynnöstä v</w:t>
      </w:r>
      <w:r>
        <w:t>elvoitteide</w:t>
      </w:r>
      <w:r>
        <w:t>n</w:t>
      </w:r>
      <w:r>
        <w:t>hoitoselvityksiä or</w:t>
      </w:r>
      <w:r w:rsidRPr="00E32C63">
        <w:t>ganisaatioista ja organisaatiohenkilöistä. Velvoitteidenhoitoselv</w:t>
      </w:r>
      <w:r w:rsidRPr="00E32C63">
        <w:t>i</w:t>
      </w:r>
      <w:r w:rsidRPr="00E32C63">
        <w:t xml:space="preserve">tyksen tarkoituksena on </w:t>
      </w:r>
      <w:r>
        <w:t>antaa pääasiassa salassa pidettäviin viranomaistietoihin p</w:t>
      </w:r>
      <w:r>
        <w:t>e</w:t>
      </w:r>
      <w:r>
        <w:t>rustuva kokonaiskuva selvityksen kohteena olevasta organisaatiosta tai organisa</w:t>
      </w:r>
      <w:r>
        <w:t>a</w:t>
      </w:r>
      <w:r>
        <w:t xml:space="preserve">tiohenkilöstä ja </w:t>
      </w:r>
      <w:r w:rsidRPr="00E32C63">
        <w:t>tukea sitä pyytävän viranom</w:t>
      </w:r>
      <w:r>
        <w:t>aisen tehtävää helpottamalla ja tehost</w:t>
      </w:r>
      <w:r>
        <w:t>a</w:t>
      </w:r>
      <w:r>
        <w:t>malla tehtä</w:t>
      </w:r>
      <w:r w:rsidRPr="00E32C63">
        <w:t>vään liittyvää tiedonhankintaa ja samalla t</w:t>
      </w:r>
      <w:r>
        <w:t>ukea harmaan talouden torju</w:t>
      </w:r>
      <w:r>
        <w:t>n</w:t>
      </w:r>
      <w:r>
        <w:t>taa lisää</w:t>
      </w:r>
      <w:r w:rsidRPr="00E32C63">
        <w:t>mällä asiaa käsittelevän viranomaisen tietoa siitä, miten</w:t>
      </w:r>
      <w:r>
        <w:t xml:space="preserve"> organisaatio tai si</w:t>
      </w:r>
      <w:r>
        <w:t>i</w:t>
      </w:r>
      <w:r>
        <w:t>hen liitty</w:t>
      </w:r>
      <w:r w:rsidRPr="00E32C63">
        <w:t>vä organisaatiohenkilö on hoitanut lakisääteiset velvoitteensa.</w:t>
      </w:r>
    </w:p>
    <w:p w:rsidR="00F51527" w:rsidRDefault="00F51527" w:rsidP="00BF34DE">
      <w:pPr>
        <w:ind w:left="1276"/>
        <w:jc w:val="both"/>
      </w:pPr>
    </w:p>
    <w:p w:rsidR="00F51527" w:rsidRDefault="00F51527" w:rsidP="00E32C63">
      <w:pPr>
        <w:ind w:left="1276"/>
        <w:jc w:val="both"/>
      </w:pPr>
      <w:r w:rsidRPr="00E32C63">
        <w:t xml:space="preserve">Harmaan talouden selvitysyksiköstä annetun lain </w:t>
      </w:r>
      <w:r>
        <w:t>5 §:n 4 momentin mukaan velvoi</w:t>
      </w:r>
      <w:r>
        <w:t>t</w:t>
      </w:r>
      <w:r w:rsidRPr="00E32C63">
        <w:t xml:space="preserve">teidenhoitoselvityksessä kuvataan organisaation tai organisaatiohenkilön sekä </w:t>
      </w:r>
      <w:r>
        <w:t>nä</w:t>
      </w:r>
      <w:r>
        <w:t>i</w:t>
      </w:r>
      <w:r w:rsidRPr="00E32C63">
        <w:t>hin välittömästi tai välillisesti kytkeytyvän organisaat</w:t>
      </w:r>
      <w:r>
        <w:t>ion ja organisaatiohenkilön to</w:t>
      </w:r>
      <w:r>
        <w:t>i</w:t>
      </w:r>
      <w:r w:rsidRPr="00E32C63">
        <w:t>mintaa ja taloutta sekä veroihin, lakisääteisiin eläke-, tapaturma- tai työttömyy</w:t>
      </w:r>
      <w:r>
        <w:t>sv</w:t>
      </w:r>
      <w:r>
        <w:t>a</w:t>
      </w:r>
      <w:r w:rsidRPr="00E32C63">
        <w:t>kuutusmaksuihin taikka tullin perimiin maksuihin liittyvien velvoitteiden hoitamista. Velvoitteidenhoitoselvityksen tarkoituksena on siis a</w:t>
      </w:r>
      <w:r>
        <w:t>ntaa sitä pyytäneelle viranoma</w:t>
      </w:r>
      <w:r>
        <w:t>i</w:t>
      </w:r>
      <w:r w:rsidRPr="00E32C63">
        <w:t>selle kokonaiskuva siitä, millaista taloudellista toimintaa kohde harjoittaa ja miten se on hoitanut tästä toiminnastaan aiheu</w:t>
      </w:r>
      <w:r>
        <w:t>tuvat, lakisääteiset, veroihin, lakisääteisiin el</w:t>
      </w:r>
      <w:r>
        <w:t>ä</w:t>
      </w:r>
      <w:r w:rsidRPr="00E32C63">
        <w:t>ke-, tapaturma- tai työttömyysvakuutusmaksuihin taikka</w:t>
      </w:r>
      <w:r>
        <w:t xml:space="preserve"> tullin perimiin maksuihin lii</w:t>
      </w:r>
      <w:r>
        <w:t>t</w:t>
      </w:r>
      <w:r w:rsidRPr="00E32C63">
        <w:t>tyvät rekisteröitymis-, vakuuttamis-, ilmoitus-</w:t>
      </w:r>
      <w:r>
        <w:t xml:space="preserve"> ja maksuvelvoitteensa. Lisäksi velvoi</w:t>
      </w:r>
      <w:r>
        <w:t>t</w:t>
      </w:r>
      <w:r w:rsidRPr="00E32C63">
        <w:t>teidenhoitoselvityksestä selviää mikä on kohteen kyky hoitaa velvoitteensa ja mihin muihin organisaatioihin ja organisaatiohenkil</w:t>
      </w:r>
      <w:r>
        <w:t>öihin kohde on vastuuaseman tai omi</w:t>
      </w:r>
      <w:r>
        <w:t>s</w:t>
      </w:r>
      <w:r w:rsidRPr="00E32C63">
        <w:t xml:space="preserve">tuksen kautta kytkeytynyt. </w:t>
      </w:r>
    </w:p>
    <w:p w:rsidR="00F51527" w:rsidRPr="00E32C63" w:rsidRDefault="00F51527" w:rsidP="00E32C63">
      <w:pPr>
        <w:ind w:left="1276"/>
        <w:jc w:val="both"/>
      </w:pPr>
    </w:p>
    <w:p w:rsidR="00F51527" w:rsidRDefault="00F51527" w:rsidP="00E32C63">
      <w:pPr>
        <w:ind w:left="1276"/>
        <w:jc w:val="both"/>
      </w:pPr>
      <w:r w:rsidRPr="00E32C63">
        <w:t>Velvoitteidenhoitoselvityksen tietosisältö muodostuu pääosin viranomaisrek</w:t>
      </w:r>
      <w:r>
        <w:t>isterei</w:t>
      </w:r>
      <w:r>
        <w:t>s</w:t>
      </w:r>
      <w:r w:rsidRPr="00E32C63">
        <w:t>sä olevasta, salassa pidettäväksi määritellystä tiedo</w:t>
      </w:r>
      <w:r>
        <w:t>sta. Velvoitteidenhoitoselvity</w:t>
      </w:r>
      <w:r>
        <w:t>k</w:t>
      </w:r>
      <w:r w:rsidRPr="00E32C63">
        <w:t xml:space="preserve">sen tietosisältö määräytyy Harmaan talouden selvitysyksiköstä annetun lain 7 §:n 1 momentin </w:t>
      </w:r>
      <w:r>
        <w:t xml:space="preserve">mukaan sen perusteella, mikä on </w:t>
      </w:r>
      <w:r w:rsidRPr="00E32C63">
        <w:t>selvit</w:t>
      </w:r>
      <w:r>
        <w:t>ystä pyytävän viranomaisen oike</w:t>
      </w:r>
      <w:r w:rsidRPr="00E32C63">
        <w:t>us saada salassa pidettävää tietoa kyseiseen käyttö</w:t>
      </w:r>
      <w:r>
        <w:t>tarkoitukseen. Velvoitteidenho</w:t>
      </w:r>
      <w:r>
        <w:t>i</w:t>
      </w:r>
      <w:r w:rsidRPr="00E32C63">
        <w:t>toselvitys ei siis laajenna sitä pyytävän viranomaisen tiedonsaantioikeuksia, vaan se laaditaan viranomaiselle muualla laissa määriteltyjen tehtävien ja niihin liittyvien ti</w:t>
      </w:r>
      <w:r>
        <w:t>e</w:t>
      </w:r>
      <w:r w:rsidRPr="00E32C63">
        <w:t>donsaantioikeuksien perusteella.</w:t>
      </w:r>
    </w:p>
    <w:p w:rsidR="00F51527" w:rsidRDefault="00F51527" w:rsidP="00BF34DE">
      <w:pPr>
        <w:ind w:left="1276"/>
        <w:jc w:val="both"/>
      </w:pPr>
    </w:p>
    <w:p w:rsidR="00F51527" w:rsidRDefault="00F51527" w:rsidP="00BF34DE">
      <w:pPr>
        <w:ind w:left="1276"/>
        <w:jc w:val="both"/>
      </w:pPr>
      <w:r>
        <w:t xml:space="preserve">Hallitusohjelmaan perustuvassa periaatepäätöksessä (19.1.2012) </w:t>
      </w:r>
      <w:r w:rsidRPr="00830703">
        <w:t>hallituksen toimi</w:t>
      </w:r>
      <w:r w:rsidRPr="00830703">
        <w:t>n</w:t>
      </w:r>
      <w:r w:rsidRPr="00830703">
        <w:t>taohjelmaksi harmaan talouden ja talousrikollisuuden vähentämiseksi vuosille 2012–2015</w:t>
      </w:r>
      <w:r>
        <w:t xml:space="preserve"> todetaan kohdassa 13 muun muassa, että v</w:t>
      </w:r>
      <w:r w:rsidRPr="00830703">
        <w:t>iranomaisten välisiä tiedonvaihdon esteitä puretaan ja tarvittavat viranomaisrekisterit saatetaan joustavasti harmaan t</w:t>
      </w:r>
      <w:r w:rsidRPr="00830703">
        <w:t>a</w:t>
      </w:r>
      <w:r w:rsidRPr="00830703">
        <w:t>louden torjuntaviranomaisten käyttöön.</w:t>
      </w:r>
      <w:r>
        <w:t xml:space="preserve"> Kohdassa todetaan myös, että </w:t>
      </w:r>
      <w:r w:rsidRPr="00830703">
        <w:t>Harmaan t</w:t>
      </w:r>
      <w:r w:rsidRPr="00830703">
        <w:t>a</w:t>
      </w:r>
      <w:r w:rsidRPr="00830703">
        <w:t>louden selvitysyksikön velvoitteidenhoitoselvitysten käyttöalaa laajennetaan tarvitt</w:t>
      </w:r>
      <w:r w:rsidRPr="00830703">
        <w:t>a</w:t>
      </w:r>
      <w:r w:rsidRPr="00830703">
        <w:t>essa harmaan talouden torjunnassa.</w:t>
      </w:r>
    </w:p>
    <w:p w:rsidR="00F51527" w:rsidRDefault="00F51527" w:rsidP="00BF34DE">
      <w:pPr>
        <w:ind w:left="1276"/>
        <w:jc w:val="both"/>
      </w:pPr>
    </w:p>
    <w:p w:rsidR="00F51527" w:rsidRPr="00E32C63" w:rsidRDefault="00F51527" w:rsidP="00BF34DE">
      <w:pPr>
        <w:ind w:left="1276"/>
        <w:jc w:val="both"/>
      </w:pPr>
      <w:r>
        <w:t>Selvitysyksikkö esittää harkittavaksi sitä, voitaisiinko velvoitteidenhoitoselvitystä käyttää tukemaan myös säätiövalvontaa. Velvoitteidenhoitoselvitys on kustannust</w:t>
      </w:r>
      <w:r>
        <w:t>e</w:t>
      </w:r>
      <w:r>
        <w:t>hokas ja nopea tapa toteuttaa viranomaisen tiedonsaantioikeuteen liittyvä tietojen hankinta ja se lisää samalla myös viranomaisen tietoisuutta siitä, miten valvottava säätiö on hoitanut julkisoikeudelliset velvoitteensa. Mikäli säätiövalvontaa varten säädetyt tiedonsaantioikeudet säädetään riittävän laajoiksi, voidaan niiden peru</w:t>
      </w:r>
      <w:r>
        <w:t>s</w:t>
      </w:r>
      <w:r>
        <w:t>teella laatia myös organisaatiosta kokonaiskuva antava velvoitteidenhoitoselvitys. Velvoitteidenhoitoselvityksen käyttäminen säätiöiden valvontaan edellyttäisi lisäksi Harmaan talouden selvitysyksikköä koskevan lain 6 §:n muuttamista.</w:t>
      </w:r>
    </w:p>
    <w:p w:rsidR="00F51527" w:rsidRDefault="00F51527" w:rsidP="00BF34DE">
      <w:pPr>
        <w:ind w:left="1276"/>
        <w:jc w:val="both"/>
      </w:pPr>
    </w:p>
    <w:p w:rsidR="00F51527" w:rsidRDefault="00F51527" w:rsidP="00BF34DE">
      <w:pPr>
        <w:ind w:left="1276"/>
        <w:jc w:val="both"/>
      </w:pPr>
    </w:p>
    <w:p w:rsidR="00F51527" w:rsidRDefault="00F51527" w:rsidP="00BF34DE">
      <w:pPr>
        <w:ind w:left="1276"/>
        <w:jc w:val="both"/>
      </w:pPr>
    </w:p>
    <w:p w:rsidR="00F51527" w:rsidRDefault="00F51527" w:rsidP="00BF34DE">
      <w:pPr>
        <w:ind w:left="1276"/>
        <w:jc w:val="both"/>
      </w:pPr>
      <w:r>
        <w:t>Helsingissä 5.7.2013</w:t>
      </w:r>
    </w:p>
    <w:p w:rsidR="00F51527" w:rsidRDefault="00F51527" w:rsidP="00EF73DE">
      <w:pPr>
        <w:ind w:left="1276"/>
        <w:jc w:val="both"/>
      </w:pPr>
    </w:p>
    <w:p w:rsidR="00F51527" w:rsidRDefault="00F51527" w:rsidP="00EF73DE">
      <w:pPr>
        <w:ind w:left="1276"/>
        <w:jc w:val="both"/>
      </w:pPr>
    </w:p>
    <w:p w:rsidR="00F51527" w:rsidRDefault="00F51527" w:rsidP="00EF73DE">
      <w:pPr>
        <w:ind w:left="1276"/>
        <w:jc w:val="both"/>
      </w:pPr>
    </w:p>
    <w:p w:rsidR="00F51527" w:rsidRDefault="00F51527" w:rsidP="00EF73DE">
      <w:pPr>
        <w:ind w:left="1276"/>
        <w:jc w:val="both"/>
      </w:pPr>
    </w:p>
    <w:p w:rsidR="00F51527" w:rsidRDefault="00F51527" w:rsidP="00EF73DE">
      <w:pPr>
        <w:ind w:left="1276"/>
        <w:jc w:val="both"/>
      </w:pPr>
    </w:p>
    <w:p w:rsidR="00F51527" w:rsidRDefault="00F51527" w:rsidP="00EF73DE">
      <w:pPr>
        <w:ind w:left="1276"/>
        <w:jc w:val="both"/>
      </w:pPr>
      <w:r>
        <w:t>Janne Marttinen</w:t>
      </w:r>
    </w:p>
    <w:p w:rsidR="00F51527" w:rsidRDefault="00F51527" w:rsidP="00EF73DE">
      <w:pPr>
        <w:ind w:left="1276"/>
        <w:jc w:val="both"/>
      </w:pPr>
      <w:r>
        <w:tab/>
        <w:t xml:space="preserve">Johtaja </w:t>
      </w:r>
    </w:p>
    <w:p w:rsidR="00F51527" w:rsidRDefault="00F51527" w:rsidP="00EF73DE">
      <w:pPr>
        <w:ind w:left="1276"/>
        <w:jc w:val="both"/>
      </w:pPr>
    </w:p>
    <w:p w:rsidR="00F51527" w:rsidRDefault="00F51527" w:rsidP="00EF73DE">
      <w:pPr>
        <w:ind w:left="1276"/>
        <w:jc w:val="both"/>
      </w:pPr>
    </w:p>
    <w:p w:rsidR="00F51527" w:rsidRDefault="00F51527" w:rsidP="00EF73DE">
      <w:pPr>
        <w:ind w:left="1276"/>
        <w:jc w:val="both"/>
      </w:pPr>
    </w:p>
    <w:p w:rsidR="00F51527" w:rsidRDefault="00F51527" w:rsidP="00EF73DE">
      <w:pPr>
        <w:ind w:left="1276"/>
        <w:jc w:val="both"/>
      </w:pPr>
      <w:r>
        <w:t>Marko Niemelä</w:t>
      </w:r>
    </w:p>
    <w:p w:rsidR="00F51527" w:rsidRDefault="00F51527" w:rsidP="00EF73DE">
      <w:pPr>
        <w:ind w:left="1276"/>
        <w:jc w:val="both"/>
      </w:pPr>
      <w:r>
        <w:tab/>
        <w:t>Apulaisjohtaja</w:t>
      </w:r>
    </w:p>
    <w:p w:rsidR="00F51527" w:rsidRDefault="00F51527" w:rsidP="00EF73DE">
      <w:pPr>
        <w:ind w:left="1276"/>
        <w:jc w:val="both"/>
      </w:pPr>
    </w:p>
    <w:p w:rsidR="00F51527" w:rsidRDefault="00F51527" w:rsidP="00EF73DE">
      <w:pPr>
        <w:ind w:left="1276"/>
        <w:jc w:val="both"/>
      </w:pPr>
    </w:p>
    <w:p w:rsidR="00F51527" w:rsidRDefault="00F51527" w:rsidP="00EF73DE">
      <w:pPr>
        <w:ind w:left="1276"/>
        <w:jc w:val="both"/>
      </w:pPr>
    </w:p>
    <w:p w:rsidR="00F51527" w:rsidRDefault="00F51527" w:rsidP="00EF73DE">
      <w:pPr>
        <w:ind w:left="1276"/>
        <w:jc w:val="both"/>
      </w:pPr>
    </w:p>
    <w:p w:rsidR="00F51527" w:rsidRDefault="00F51527" w:rsidP="00EF73DE">
      <w:pPr>
        <w:jc w:val="both"/>
      </w:pPr>
    </w:p>
    <w:p w:rsidR="00F51527" w:rsidRDefault="00F51527" w:rsidP="00EF73DE">
      <w:pPr>
        <w:jc w:val="both"/>
      </w:pPr>
    </w:p>
    <w:sectPr w:rsidR="00F51527" w:rsidSect="002A5A9E">
      <w:footerReference w:type="default" r:id="rId7"/>
      <w:pgSz w:w="11906" w:h="16838" w:code="9"/>
      <w:pgMar w:top="1021" w:right="1134" w:bottom="567" w:left="1247" w:header="0" w:footer="624"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1527" w:rsidRDefault="00F51527">
      <w:r>
        <w:separator/>
      </w:r>
    </w:p>
  </w:endnote>
  <w:endnote w:type="continuationSeparator" w:id="0">
    <w:p w:rsidR="00F51527" w:rsidRDefault="00F515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135" w:type="dxa"/>
      <w:tblCellMar>
        <w:left w:w="70" w:type="dxa"/>
        <w:right w:w="70" w:type="dxa"/>
      </w:tblCellMar>
      <w:tblLook w:val="0000"/>
    </w:tblPr>
    <w:tblGrid>
      <w:gridCol w:w="3614"/>
      <w:gridCol w:w="3686"/>
      <w:gridCol w:w="425"/>
      <w:gridCol w:w="1984"/>
      <w:gridCol w:w="426"/>
    </w:tblGrid>
    <w:tr w:rsidR="00F51527">
      <w:trPr>
        <w:cantSplit/>
        <w:trHeight w:hRule="exact" w:val="284"/>
      </w:trPr>
      <w:tc>
        <w:tcPr>
          <w:tcW w:w="10135" w:type="dxa"/>
          <w:gridSpan w:val="5"/>
        </w:tcPr>
        <w:p w:rsidR="00F51527" w:rsidRDefault="00F51527">
          <w:pPr>
            <w:pStyle w:val="Footer"/>
            <w:tabs>
              <w:tab w:val="clear" w:pos="4819"/>
              <w:tab w:val="left" w:pos="3119"/>
              <w:tab w:val="left" w:pos="5245"/>
              <w:tab w:val="left" w:pos="6521"/>
            </w:tabs>
            <w:spacing w:before="40"/>
            <w:rPr>
              <w:sz w:val="18"/>
              <w:lang w:val="en-GB"/>
            </w:rPr>
          </w:pPr>
        </w:p>
      </w:tc>
    </w:tr>
    <w:tr w:rsidR="00F51527">
      <w:trPr>
        <w:cantSplit/>
        <w:trHeight w:val="270"/>
      </w:trPr>
      <w:tc>
        <w:tcPr>
          <w:tcW w:w="3614" w:type="dxa"/>
          <w:vMerge w:val="restart"/>
        </w:tcPr>
        <w:p w:rsidR="00F51527" w:rsidRDefault="00F51527">
          <w:pPr>
            <w:pStyle w:val="Footer"/>
            <w:tabs>
              <w:tab w:val="clear" w:pos="4819"/>
              <w:tab w:val="left" w:pos="3119"/>
              <w:tab w:val="left" w:pos="5245"/>
              <w:tab w:val="left" w:pos="6521"/>
            </w:tabs>
            <w:spacing w:before="40"/>
          </w:pPr>
          <w:r w:rsidRPr="00C23D6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Kuva 1" o:spid="_x0000_i1026" type="#_x0000_t75" style="width:107.25pt;height:32.25pt;visibility:visible">
                <v:imagedata r:id="rId1" o:title=""/>
              </v:shape>
            </w:pict>
          </w:r>
        </w:p>
      </w:tc>
      <w:tc>
        <w:tcPr>
          <w:tcW w:w="3686" w:type="dxa"/>
        </w:tcPr>
        <w:p w:rsidR="00F51527" w:rsidRDefault="00F51527">
          <w:pPr>
            <w:pStyle w:val="Footer"/>
            <w:tabs>
              <w:tab w:val="clear" w:pos="4819"/>
              <w:tab w:val="left" w:pos="3119"/>
              <w:tab w:val="left" w:pos="5245"/>
              <w:tab w:val="left" w:pos="6521"/>
            </w:tabs>
            <w:spacing w:before="40"/>
            <w:rPr>
              <w:rFonts w:cs="Arial"/>
              <w:b/>
              <w:bCs/>
              <w:sz w:val="18"/>
            </w:rPr>
          </w:pPr>
          <w:bookmarkStart w:id="6" w:name="Lähettäjä_ft_FI"/>
          <w:r>
            <w:rPr>
              <w:rFonts w:cs="Arial"/>
              <w:b/>
              <w:bCs/>
              <w:sz w:val="18"/>
            </w:rPr>
            <w:t>Verohallinto</w:t>
          </w:r>
          <w:bookmarkEnd w:id="6"/>
        </w:p>
      </w:tc>
      <w:tc>
        <w:tcPr>
          <w:tcW w:w="425" w:type="dxa"/>
        </w:tcPr>
        <w:p w:rsidR="00F51527" w:rsidRDefault="00F51527">
          <w:pPr>
            <w:pStyle w:val="Footer"/>
            <w:tabs>
              <w:tab w:val="clear" w:pos="4819"/>
              <w:tab w:val="left" w:pos="3119"/>
              <w:tab w:val="left" w:pos="5245"/>
              <w:tab w:val="left" w:pos="6521"/>
            </w:tabs>
            <w:spacing w:before="40"/>
            <w:rPr>
              <w:sz w:val="18"/>
            </w:rPr>
          </w:pPr>
        </w:p>
      </w:tc>
      <w:tc>
        <w:tcPr>
          <w:tcW w:w="1984" w:type="dxa"/>
        </w:tcPr>
        <w:p w:rsidR="00F51527" w:rsidRDefault="00F51527">
          <w:pPr>
            <w:pStyle w:val="Footer"/>
            <w:tabs>
              <w:tab w:val="clear" w:pos="4819"/>
              <w:tab w:val="left" w:pos="3119"/>
              <w:tab w:val="left" w:pos="5245"/>
              <w:tab w:val="left" w:pos="6521"/>
            </w:tabs>
            <w:spacing w:before="40"/>
            <w:rPr>
              <w:b/>
              <w:bCs/>
              <w:sz w:val="18"/>
              <w:lang w:val="en-GB"/>
            </w:rPr>
          </w:pPr>
          <w:r>
            <w:rPr>
              <w:b/>
              <w:bCs/>
              <w:sz w:val="18"/>
              <w:lang w:val="en-GB"/>
            </w:rPr>
            <w:t xml:space="preserve">www.vero.fi </w:t>
          </w:r>
        </w:p>
      </w:tc>
      <w:tc>
        <w:tcPr>
          <w:tcW w:w="426" w:type="dxa"/>
        </w:tcPr>
        <w:p w:rsidR="00F51527" w:rsidRDefault="00F51527">
          <w:pPr>
            <w:pStyle w:val="Footer"/>
            <w:tabs>
              <w:tab w:val="clear" w:pos="4819"/>
              <w:tab w:val="left" w:pos="3119"/>
              <w:tab w:val="left" w:pos="5245"/>
              <w:tab w:val="left" w:pos="6521"/>
            </w:tabs>
            <w:spacing w:before="40"/>
            <w:rPr>
              <w:sz w:val="18"/>
              <w:lang w:val="en-GB"/>
            </w:rPr>
          </w:pPr>
        </w:p>
      </w:tc>
    </w:tr>
    <w:tr w:rsidR="00F51527">
      <w:trPr>
        <w:cantSplit/>
        <w:trHeight w:val="173"/>
      </w:trPr>
      <w:tc>
        <w:tcPr>
          <w:tcW w:w="3614" w:type="dxa"/>
          <w:vMerge/>
        </w:tcPr>
        <w:p w:rsidR="00F51527" w:rsidRDefault="00F51527">
          <w:pPr>
            <w:pStyle w:val="Footer"/>
            <w:tabs>
              <w:tab w:val="clear" w:pos="4819"/>
              <w:tab w:val="left" w:pos="3119"/>
              <w:tab w:val="left" w:pos="5245"/>
              <w:tab w:val="left" w:pos="6521"/>
            </w:tabs>
            <w:rPr>
              <w:lang w:val="en-GB"/>
            </w:rPr>
          </w:pPr>
        </w:p>
      </w:tc>
      <w:tc>
        <w:tcPr>
          <w:tcW w:w="3686" w:type="dxa"/>
        </w:tcPr>
        <w:p w:rsidR="00F51527" w:rsidRDefault="00F51527">
          <w:pPr>
            <w:pStyle w:val="Footer"/>
            <w:tabs>
              <w:tab w:val="clear" w:pos="4819"/>
              <w:tab w:val="left" w:pos="3119"/>
              <w:tab w:val="left" w:pos="5245"/>
              <w:tab w:val="left" w:pos="6521"/>
            </w:tabs>
            <w:rPr>
              <w:rFonts w:cs="Arial"/>
              <w:bCs/>
              <w:sz w:val="18"/>
            </w:rPr>
          </w:pPr>
          <w:bookmarkStart w:id="7" w:name="Lähettäjän_tark_ft_FI"/>
          <w:r>
            <w:rPr>
              <w:rFonts w:cs="Arial"/>
              <w:sz w:val="18"/>
            </w:rPr>
            <w:t>Harmaan talouden selvitysyksikkö</w:t>
          </w:r>
          <w:bookmarkEnd w:id="7"/>
        </w:p>
      </w:tc>
      <w:tc>
        <w:tcPr>
          <w:tcW w:w="425" w:type="dxa"/>
        </w:tcPr>
        <w:p w:rsidR="00F51527" w:rsidRDefault="00F51527">
          <w:pPr>
            <w:pStyle w:val="Footer"/>
            <w:tabs>
              <w:tab w:val="clear" w:pos="4819"/>
              <w:tab w:val="left" w:pos="3119"/>
              <w:tab w:val="left" w:pos="5245"/>
              <w:tab w:val="left" w:pos="6521"/>
            </w:tabs>
            <w:rPr>
              <w:bCs/>
              <w:sz w:val="18"/>
            </w:rPr>
          </w:pPr>
        </w:p>
      </w:tc>
      <w:tc>
        <w:tcPr>
          <w:tcW w:w="1984" w:type="dxa"/>
        </w:tcPr>
        <w:p w:rsidR="00F51527" w:rsidRDefault="00F51527">
          <w:pPr>
            <w:pStyle w:val="Footer"/>
            <w:tabs>
              <w:tab w:val="clear" w:pos="4819"/>
              <w:tab w:val="left" w:pos="3119"/>
              <w:tab w:val="left" w:pos="5245"/>
              <w:tab w:val="left" w:pos="6521"/>
            </w:tabs>
            <w:rPr>
              <w:bCs/>
              <w:sz w:val="18"/>
            </w:rPr>
          </w:pPr>
          <w:r>
            <w:rPr>
              <w:rFonts w:cs="Arial"/>
              <w:color w:val="000000"/>
              <w:sz w:val="18"/>
              <w:szCs w:val="18"/>
            </w:rPr>
            <w:t xml:space="preserve">puh.  </w:t>
          </w:r>
          <w:bookmarkStart w:id="8" w:name="Puhelin_FI"/>
          <w:r>
            <w:rPr>
              <w:rFonts w:cs="Arial"/>
              <w:color w:val="000000"/>
              <w:sz w:val="18"/>
              <w:szCs w:val="18"/>
            </w:rPr>
            <w:t>020 612 000</w:t>
          </w:r>
          <w:bookmarkEnd w:id="8"/>
        </w:p>
      </w:tc>
      <w:tc>
        <w:tcPr>
          <w:tcW w:w="426" w:type="dxa"/>
        </w:tcPr>
        <w:p w:rsidR="00F51527" w:rsidRDefault="00F51527">
          <w:pPr>
            <w:pStyle w:val="Footer"/>
            <w:tabs>
              <w:tab w:val="clear" w:pos="4819"/>
              <w:tab w:val="left" w:pos="3119"/>
              <w:tab w:val="left" w:pos="5245"/>
              <w:tab w:val="left" w:pos="6521"/>
            </w:tabs>
            <w:rPr>
              <w:bCs/>
              <w:sz w:val="18"/>
            </w:rPr>
          </w:pPr>
        </w:p>
      </w:tc>
    </w:tr>
    <w:tr w:rsidR="00F51527">
      <w:trPr>
        <w:cantSplit/>
        <w:trHeight w:val="173"/>
      </w:trPr>
      <w:tc>
        <w:tcPr>
          <w:tcW w:w="3614" w:type="dxa"/>
          <w:vMerge/>
        </w:tcPr>
        <w:p w:rsidR="00F51527" w:rsidRDefault="00F51527">
          <w:pPr>
            <w:pStyle w:val="Footer"/>
            <w:tabs>
              <w:tab w:val="clear" w:pos="4819"/>
              <w:tab w:val="left" w:pos="3119"/>
              <w:tab w:val="left" w:pos="5245"/>
              <w:tab w:val="left" w:pos="6521"/>
            </w:tabs>
          </w:pPr>
        </w:p>
      </w:tc>
      <w:tc>
        <w:tcPr>
          <w:tcW w:w="3686" w:type="dxa"/>
        </w:tcPr>
        <w:p w:rsidR="00F51527" w:rsidRDefault="00F51527">
          <w:pPr>
            <w:pStyle w:val="Footer"/>
            <w:tabs>
              <w:tab w:val="clear" w:pos="4819"/>
              <w:tab w:val="left" w:pos="3119"/>
              <w:tab w:val="left" w:pos="5245"/>
              <w:tab w:val="left" w:pos="6521"/>
            </w:tabs>
            <w:rPr>
              <w:rFonts w:cs="Arial"/>
              <w:bCs/>
              <w:sz w:val="18"/>
            </w:rPr>
          </w:pPr>
          <w:bookmarkStart w:id="9" w:name="Käyntiosoite_FI"/>
          <w:r>
            <w:rPr>
              <w:rFonts w:cs="Arial"/>
              <w:sz w:val="18"/>
            </w:rPr>
            <w:t>PL 325</w:t>
          </w:r>
          <w:bookmarkEnd w:id="9"/>
        </w:p>
      </w:tc>
      <w:tc>
        <w:tcPr>
          <w:tcW w:w="425" w:type="dxa"/>
        </w:tcPr>
        <w:p w:rsidR="00F51527" w:rsidRDefault="00F51527">
          <w:pPr>
            <w:pStyle w:val="Footer"/>
            <w:tabs>
              <w:tab w:val="clear" w:pos="4819"/>
              <w:tab w:val="left" w:pos="3119"/>
              <w:tab w:val="left" w:pos="5245"/>
              <w:tab w:val="left" w:pos="6521"/>
            </w:tabs>
            <w:rPr>
              <w:sz w:val="18"/>
            </w:rPr>
          </w:pPr>
        </w:p>
      </w:tc>
      <w:tc>
        <w:tcPr>
          <w:tcW w:w="1984" w:type="dxa"/>
        </w:tcPr>
        <w:p w:rsidR="00F51527" w:rsidRDefault="00F51527">
          <w:pPr>
            <w:pStyle w:val="Footer"/>
            <w:tabs>
              <w:tab w:val="clear" w:pos="4819"/>
              <w:tab w:val="left" w:pos="3119"/>
              <w:tab w:val="left" w:pos="5245"/>
              <w:tab w:val="left" w:pos="6521"/>
            </w:tabs>
            <w:rPr>
              <w:sz w:val="18"/>
            </w:rPr>
          </w:pPr>
          <w:r>
            <w:rPr>
              <w:sz w:val="18"/>
            </w:rPr>
            <w:t xml:space="preserve">faksi  </w:t>
          </w:r>
          <w:bookmarkStart w:id="10" w:name="Faksi_FI"/>
          <w:r>
            <w:rPr>
              <w:rFonts w:cs="Arial"/>
              <w:color w:val="000000"/>
              <w:sz w:val="18"/>
              <w:szCs w:val="18"/>
            </w:rPr>
            <w:t>020 612 6063</w:t>
          </w:r>
          <w:bookmarkEnd w:id="10"/>
        </w:p>
      </w:tc>
      <w:tc>
        <w:tcPr>
          <w:tcW w:w="426" w:type="dxa"/>
        </w:tcPr>
        <w:p w:rsidR="00F51527" w:rsidRDefault="00F51527">
          <w:pPr>
            <w:pStyle w:val="Footer"/>
            <w:tabs>
              <w:tab w:val="clear" w:pos="4819"/>
              <w:tab w:val="left" w:pos="3119"/>
              <w:tab w:val="left" w:pos="5245"/>
              <w:tab w:val="left" w:pos="6521"/>
            </w:tabs>
            <w:rPr>
              <w:sz w:val="18"/>
            </w:rPr>
          </w:pPr>
        </w:p>
      </w:tc>
    </w:tr>
    <w:tr w:rsidR="00F51527">
      <w:trPr>
        <w:cantSplit/>
        <w:trHeight w:val="173"/>
      </w:trPr>
      <w:tc>
        <w:tcPr>
          <w:tcW w:w="3614" w:type="dxa"/>
          <w:vMerge/>
        </w:tcPr>
        <w:p w:rsidR="00F51527" w:rsidRDefault="00F51527">
          <w:pPr>
            <w:pStyle w:val="Footer"/>
            <w:tabs>
              <w:tab w:val="clear" w:pos="4819"/>
              <w:tab w:val="left" w:pos="3119"/>
              <w:tab w:val="left" w:pos="5245"/>
              <w:tab w:val="left" w:pos="6521"/>
            </w:tabs>
          </w:pPr>
        </w:p>
      </w:tc>
      <w:tc>
        <w:tcPr>
          <w:tcW w:w="3686" w:type="dxa"/>
        </w:tcPr>
        <w:p w:rsidR="00F51527" w:rsidRDefault="00F51527">
          <w:pPr>
            <w:pStyle w:val="Footer"/>
            <w:tabs>
              <w:tab w:val="clear" w:pos="4819"/>
              <w:tab w:val="left" w:pos="3119"/>
              <w:tab w:val="left" w:pos="5245"/>
              <w:tab w:val="left" w:pos="6521"/>
            </w:tabs>
            <w:rPr>
              <w:rFonts w:cs="Arial"/>
              <w:sz w:val="18"/>
            </w:rPr>
          </w:pPr>
          <w:bookmarkStart w:id="11" w:name="Paikkakunta_FI"/>
          <w:r>
            <w:rPr>
              <w:rFonts w:cs="Arial"/>
              <w:sz w:val="18"/>
            </w:rPr>
            <w:t>00052 VERO</w:t>
          </w:r>
          <w:bookmarkEnd w:id="11"/>
        </w:p>
      </w:tc>
      <w:tc>
        <w:tcPr>
          <w:tcW w:w="425" w:type="dxa"/>
        </w:tcPr>
        <w:p w:rsidR="00F51527" w:rsidRDefault="00F51527">
          <w:pPr>
            <w:pStyle w:val="Footer"/>
            <w:tabs>
              <w:tab w:val="clear" w:pos="4819"/>
              <w:tab w:val="left" w:pos="3119"/>
              <w:tab w:val="left" w:pos="5245"/>
              <w:tab w:val="left" w:pos="6521"/>
            </w:tabs>
            <w:spacing w:before="20"/>
            <w:rPr>
              <w:sz w:val="18"/>
            </w:rPr>
          </w:pPr>
        </w:p>
      </w:tc>
      <w:tc>
        <w:tcPr>
          <w:tcW w:w="1984" w:type="dxa"/>
        </w:tcPr>
        <w:p w:rsidR="00F51527" w:rsidRDefault="00F51527">
          <w:pPr>
            <w:pStyle w:val="Footer"/>
            <w:tabs>
              <w:tab w:val="clear" w:pos="4819"/>
              <w:tab w:val="left" w:pos="3119"/>
              <w:tab w:val="left" w:pos="5245"/>
              <w:tab w:val="left" w:pos="6521"/>
            </w:tabs>
            <w:spacing w:before="40"/>
            <w:rPr>
              <w:rFonts w:cs="Arial"/>
              <w:sz w:val="12"/>
            </w:rPr>
          </w:pPr>
          <w:r>
            <w:rPr>
              <w:rFonts w:cs="Arial"/>
              <w:sz w:val="12"/>
            </w:rPr>
            <w:t>VEROH 6818/w  10.2009</w:t>
          </w:r>
        </w:p>
      </w:tc>
      <w:tc>
        <w:tcPr>
          <w:tcW w:w="426" w:type="dxa"/>
        </w:tcPr>
        <w:p w:rsidR="00F51527" w:rsidRDefault="00F51527">
          <w:pPr>
            <w:pStyle w:val="Footer"/>
            <w:tabs>
              <w:tab w:val="clear" w:pos="4819"/>
              <w:tab w:val="left" w:pos="3119"/>
              <w:tab w:val="left" w:pos="5245"/>
              <w:tab w:val="left" w:pos="6521"/>
            </w:tabs>
            <w:spacing w:before="40"/>
            <w:rPr>
              <w:sz w:val="14"/>
            </w:rPr>
          </w:pPr>
        </w:p>
      </w:tc>
    </w:tr>
  </w:tbl>
  <w:p w:rsidR="00F51527" w:rsidRDefault="00F51527">
    <w:pPr>
      <w:pStyle w:val="Footer"/>
      <w:tabs>
        <w:tab w:val="left" w:pos="6237"/>
      </w:tabs>
      <w:rPr>
        <w:rFonts w:cs="Arial"/>
        <w:sz w:val="1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1527" w:rsidRDefault="00F51527">
      <w:r>
        <w:separator/>
      </w:r>
    </w:p>
  </w:footnote>
  <w:footnote w:type="continuationSeparator" w:id="0">
    <w:p w:rsidR="00F51527" w:rsidRDefault="00F5152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F2AC680"/>
    <w:lvl w:ilvl="0">
      <w:numFmt w:val="decimal"/>
      <w:lvlText w:val="*"/>
      <w:lvlJc w:val="left"/>
      <w:rPr>
        <w:rFonts w:cs="Times New Roman"/>
      </w:rPr>
    </w:lvl>
  </w:abstractNum>
  <w:abstractNum w:abstractNumId="1">
    <w:nsid w:val="0083551C"/>
    <w:multiLevelType w:val="hybridMultilevel"/>
    <w:tmpl w:val="BF8AB0A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3C3C7E24"/>
    <w:multiLevelType w:val="hybridMultilevel"/>
    <w:tmpl w:val="FCF270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3F36413E"/>
    <w:multiLevelType w:val="hybridMultilevel"/>
    <w:tmpl w:val="665A1326"/>
    <w:lvl w:ilvl="0" w:tplc="56243C18">
      <w:start w:val="1"/>
      <w:numFmt w:val="bullet"/>
      <w:lvlText w:val="–"/>
      <w:lvlJc w:val="left"/>
      <w:pPr>
        <w:tabs>
          <w:tab w:val="num" w:pos="2487"/>
        </w:tabs>
        <w:ind w:left="2487" w:hanging="360"/>
      </w:pPr>
      <w:rPr>
        <w:rFonts w:hAnsi="Arial" w:hint="default"/>
        <w:b w:val="0"/>
        <w:i w:val="0"/>
        <w:sz w:val="22"/>
      </w:rPr>
    </w:lvl>
    <w:lvl w:ilvl="1" w:tplc="040B0003">
      <w:start w:val="1"/>
      <w:numFmt w:val="bullet"/>
      <w:lvlText w:val="o"/>
      <w:lvlJc w:val="left"/>
      <w:pPr>
        <w:tabs>
          <w:tab w:val="num" w:pos="1080"/>
        </w:tabs>
        <w:ind w:left="1080" w:hanging="360"/>
      </w:pPr>
      <w:rPr>
        <w:rFonts w:ascii="Courier New" w:hAnsi="Courier New" w:hint="default"/>
      </w:rPr>
    </w:lvl>
    <w:lvl w:ilvl="2" w:tplc="040B0005" w:tentative="1">
      <w:start w:val="1"/>
      <w:numFmt w:val="bullet"/>
      <w:lvlText w:val=""/>
      <w:lvlJc w:val="left"/>
      <w:pPr>
        <w:tabs>
          <w:tab w:val="num" w:pos="1800"/>
        </w:tabs>
        <w:ind w:left="1800" w:hanging="360"/>
      </w:pPr>
      <w:rPr>
        <w:rFonts w:ascii="Wingdings" w:hAnsi="Wingdings" w:hint="default"/>
      </w:rPr>
    </w:lvl>
    <w:lvl w:ilvl="3" w:tplc="040B0001" w:tentative="1">
      <w:start w:val="1"/>
      <w:numFmt w:val="bullet"/>
      <w:lvlText w:val=""/>
      <w:lvlJc w:val="left"/>
      <w:pPr>
        <w:tabs>
          <w:tab w:val="num" w:pos="2520"/>
        </w:tabs>
        <w:ind w:left="2520" w:hanging="360"/>
      </w:pPr>
      <w:rPr>
        <w:rFonts w:ascii="Symbol" w:hAnsi="Symbol" w:hint="default"/>
      </w:rPr>
    </w:lvl>
    <w:lvl w:ilvl="4" w:tplc="040B0003" w:tentative="1">
      <w:start w:val="1"/>
      <w:numFmt w:val="bullet"/>
      <w:lvlText w:val="o"/>
      <w:lvlJc w:val="left"/>
      <w:pPr>
        <w:tabs>
          <w:tab w:val="num" w:pos="3240"/>
        </w:tabs>
        <w:ind w:left="3240" w:hanging="360"/>
      </w:pPr>
      <w:rPr>
        <w:rFonts w:ascii="Courier New" w:hAnsi="Courier New" w:hint="default"/>
      </w:rPr>
    </w:lvl>
    <w:lvl w:ilvl="5" w:tplc="040B0005" w:tentative="1">
      <w:start w:val="1"/>
      <w:numFmt w:val="bullet"/>
      <w:lvlText w:val=""/>
      <w:lvlJc w:val="left"/>
      <w:pPr>
        <w:tabs>
          <w:tab w:val="num" w:pos="3960"/>
        </w:tabs>
        <w:ind w:left="3960" w:hanging="360"/>
      </w:pPr>
      <w:rPr>
        <w:rFonts w:ascii="Wingdings" w:hAnsi="Wingdings" w:hint="default"/>
      </w:rPr>
    </w:lvl>
    <w:lvl w:ilvl="6" w:tplc="040B0001" w:tentative="1">
      <w:start w:val="1"/>
      <w:numFmt w:val="bullet"/>
      <w:lvlText w:val=""/>
      <w:lvlJc w:val="left"/>
      <w:pPr>
        <w:tabs>
          <w:tab w:val="num" w:pos="4680"/>
        </w:tabs>
        <w:ind w:left="4680" w:hanging="360"/>
      </w:pPr>
      <w:rPr>
        <w:rFonts w:ascii="Symbol" w:hAnsi="Symbol" w:hint="default"/>
      </w:rPr>
    </w:lvl>
    <w:lvl w:ilvl="7" w:tplc="040B0003" w:tentative="1">
      <w:start w:val="1"/>
      <w:numFmt w:val="bullet"/>
      <w:lvlText w:val="o"/>
      <w:lvlJc w:val="left"/>
      <w:pPr>
        <w:tabs>
          <w:tab w:val="num" w:pos="5400"/>
        </w:tabs>
        <w:ind w:left="5400" w:hanging="360"/>
      </w:pPr>
      <w:rPr>
        <w:rFonts w:ascii="Courier New" w:hAnsi="Courier New" w:hint="default"/>
      </w:rPr>
    </w:lvl>
    <w:lvl w:ilvl="8" w:tplc="040B0005" w:tentative="1">
      <w:start w:val="1"/>
      <w:numFmt w:val="bullet"/>
      <w:lvlText w:val=""/>
      <w:lvlJc w:val="left"/>
      <w:pPr>
        <w:tabs>
          <w:tab w:val="num" w:pos="6120"/>
        </w:tabs>
        <w:ind w:left="612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91" w:hanging="283"/>
        </w:pPr>
        <w:rPr>
          <w:rFonts w:ascii="Symbol" w:hAnsi="Symbol" w:hint="default"/>
        </w:rPr>
      </w:lvl>
    </w:lvlOverride>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defaultTabStop w:val="1304"/>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A0CEB"/>
    <w:rsid w:val="00003E60"/>
    <w:rsid w:val="00025105"/>
    <w:rsid w:val="00034FCB"/>
    <w:rsid w:val="00046ABA"/>
    <w:rsid w:val="000560AB"/>
    <w:rsid w:val="00057100"/>
    <w:rsid w:val="00067499"/>
    <w:rsid w:val="000921C6"/>
    <w:rsid w:val="000968D6"/>
    <w:rsid w:val="00097496"/>
    <w:rsid w:val="00097C3A"/>
    <w:rsid w:val="000B2EC6"/>
    <w:rsid w:val="000C3312"/>
    <w:rsid w:val="000D4BE8"/>
    <w:rsid w:val="000D4FCE"/>
    <w:rsid w:val="0011029E"/>
    <w:rsid w:val="0011160F"/>
    <w:rsid w:val="00130E97"/>
    <w:rsid w:val="00140C18"/>
    <w:rsid w:val="00156633"/>
    <w:rsid w:val="0017217F"/>
    <w:rsid w:val="001734A2"/>
    <w:rsid w:val="001754AF"/>
    <w:rsid w:val="00187A37"/>
    <w:rsid w:val="00192244"/>
    <w:rsid w:val="001924FC"/>
    <w:rsid w:val="001B4611"/>
    <w:rsid w:val="001B7A86"/>
    <w:rsid w:val="001C0030"/>
    <w:rsid w:val="001D102F"/>
    <w:rsid w:val="00214641"/>
    <w:rsid w:val="00242732"/>
    <w:rsid w:val="002701F0"/>
    <w:rsid w:val="00271036"/>
    <w:rsid w:val="002732FD"/>
    <w:rsid w:val="002738A5"/>
    <w:rsid w:val="00281DC1"/>
    <w:rsid w:val="00282327"/>
    <w:rsid w:val="0029085F"/>
    <w:rsid w:val="00295B1A"/>
    <w:rsid w:val="002A5A9E"/>
    <w:rsid w:val="002C0761"/>
    <w:rsid w:val="002D1B46"/>
    <w:rsid w:val="002D45CC"/>
    <w:rsid w:val="003038B6"/>
    <w:rsid w:val="0030584E"/>
    <w:rsid w:val="003076C1"/>
    <w:rsid w:val="0031676B"/>
    <w:rsid w:val="0033287E"/>
    <w:rsid w:val="00346F03"/>
    <w:rsid w:val="003864AB"/>
    <w:rsid w:val="003C2F9D"/>
    <w:rsid w:val="003D4016"/>
    <w:rsid w:val="003D418D"/>
    <w:rsid w:val="003F284D"/>
    <w:rsid w:val="00407304"/>
    <w:rsid w:val="004544D8"/>
    <w:rsid w:val="004576D2"/>
    <w:rsid w:val="00467035"/>
    <w:rsid w:val="004670BA"/>
    <w:rsid w:val="004814FF"/>
    <w:rsid w:val="0048481B"/>
    <w:rsid w:val="004905CC"/>
    <w:rsid w:val="004D09B1"/>
    <w:rsid w:val="004E1140"/>
    <w:rsid w:val="004E6F1B"/>
    <w:rsid w:val="00502323"/>
    <w:rsid w:val="00502372"/>
    <w:rsid w:val="00502B40"/>
    <w:rsid w:val="00510B47"/>
    <w:rsid w:val="0052742F"/>
    <w:rsid w:val="005502C9"/>
    <w:rsid w:val="00570037"/>
    <w:rsid w:val="00570F44"/>
    <w:rsid w:val="005A5F98"/>
    <w:rsid w:val="005B3F80"/>
    <w:rsid w:val="005C19BC"/>
    <w:rsid w:val="005E6FB6"/>
    <w:rsid w:val="00604BC8"/>
    <w:rsid w:val="00624DAE"/>
    <w:rsid w:val="00630F92"/>
    <w:rsid w:val="006317AC"/>
    <w:rsid w:val="00631CF6"/>
    <w:rsid w:val="00635A00"/>
    <w:rsid w:val="00635DE9"/>
    <w:rsid w:val="00650E79"/>
    <w:rsid w:val="006510C2"/>
    <w:rsid w:val="00654E84"/>
    <w:rsid w:val="006605E0"/>
    <w:rsid w:val="006A0CEB"/>
    <w:rsid w:val="006A6765"/>
    <w:rsid w:val="006C5037"/>
    <w:rsid w:val="006E3736"/>
    <w:rsid w:val="007014FD"/>
    <w:rsid w:val="00713A5B"/>
    <w:rsid w:val="00716CFF"/>
    <w:rsid w:val="007267B8"/>
    <w:rsid w:val="00727EC7"/>
    <w:rsid w:val="00734140"/>
    <w:rsid w:val="00741DDB"/>
    <w:rsid w:val="00754DD2"/>
    <w:rsid w:val="00762046"/>
    <w:rsid w:val="00774399"/>
    <w:rsid w:val="007808DC"/>
    <w:rsid w:val="007845B8"/>
    <w:rsid w:val="00792ECB"/>
    <w:rsid w:val="007969C5"/>
    <w:rsid w:val="007A1596"/>
    <w:rsid w:val="007A1A51"/>
    <w:rsid w:val="007B10C6"/>
    <w:rsid w:val="007D3A8C"/>
    <w:rsid w:val="007D4BB4"/>
    <w:rsid w:val="007E6932"/>
    <w:rsid w:val="008072B6"/>
    <w:rsid w:val="00813EE7"/>
    <w:rsid w:val="0082784F"/>
    <w:rsid w:val="00830703"/>
    <w:rsid w:val="00834507"/>
    <w:rsid w:val="00854FF1"/>
    <w:rsid w:val="0086119B"/>
    <w:rsid w:val="00876F31"/>
    <w:rsid w:val="0089392D"/>
    <w:rsid w:val="008A0A84"/>
    <w:rsid w:val="008D0E3D"/>
    <w:rsid w:val="008D43BA"/>
    <w:rsid w:val="008E7C1E"/>
    <w:rsid w:val="008F5365"/>
    <w:rsid w:val="009166B1"/>
    <w:rsid w:val="00937FB7"/>
    <w:rsid w:val="009407B1"/>
    <w:rsid w:val="0094571F"/>
    <w:rsid w:val="00951FAE"/>
    <w:rsid w:val="00955279"/>
    <w:rsid w:val="00964EEA"/>
    <w:rsid w:val="00967CD1"/>
    <w:rsid w:val="00973D64"/>
    <w:rsid w:val="00975B28"/>
    <w:rsid w:val="00982BE9"/>
    <w:rsid w:val="00984A16"/>
    <w:rsid w:val="00986369"/>
    <w:rsid w:val="009917C3"/>
    <w:rsid w:val="009A68DB"/>
    <w:rsid w:val="009C4BE6"/>
    <w:rsid w:val="009E61C1"/>
    <w:rsid w:val="00A1260F"/>
    <w:rsid w:val="00A23349"/>
    <w:rsid w:val="00A32A72"/>
    <w:rsid w:val="00A418CB"/>
    <w:rsid w:val="00AB034F"/>
    <w:rsid w:val="00AC1AFF"/>
    <w:rsid w:val="00AC25D6"/>
    <w:rsid w:val="00AD4101"/>
    <w:rsid w:val="00AE7934"/>
    <w:rsid w:val="00AF2228"/>
    <w:rsid w:val="00AF7122"/>
    <w:rsid w:val="00AF7D94"/>
    <w:rsid w:val="00B12054"/>
    <w:rsid w:val="00B31ECE"/>
    <w:rsid w:val="00B43BFE"/>
    <w:rsid w:val="00B53243"/>
    <w:rsid w:val="00B55F8A"/>
    <w:rsid w:val="00B84ECD"/>
    <w:rsid w:val="00B96DA6"/>
    <w:rsid w:val="00BC7B7A"/>
    <w:rsid w:val="00BF34DE"/>
    <w:rsid w:val="00C23D64"/>
    <w:rsid w:val="00C2513D"/>
    <w:rsid w:val="00C3742B"/>
    <w:rsid w:val="00C415A4"/>
    <w:rsid w:val="00C635EA"/>
    <w:rsid w:val="00C67C41"/>
    <w:rsid w:val="00C829B4"/>
    <w:rsid w:val="00CA76BF"/>
    <w:rsid w:val="00CB2D98"/>
    <w:rsid w:val="00CC760F"/>
    <w:rsid w:val="00CE119E"/>
    <w:rsid w:val="00CF2A0D"/>
    <w:rsid w:val="00D22412"/>
    <w:rsid w:val="00D31A88"/>
    <w:rsid w:val="00D47255"/>
    <w:rsid w:val="00D71272"/>
    <w:rsid w:val="00DB6C9F"/>
    <w:rsid w:val="00E0243E"/>
    <w:rsid w:val="00E22E80"/>
    <w:rsid w:val="00E24494"/>
    <w:rsid w:val="00E32C63"/>
    <w:rsid w:val="00E44345"/>
    <w:rsid w:val="00E5672A"/>
    <w:rsid w:val="00E840D5"/>
    <w:rsid w:val="00EC4F45"/>
    <w:rsid w:val="00ED09CE"/>
    <w:rsid w:val="00EE20C8"/>
    <w:rsid w:val="00EE58F0"/>
    <w:rsid w:val="00EF73DE"/>
    <w:rsid w:val="00F052D3"/>
    <w:rsid w:val="00F14502"/>
    <w:rsid w:val="00F42496"/>
    <w:rsid w:val="00F51527"/>
    <w:rsid w:val="00F725A5"/>
    <w:rsid w:val="00F8423F"/>
    <w:rsid w:val="00F85B65"/>
    <w:rsid w:val="00F87B1F"/>
    <w:rsid w:val="00FA5F66"/>
    <w:rsid w:val="00FC1619"/>
    <w:rsid w:val="00FE61F3"/>
    <w:rsid w:val="00FF1CD3"/>
    <w:rsid w:val="00FF25AC"/>
  </w:rsids>
  <m:mathPr>
    <m:mathFont m:val="Cambria Math"/>
    <m:brkBin m:val="before"/>
    <m:brkBinSub m:val="--"/>
    <m:smallFrac m:val="off"/>
    <m:dispDef/>
    <m:lMargin m:val="0"/>
    <m:rMargin m:val="0"/>
    <m:defJc m:val="centerGroup"/>
    <m:wrapIndent m:val="1440"/>
    <m:intLim m:val="subSup"/>
    <m:naryLim m:val="undOvr"/>
  </m:mathPr>
  <w:uiCompat97To2003/>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i-FI" w:eastAsia="fi-F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A9E"/>
    <w:pPr>
      <w:overflowPunct w:val="0"/>
      <w:autoSpaceDE w:val="0"/>
      <w:autoSpaceDN w:val="0"/>
      <w:adjustRightInd w:val="0"/>
      <w:textAlignment w:val="baseline"/>
    </w:pPr>
    <w:rPr>
      <w:rFonts w:ascii="Arial" w:hAnsi="Arial"/>
      <w:szCs w:val="20"/>
    </w:rPr>
  </w:style>
  <w:style w:type="paragraph" w:styleId="Heading1">
    <w:name w:val="heading 1"/>
    <w:basedOn w:val="Normal"/>
    <w:next w:val="Normal"/>
    <w:link w:val="Heading1Char"/>
    <w:uiPriority w:val="99"/>
    <w:qFormat/>
    <w:rsid w:val="002A5A9E"/>
    <w:pPr>
      <w:keepNext/>
      <w:outlineLvl w:val="0"/>
    </w:pPr>
    <w:rPr>
      <w:rFonts w:cs="Arial"/>
      <w:b/>
      <w:bCs/>
    </w:rPr>
  </w:style>
  <w:style w:type="paragraph" w:styleId="Heading2">
    <w:name w:val="heading 2"/>
    <w:basedOn w:val="Normal"/>
    <w:next w:val="Normal"/>
    <w:link w:val="Heading2Char"/>
    <w:uiPriority w:val="99"/>
    <w:qFormat/>
    <w:rsid w:val="002A5A9E"/>
    <w:pPr>
      <w:keepNext/>
      <w:outlineLvl w:val="1"/>
    </w:pPr>
    <w:rPr>
      <w: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108C"/>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A5108C"/>
    <w:rPr>
      <w:rFonts w:asciiTheme="majorHAnsi" w:eastAsiaTheme="majorEastAsia" w:hAnsiTheme="majorHAnsi" w:cstheme="majorBidi"/>
      <w:b/>
      <w:bCs/>
      <w:i/>
      <w:iCs/>
      <w:sz w:val="28"/>
      <w:szCs w:val="28"/>
    </w:rPr>
  </w:style>
  <w:style w:type="paragraph" w:styleId="Header">
    <w:name w:val="header"/>
    <w:basedOn w:val="Normal"/>
    <w:link w:val="HeaderChar"/>
    <w:uiPriority w:val="99"/>
    <w:semiHidden/>
    <w:rsid w:val="002A5A9E"/>
    <w:pPr>
      <w:tabs>
        <w:tab w:val="center" w:pos="4819"/>
        <w:tab w:val="right" w:pos="9638"/>
      </w:tabs>
    </w:pPr>
  </w:style>
  <w:style w:type="character" w:customStyle="1" w:styleId="HeaderChar">
    <w:name w:val="Header Char"/>
    <w:basedOn w:val="DefaultParagraphFont"/>
    <w:link w:val="Header"/>
    <w:uiPriority w:val="99"/>
    <w:semiHidden/>
    <w:rsid w:val="00A5108C"/>
    <w:rPr>
      <w:rFonts w:ascii="Arial" w:hAnsi="Arial"/>
      <w:szCs w:val="20"/>
    </w:rPr>
  </w:style>
  <w:style w:type="paragraph" w:styleId="Footer">
    <w:name w:val="footer"/>
    <w:basedOn w:val="Normal"/>
    <w:link w:val="FooterChar"/>
    <w:uiPriority w:val="99"/>
    <w:semiHidden/>
    <w:rsid w:val="002A5A9E"/>
    <w:pPr>
      <w:tabs>
        <w:tab w:val="center" w:pos="4819"/>
        <w:tab w:val="right" w:pos="9638"/>
      </w:tabs>
    </w:pPr>
  </w:style>
  <w:style w:type="character" w:customStyle="1" w:styleId="FooterChar">
    <w:name w:val="Footer Char"/>
    <w:basedOn w:val="DefaultParagraphFont"/>
    <w:link w:val="Footer"/>
    <w:uiPriority w:val="99"/>
    <w:semiHidden/>
    <w:rsid w:val="00A5108C"/>
    <w:rPr>
      <w:rFonts w:ascii="Arial" w:hAnsi="Arial"/>
      <w:szCs w:val="20"/>
    </w:rPr>
  </w:style>
  <w:style w:type="paragraph" w:styleId="BodyTextIndent">
    <w:name w:val="Body Text Indent"/>
    <w:basedOn w:val="Normal"/>
    <w:link w:val="BodyTextIndentChar"/>
    <w:uiPriority w:val="99"/>
    <w:semiHidden/>
    <w:rsid w:val="002A5A9E"/>
    <w:pPr>
      <w:overflowPunct/>
      <w:autoSpaceDE/>
      <w:autoSpaceDN/>
      <w:adjustRightInd/>
      <w:ind w:left="1304"/>
      <w:jc w:val="both"/>
      <w:textAlignment w:val="auto"/>
    </w:pPr>
    <w:rPr>
      <w:rFonts w:ascii="Times" w:hAnsi="Times"/>
      <w:lang w:val="nl-NL"/>
    </w:rPr>
  </w:style>
  <w:style w:type="character" w:customStyle="1" w:styleId="BodyTextIndentChar">
    <w:name w:val="Body Text Indent Char"/>
    <w:basedOn w:val="DefaultParagraphFont"/>
    <w:link w:val="BodyTextIndent"/>
    <w:uiPriority w:val="99"/>
    <w:semiHidden/>
    <w:rsid w:val="00A5108C"/>
    <w:rPr>
      <w:rFonts w:ascii="Arial" w:hAnsi="Arial"/>
      <w:szCs w:val="20"/>
    </w:rPr>
  </w:style>
  <w:style w:type="paragraph" w:styleId="BodyTextIndent2">
    <w:name w:val="Body Text Indent 2"/>
    <w:basedOn w:val="Normal"/>
    <w:link w:val="BodyTextIndent2Char"/>
    <w:uiPriority w:val="99"/>
    <w:semiHidden/>
    <w:rsid w:val="002A5A9E"/>
    <w:pPr>
      <w:ind w:left="1304" w:firstLine="1"/>
      <w:jc w:val="both"/>
    </w:pPr>
  </w:style>
  <w:style w:type="character" w:customStyle="1" w:styleId="BodyTextIndent2Char">
    <w:name w:val="Body Text Indent 2 Char"/>
    <w:basedOn w:val="DefaultParagraphFont"/>
    <w:link w:val="BodyTextIndent2"/>
    <w:uiPriority w:val="99"/>
    <w:semiHidden/>
    <w:rsid w:val="00A5108C"/>
    <w:rPr>
      <w:rFonts w:ascii="Arial" w:hAnsi="Arial"/>
      <w:szCs w:val="20"/>
    </w:rPr>
  </w:style>
  <w:style w:type="character" w:styleId="Hyperlink">
    <w:name w:val="Hyperlink"/>
    <w:basedOn w:val="DefaultParagraphFont"/>
    <w:uiPriority w:val="99"/>
    <w:semiHidden/>
    <w:rsid w:val="002A5A9E"/>
    <w:rPr>
      <w:rFonts w:cs="Times New Roman"/>
      <w:color w:val="0000FF"/>
      <w:u w:val="single"/>
    </w:rPr>
  </w:style>
  <w:style w:type="character" w:styleId="FollowedHyperlink">
    <w:name w:val="FollowedHyperlink"/>
    <w:basedOn w:val="DefaultParagraphFont"/>
    <w:uiPriority w:val="99"/>
    <w:semiHidden/>
    <w:rsid w:val="002A5A9E"/>
    <w:rPr>
      <w:rFonts w:cs="Times New Roman"/>
      <w:color w:val="800080"/>
      <w:u w:val="single"/>
    </w:rPr>
  </w:style>
  <w:style w:type="paragraph" w:styleId="BodyTextIndent3">
    <w:name w:val="Body Text Indent 3"/>
    <w:basedOn w:val="Normal"/>
    <w:link w:val="BodyTextIndent3Char"/>
    <w:uiPriority w:val="99"/>
    <w:semiHidden/>
    <w:rsid w:val="002A5A9E"/>
    <w:pPr>
      <w:ind w:left="2127"/>
    </w:pPr>
  </w:style>
  <w:style w:type="character" w:customStyle="1" w:styleId="BodyTextIndent3Char">
    <w:name w:val="Body Text Indent 3 Char"/>
    <w:basedOn w:val="DefaultParagraphFont"/>
    <w:link w:val="BodyTextIndent3"/>
    <w:uiPriority w:val="99"/>
    <w:semiHidden/>
    <w:rsid w:val="00A5108C"/>
    <w:rPr>
      <w:rFonts w:ascii="Arial" w:hAnsi="Arial"/>
      <w:sz w:val="16"/>
      <w:szCs w:val="16"/>
    </w:rPr>
  </w:style>
  <w:style w:type="paragraph" w:customStyle="1" w:styleId="LeiptekstiVero">
    <w:name w:val="Leipäteksti Vero"/>
    <w:basedOn w:val="Normal"/>
    <w:uiPriority w:val="99"/>
    <w:rsid w:val="00C2513D"/>
    <w:pPr>
      <w:spacing w:before="160" w:after="120"/>
      <w:ind w:left="1701"/>
      <w:jc w:val="both"/>
    </w:pPr>
    <w:rPr>
      <w:lang w:val="en-GB"/>
    </w:rPr>
  </w:style>
  <w:style w:type="paragraph" w:customStyle="1" w:styleId="tyylimolemmatreunat">
    <w:name w:val="tyylimolemmatreunat"/>
    <w:basedOn w:val="Normal"/>
    <w:uiPriority w:val="99"/>
    <w:rsid w:val="00C2513D"/>
    <w:pPr>
      <w:overflowPunct/>
      <w:autoSpaceDE/>
      <w:autoSpaceDN/>
      <w:adjustRightInd/>
      <w:textAlignment w:val="auto"/>
    </w:pPr>
    <w:rPr>
      <w:rFonts w:ascii="Times New Roman" w:hAnsi="Times New Roman"/>
      <w:sz w:val="24"/>
      <w:szCs w:val="24"/>
    </w:rPr>
  </w:style>
  <w:style w:type="paragraph" w:styleId="BodyText3">
    <w:name w:val="Body Text 3"/>
    <w:basedOn w:val="Normal"/>
    <w:link w:val="BodyText3Char"/>
    <w:uiPriority w:val="99"/>
    <w:semiHidden/>
    <w:rsid w:val="00C2513D"/>
    <w:pPr>
      <w:overflowPunct/>
      <w:autoSpaceDE/>
      <w:autoSpaceDN/>
      <w:adjustRightInd/>
      <w:jc w:val="both"/>
      <w:textAlignment w:val="auto"/>
    </w:pPr>
    <w:rPr>
      <w:rFonts w:ascii="Times New Roman" w:hAnsi="Times New Roman"/>
      <w:sz w:val="20"/>
      <w:szCs w:val="24"/>
    </w:rPr>
  </w:style>
  <w:style w:type="character" w:customStyle="1" w:styleId="BodyText3Char">
    <w:name w:val="Body Text 3 Char"/>
    <w:basedOn w:val="DefaultParagraphFont"/>
    <w:link w:val="BodyText3"/>
    <w:uiPriority w:val="99"/>
    <w:semiHidden/>
    <w:locked/>
    <w:rsid w:val="00C2513D"/>
    <w:rPr>
      <w:rFonts w:cs="Times New Roman"/>
      <w:sz w:val="24"/>
      <w:szCs w:val="24"/>
    </w:rPr>
  </w:style>
  <w:style w:type="paragraph" w:styleId="BodyText">
    <w:name w:val="Body Text"/>
    <w:basedOn w:val="Normal"/>
    <w:link w:val="BodyTextChar"/>
    <w:uiPriority w:val="99"/>
    <w:semiHidden/>
    <w:rsid w:val="00C2513D"/>
    <w:pPr>
      <w:spacing w:after="120"/>
      <w:jc w:val="both"/>
    </w:pPr>
    <w:rPr>
      <w:lang w:val="en-GB"/>
    </w:rPr>
  </w:style>
  <w:style w:type="character" w:customStyle="1" w:styleId="BodyTextChar">
    <w:name w:val="Body Text Char"/>
    <w:basedOn w:val="DefaultParagraphFont"/>
    <w:link w:val="BodyText"/>
    <w:uiPriority w:val="99"/>
    <w:semiHidden/>
    <w:locked/>
    <w:rsid w:val="00C2513D"/>
    <w:rPr>
      <w:rFonts w:ascii="Arial" w:hAnsi="Arial" w:cs="Times New Roman"/>
      <w:sz w:val="22"/>
      <w:lang w:val="en-GB"/>
    </w:rPr>
  </w:style>
  <w:style w:type="paragraph" w:styleId="ListParagraph">
    <w:name w:val="List Paragraph"/>
    <w:basedOn w:val="Normal"/>
    <w:uiPriority w:val="99"/>
    <w:qFormat/>
    <w:rsid w:val="00E44345"/>
    <w:pPr>
      <w:ind w:left="720"/>
      <w:contextualSpacing/>
    </w:pPr>
  </w:style>
  <w:style w:type="paragraph" w:styleId="BalloonText">
    <w:name w:val="Balloon Text"/>
    <w:basedOn w:val="Normal"/>
    <w:link w:val="BalloonTextChar"/>
    <w:uiPriority w:val="99"/>
    <w:semiHidden/>
    <w:rsid w:val="00713A5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13A5B"/>
    <w:rPr>
      <w:rFonts w:ascii="Tahoma" w:hAnsi="Tahoma" w:cs="Tahoma"/>
      <w:sz w:val="16"/>
      <w:szCs w:val="16"/>
    </w:rPr>
  </w:style>
  <w:style w:type="paragraph" w:customStyle="1" w:styleId="Default">
    <w:name w:val="Default"/>
    <w:uiPriority w:val="99"/>
    <w:rsid w:val="007267B8"/>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uiPriority w:val="99"/>
    <w:semiHidden/>
    <w:rsid w:val="00654E84"/>
    <w:rPr>
      <w:sz w:val="20"/>
    </w:rPr>
  </w:style>
  <w:style w:type="character" w:customStyle="1" w:styleId="FootnoteTextChar">
    <w:name w:val="Footnote Text Char"/>
    <w:basedOn w:val="DefaultParagraphFont"/>
    <w:link w:val="FootnoteText"/>
    <w:uiPriority w:val="99"/>
    <w:semiHidden/>
    <w:locked/>
    <w:rsid w:val="00654E84"/>
    <w:rPr>
      <w:rFonts w:ascii="Arial" w:hAnsi="Arial" w:cs="Times New Roman"/>
    </w:rPr>
  </w:style>
  <w:style w:type="character" w:styleId="FootnoteReference">
    <w:name w:val="footnote reference"/>
    <w:basedOn w:val="DefaultParagraphFont"/>
    <w:uiPriority w:val="99"/>
    <w:semiHidden/>
    <w:rsid w:val="00654E84"/>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20010372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ohjelmat\VH_Office\Mallit\Tiedostot\Yleiset%20-%20Allm&#228;nna\6818%20kirj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6818 kirje.dot</Template>
  <TotalTime>1</TotalTime>
  <Pages>5</Pages>
  <Words>1587</Words>
  <Characters>12860</Characters>
  <Application>Microsoft Office Outlook</Application>
  <DocSecurity>0</DocSecurity>
  <Lines>0</Lines>
  <Paragraphs>0</Paragraphs>
  <ScaleCrop>false</ScaleCrop>
  <Company>Verohallinto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VEROHALLINTO</dc:title>
  <dc:subject/>
  <dc:creator>Pirjo Väärä</dc:creator>
  <cp:keywords/>
  <dc:description/>
  <cp:lastModifiedBy>O924180</cp:lastModifiedBy>
  <cp:revision>2</cp:revision>
  <cp:lastPrinted>2013-07-08T04:38:00Z</cp:lastPrinted>
  <dcterms:created xsi:type="dcterms:W3CDTF">2013-07-08T04:39:00Z</dcterms:created>
  <dcterms:modified xsi:type="dcterms:W3CDTF">2013-07-08T04:39:00Z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0x0101001F3670C6E9B7BB4D949F368261049DE0</vt:lpwstr>
  </property>
</Properties>
</file>