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746E18" w:rsidP="00D90DA6">
            <w:pPr>
              <w:pStyle w:val="Yltunniste"/>
            </w:pPr>
            <w:bookmarkStart w:id="0" w:name="DocRecCompany"/>
            <w:bookmarkStart w:id="1" w:name="_GoBack" w:colFirst="1" w:colLast="1"/>
            <w:r>
              <w:t>Puolustusministeriö</w:t>
            </w:r>
            <w:bookmarkEnd w:id="0"/>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746E18" w:rsidP="00D90DA6">
            <w:pPr>
              <w:pStyle w:val="Yltunniste"/>
              <w:rPr>
                <w:rFonts w:cs="Arial"/>
              </w:rPr>
            </w:pPr>
            <w:bookmarkStart w:id="6" w:name="DocRecPostalAddress"/>
            <w:r>
              <w:rPr>
                <w:rFonts w:cs="Arial"/>
              </w:rPr>
              <w:t>PL 31</w:t>
            </w:r>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746E18" w:rsidP="00D90DA6">
            <w:pPr>
              <w:pStyle w:val="Yltunniste"/>
              <w:rPr>
                <w:rFonts w:cs="Arial"/>
              </w:rPr>
            </w:pPr>
            <w:bookmarkStart w:id="7" w:name="DocRecPostalCode"/>
            <w:r>
              <w:rPr>
                <w:rFonts w:cs="Arial"/>
              </w:rPr>
              <w:t>00131</w:t>
            </w:r>
            <w:bookmarkEnd w:id="7"/>
            <w:r w:rsidR="00361E5A">
              <w:rPr>
                <w:rFonts w:cs="Arial"/>
              </w:rPr>
              <w:t xml:space="preserve"> </w:t>
            </w:r>
            <w:bookmarkStart w:id="8" w:name="DocRecPostalRegion"/>
            <w:r>
              <w:rPr>
                <w:rFonts w:cs="Arial"/>
              </w:rPr>
              <w:t>HELSINKI</w:t>
            </w:r>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bookmarkEnd w:id="1"/>
    </w:tbl>
    <w:p w:rsidR="00773C73" w:rsidRDefault="00773C73" w:rsidP="00571327"/>
    <w:p w:rsidR="00773C73" w:rsidRDefault="003A63D9" w:rsidP="00A31FCB">
      <w:pPr>
        <w:pStyle w:val="Viite"/>
      </w:pPr>
      <w:r w:rsidRPr="003A63D9">
        <w:t>PE ak AN22523, 12.12.2017</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746E18" w:rsidP="00571327">
            <w:pPr>
              <w:pStyle w:val="Otsikko"/>
            </w:pPr>
            <w:bookmarkStart w:id="10" w:name="DocTitle"/>
            <w:r>
              <w:t>PÄÄESIKUNNAN LAUSUNTO MIEHITTÄMÄTÖNTÄ ILMAILUA JA LENNOKKITOIMINTAA KOSKEVISTA LAINSÄÄDÄNTÖMUUTOSESITYKSISTÄ</w:t>
            </w:r>
            <w:bookmarkEnd w:id="10"/>
          </w:p>
        </w:tc>
      </w:tr>
    </w:tbl>
    <w:p w:rsidR="0043598A" w:rsidRDefault="0043598A" w:rsidP="0043598A">
      <w:pPr>
        <w:pStyle w:val="SisennysC2"/>
      </w:pPr>
      <w:r>
        <w:t>Puolustusministeriö on viiteasiakirjalla pyytänyt pääesikunnan lausuntoa puolustusministeriön asettaman työryhmän mietinnöstä koskien miehittämätöntä ilmailua ja lennokkitoimintaa. Työryhmän mietintö kä</w:t>
      </w:r>
      <w:r w:rsidR="00746E18">
        <w:t>sittelee mainitun</w:t>
      </w:r>
      <w:r>
        <w:t xml:space="preserve"> lainsäädännön kehittämistä turvallisuuden näkökulmasta. </w:t>
      </w:r>
    </w:p>
    <w:p w:rsidR="0043598A" w:rsidRDefault="00A2209A" w:rsidP="0043598A">
      <w:pPr>
        <w:ind w:left="2591"/>
        <w:jc w:val="both"/>
      </w:pPr>
      <w:r>
        <w:t>Pääesikunnan lausunto on valmisteltu oikeudellisella osastolla. Oikeudellinen osasto on varannut asiassa mahdollisuuden lausunnon antamiseen pääesikunnan tiedusteluosastolle, operatiiviselle osastolle, logistiikkaosastolle, suunnitteluosastolle ja johtamisjärjestelmäosastolle, sekä maavoimien, ilmavoimien ja merivoimien esikunnalle sekä puolustusvoimien logistiikkalaitoksen esikunnalle. Pääesikunnan tiedusteluosasto ja operatiivinen osasto sekä maavoimien, ilmavoimien ja merivoimien esikunta sekä puolustusvoimien logistiikkalaitoksen esikunta ovat toimittaneet määräajassa lausuntonsa oikeudelliselle osastolle.</w:t>
      </w:r>
    </w:p>
    <w:p w:rsidR="0043598A" w:rsidRPr="00D746CE" w:rsidRDefault="0043598A" w:rsidP="0043598A">
      <w:pPr>
        <w:tabs>
          <w:tab w:val="left" w:pos="0"/>
          <w:tab w:val="left" w:pos="7779"/>
        </w:tabs>
        <w:spacing w:before="140" w:after="120"/>
        <w:ind w:left="2591"/>
        <w:jc w:val="both"/>
      </w:pPr>
      <w:r>
        <w:t>Yleisesti pääesikunta toteaa, että tarve lainsäädännön kehittämiselle mietinnöstä ilmenevin tavoin on selvästi olemassa. Turvallisuusympäristön kehitys edellyttää riittäviä ja lainsäädännössä yksilöityjä toimivaltuuksia keskeisten toimintojen ja kohteiden turvallisuuden ylläpitämiseksi sekä niihin kohdistuviin uhkiin vastaamiseksi.</w:t>
      </w:r>
      <w:r w:rsidRPr="00033304">
        <w:t xml:space="preserve"> </w:t>
      </w:r>
      <w:r>
        <w:t>Voimassaoleva lainsäädäntö jättää puolustusvoimien toimivallan puuttua lennokin ja miehittämättömän ilma-aluksen kulkuun osin tulkinnanvaraiseksi. Ehdotetut uudet säännökset</w:t>
      </w:r>
      <w:r w:rsidRPr="00D746CE">
        <w:t xml:space="preserve"> selkeyttävät </w:t>
      </w:r>
      <w:r>
        <w:t xml:space="preserve">merkittävästi </w:t>
      </w:r>
      <w:r w:rsidRPr="00D746CE">
        <w:t xml:space="preserve">nykyistä oikeustilaa ja </w:t>
      </w:r>
      <w:r>
        <w:t xml:space="preserve">antavat puolustusvoimille riittävät perusteet puuttua lennokkien ja miehittämättömien ilma-alusten kulkuun alueilla ja toiminnassa, joilla niiden käyttö voi aiheuttaa turvallisuusriskin puolustusvoimien kohteille ja toiminnalle. </w:t>
      </w:r>
    </w:p>
    <w:p w:rsidR="0043598A" w:rsidRDefault="0043598A" w:rsidP="0043598A">
      <w:pPr>
        <w:autoSpaceDE w:val="0"/>
        <w:autoSpaceDN w:val="0"/>
        <w:adjustRightInd w:val="0"/>
        <w:ind w:left="2591" w:firstLine="5"/>
        <w:rPr>
          <w:rFonts w:cs="Arial"/>
        </w:rPr>
      </w:pPr>
      <w:r>
        <w:t>Pääesikunta kiinnittää huomiota e</w:t>
      </w:r>
      <w:r w:rsidRPr="0038567F">
        <w:t>hdotet</w:t>
      </w:r>
      <w:r>
        <w:t>tu</w:t>
      </w:r>
      <w:r w:rsidRPr="0038567F">
        <w:t xml:space="preserve">un 15 a </w:t>
      </w:r>
      <w:r w:rsidR="00A2209A">
        <w:t>pykäl</w:t>
      </w:r>
      <w:r>
        <w:t xml:space="preserve">ään. Pykälän </w:t>
      </w:r>
      <w:r w:rsidRPr="0038567F">
        <w:t>1 momentin</w:t>
      </w:r>
      <w:r>
        <w:t xml:space="preserve"> </w:t>
      </w:r>
      <w:r w:rsidRPr="0038567F">
        <w:t>muka</w:t>
      </w:r>
      <w:r>
        <w:t>is</w:t>
      </w:r>
      <w:r w:rsidR="00A2209A">
        <w:t>t</w:t>
      </w:r>
      <w:r>
        <w:t>en</w:t>
      </w:r>
      <w:r w:rsidRPr="0074323B">
        <w:rPr>
          <w:rFonts w:cs="Arial"/>
        </w:rPr>
        <w:t xml:space="preserve"> </w:t>
      </w:r>
      <w:r w:rsidR="00A2209A">
        <w:rPr>
          <w:rFonts w:cs="Arial"/>
        </w:rPr>
        <w:t>toimivaltuuksie</w:t>
      </w:r>
      <w:r>
        <w:rPr>
          <w:rFonts w:cs="Arial"/>
        </w:rPr>
        <w:t>n käyttäminen olisi mahdollista vain puolustusvoimien pysyvässä käytössä ja harjoituskäytössä olevalle alueella, ei näiden alueiden ulkopuolella. Ehdotetun pykälän 2 momentin mukaan puolustusvoimilla olisi toimivalt</w:t>
      </w:r>
      <w:r w:rsidR="00A2209A">
        <w:rPr>
          <w:rFonts w:cs="Arial"/>
        </w:rPr>
        <w:t>uudet</w:t>
      </w:r>
      <w:r>
        <w:rPr>
          <w:rFonts w:cs="Arial"/>
        </w:rPr>
        <w:t xml:space="preserve"> puuttua lennokin ja miehittämättömän ilma-aluksen kulkuun myös yleisellä paikalla, </w:t>
      </w:r>
      <w:r>
        <w:rPr>
          <w:rFonts w:cs="Arial"/>
        </w:rPr>
        <w:lastRenderedPageBreak/>
        <w:t>mutta k</w:t>
      </w:r>
      <w:r w:rsidRPr="00540B3A">
        <w:rPr>
          <w:rFonts w:cs="Arial"/>
        </w:rPr>
        <w:t xml:space="preserve">ynnys </w:t>
      </w:r>
      <w:r w:rsidR="00A2209A">
        <w:rPr>
          <w:rFonts w:cs="Arial"/>
        </w:rPr>
        <w:t>toimivaltuuksien</w:t>
      </w:r>
      <w:r w:rsidRPr="00540B3A">
        <w:rPr>
          <w:rFonts w:cs="Arial"/>
        </w:rPr>
        <w:t xml:space="preserve"> käyttöön olisi</w:t>
      </w:r>
      <w:r w:rsidR="00A2209A">
        <w:rPr>
          <w:rFonts w:cs="Arial"/>
        </w:rPr>
        <w:t xml:space="preserve"> silloin</w:t>
      </w:r>
      <w:r w:rsidRPr="00540B3A">
        <w:rPr>
          <w:rFonts w:cs="Arial"/>
        </w:rPr>
        <w:t xml:space="preserve"> </w:t>
      </w:r>
      <w:r>
        <w:rPr>
          <w:rFonts w:cs="Arial"/>
        </w:rPr>
        <w:t>korkeampi.</w:t>
      </w:r>
    </w:p>
    <w:p w:rsidR="0043598A" w:rsidRDefault="0043598A" w:rsidP="0043598A">
      <w:pPr>
        <w:pStyle w:val="SisennysC2"/>
      </w:pPr>
      <w:r>
        <w:t xml:space="preserve">Pääesikunta </w:t>
      </w:r>
      <w:r w:rsidR="00A2209A">
        <w:t>huomauttaa</w:t>
      </w:r>
      <w:r>
        <w:t>, että lennokilla ja miehittämättömällä ilma-aluksella on käytännössä mahdollista kerätä tarkkaakin tietoa puolustusvoimien toiminnasta siten, että tiedon kerääminen tapahtuu puolustusvoimien alueen ulkopuolelta</w:t>
      </w:r>
      <w:r w:rsidR="00B33FB9">
        <w:t xml:space="preserve"> ilman, että</w:t>
      </w:r>
      <w:r>
        <w:t xml:space="preserve"> lennokki tai miehittämätön ilma-alus </w:t>
      </w:r>
      <w:r w:rsidR="00B33FB9">
        <w:t>saapuisi</w:t>
      </w:r>
      <w:r>
        <w:t xml:space="preserve"> puolustusvoimien alueelle. Tällaisia kohteita voivat olla esimerkiksi puolustusvoimien varastot, joiden yläpuolella ei ole ilmailun rajoitusaluetta. Pääesikunta pitää tärkeänä, että myös puolustusvoimien alueen ulkopuolelta tapahtuvaan, puolustusvoimiin kohdistuvaan toimintaan voidaan puuttua tehokkaasti. Mikäli 1 momentin mukai</w:t>
      </w:r>
      <w:r w:rsidR="00A2209A">
        <w:t>set</w:t>
      </w:r>
      <w:r>
        <w:t xml:space="preserve"> toimivalt</w:t>
      </w:r>
      <w:r w:rsidR="00A2209A">
        <w:t>uudet</w:t>
      </w:r>
      <w:r>
        <w:t xml:space="preserve"> o</w:t>
      </w:r>
      <w:r w:rsidR="00A2209A">
        <w:t>vat</w:t>
      </w:r>
      <w:r>
        <w:t xml:space="preserve"> sidottu puolustusvoimien alueeseen, tulisi 2 momenttia voida soveltaa edellä kuvatun kaltais</w:t>
      </w:r>
      <w:r w:rsidR="00A2209A">
        <w:t xml:space="preserve">issa tilanteissa joustavasti, </w:t>
      </w:r>
      <w:r>
        <w:t xml:space="preserve">ilman tarpeetonta viivytystä. </w:t>
      </w:r>
    </w:p>
    <w:p w:rsidR="0043598A" w:rsidRDefault="0043598A" w:rsidP="0043598A">
      <w:pPr>
        <w:pStyle w:val="SisennysC2"/>
      </w:pPr>
      <w:r>
        <w:t xml:space="preserve">Ehdotetun 2 momentin soveltaminen </w:t>
      </w:r>
      <w:r w:rsidR="00B900F8">
        <w:t xml:space="preserve">edellä kuvatun kaltaisissa tilanteissa </w:t>
      </w:r>
      <w:r>
        <w:t xml:space="preserve">merkitsisi pääesikunnan näkemyksen mukaan sitä, että puolustusvoimien alueen ympärille määriteltäisiin alue, jolla olisi voimassa 15 b §:ssä tarkoitettu päätös. Päätös voitaisiin tehdä </w:t>
      </w:r>
      <w:r w:rsidR="003800AD">
        <w:t>tietyksi määräajaksi</w:t>
      </w:r>
      <w:r>
        <w:t xml:space="preserve"> kerrallaan ja se uusittaisiin tarvittaessa. Menettely </w:t>
      </w:r>
      <w:r w:rsidR="0054689F">
        <w:t xml:space="preserve">ei kuitenkaan saisi </w:t>
      </w:r>
      <w:r>
        <w:t>käytännössä johtaa tilanteese</w:t>
      </w:r>
      <w:r w:rsidR="003800AD">
        <w:t>en, jo</w:t>
      </w:r>
      <w:r>
        <w:t xml:space="preserve">ssa päätös olisi tosiasiallisesti voimassa pysyvästi, mikä ei ole säännöksen tarkoitus. Määräaikaisen päätöksen tekeminen vasta siinä vaiheessa kun lennokki tai miehittämätön ilma-alus havaitaan, </w:t>
      </w:r>
      <w:r w:rsidR="00A2209A">
        <w:t>tapahtuisi taas</w:t>
      </w:r>
      <w:r>
        <w:t xml:space="preserve"> liian myöhään.</w:t>
      </w:r>
    </w:p>
    <w:p w:rsidR="0043598A" w:rsidRDefault="0043598A" w:rsidP="0043598A">
      <w:pPr>
        <w:tabs>
          <w:tab w:val="left" w:pos="0"/>
          <w:tab w:val="left" w:pos="7779"/>
        </w:tabs>
        <w:spacing w:before="140" w:after="120"/>
        <w:ind w:left="2591"/>
        <w:jc w:val="both"/>
      </w:pPr>
      <w:r>
        <w:t xml:space="preserve">Ehdotuksen 15 e §:ssä </w:t>
      </w:r>
      <w:r w:rsidR="00A2209A">
        <w:t>säädetään menettelytavoista</w:t>
      </w:r>
      <w:r>
        <w:t xml:space="preserve"> haltuun otetun laitteen käsitte</w:t>
      </w:r>
      <w:r w:rsidR="00A2209A">
        <w:t>lyssä</w:t>
      </w:r>
      <w:r>
        <w:t xml:space="preserve">. </w:t>
      </w:r>
      <w:r w:rsidR="00B900F8">
        <w:t>Haltuun</w:t>
      </w:r>
      <w:r w:rsidR="003800AD">
        <w:t xml:space="preserve"> ottoa koskevassa sääntelyssä tulisi </w:t>
      </w:r>
      <w:r w:rsidR="00B900F8">
        <w:t>vielä tarkastella</w:t>
      </w:r>
      <w:r w:rsidR="003800AD">
        <w:t xml:space="preserve"> mahdollisuus </w:t>
      </w:r>
      <w:r>
        <w:t xml:space="preserve">ottaa haltuun </w:t>
      </w:r>
      <w:r w:rsidR="00B900F8">
        <w:t>muutakin kuin</w:t>
      </w:r>
      <w:r>
        <w:t xml:space="preserve"> vain itse laite. </w:t>
      </w:r>
      <w:r w:rsidR="00B900F8">
        <w:t>Tarve saattaa</w:t>
      </w:r>
      <w:r>
        <w:t xml:space="preserve"> kattaa myös laitteen mahdollisen hyötykuorman, laitteen ohjauslaitteiston ja järjestelmän, (ml. viestilinkit, tallennuslaitteet sekä verkkoon syötetyn tiedon, domainit tai verkko-osoitteet). </w:t>
      </w:r>
    </w:p>
    <w:p w:rsidR="00746E18" w:rsidRDefault="00746E18" w:rsidP="0043598A">
      <w:pPr>
        <w:tabs>
          <w:tab w:val="left" w:pos="0"/>
        </w:tabs>
        <w:spacing w:before="140" w:after="120"/>
        <w:ind w:left="2591"/>
        <w:jc w:val="both"/>
      </w:pPr>
    </w:p>
    <w:p w:rsidR="00746E18" w:rsidRPr="00746E18" w:rsidRDefault="00746E18" w:rsidP="0043598A">
      <w:pPr>
        <w:tabs>
          <w:tab w:val="left" w:pos="0"/>
        </w:tabs>
        <w:spacing w:before="140" w:after="120"/>
        <w:ind w:left="2591"/>
        <w:jc w:val="both"/>
        <w:rPr>
          <w:b/>
        </w:rPr>
      </w:pPr>
      <w:r w:rsidRPr="00746E18">
        <w:rPr>
          <w:b/>
        </w:rPr>
        <w:t>Säädöstekniset havainnot</w:t>
      </w:r>
    </w:p>
    <w:p w:rsidR="002D52A1" w:rsidRDefault="002D52A1" w:rsidP="002D52A1">
      <w:pPr>
        <w:pStyle w:val="SisennysC2"/>
      </w:pPr>
      <w:r>
        <w:t xml:space="preserve">Pääesikunta huomauttaa, että ehdotetun 15 a §:n 1 momentti on rakenteeltaan yksi pitkä lause ja sisältää paljon oikeudellisesti relevantteja yksityiskohtia. Kun kyse on operatiivisesta toiminnasta, säännöksen tulisi kuitenkin olla sisällöltään mahdollisimman selkeä ja yksinkertainen. Pääesikunta ehdottaa luettavuuden parantamiseksi momentin jäsentelyn muokkaamista esimerkiksi seuraavasti: </w:t>
      </w:r>
    </w:p>
    <w:p w:rsidR="002D52A1" w:rsidRDefault="002D52A1" w:rsidP="002D52A1">
      <w:pPr>
        <w:pStyle w:val="SisennysC2"/>
        <w:rPr>
          <w:i/>
        </w:rPr>
      </w:pPr>
      <w:r>
        <w:t xml:space="preserve">15 a § </w:t>
      </w:r>
      <w:r>
        <w:rPr>
          <w:i/>
        </w:rPr>
        <w:t>Lennokin ja miehittämättömän ilma-aluksen kulkuun puuttuminen</w:t>
      </w:r>
    </w:p>
    <w:p w:rsidR="002D52A1" w:rsidRDefault="002D52A1" w:rsidP="002D52A1">
      <w:pPr>
        <w:ind w:left="3889"/>
      </w:pPr>
      <w:r>
        <w:t xml:space="preserve">Puolustusvoimilla on oikeus ottaa ilmailulain 2 §:n 1 momentin 21 kohdassa tarkoitettu lennokki ja 22 kohdassa </w:t>
      </w:r>
      <w:r>
        <w:lastRenderedPageBreak/>
        <w:t xml:space="preserve">tarkoitettu miehittämätön ilma-alus teknistä laitetta tai voimakeinoa käyttäen tilapäisesti haltuun, estää sen käyttö tai muutoin puuttua sen kulkuun, jos  </w:t>
      </w:r>
    </w:p>
    <w:p w:rsidR="002D52A1" w:rsidRDefault="002D52A1" w:rsidP="002D52A1">
      <w:pPr>
        <w:ind w:left="3889" w:firstLine="5"/>
      </w:pPr>
    </w:p>
    <w:p w:rsidR="002D52A1" w:rsidRDefault="008D3F44" w:rsidP="002D52A1">
      <w:pPr>
        <w:pStyle w:val="SisennysC2"/>
        <w:numPr>
          <w:ilvl w:val="0"/>
          <w:numId w:val="35"/>
        </w:numPr>
        <w:tabs>
          <w:tab w:val="clear" w:pos="5182"/>
          <w:tab w:val="left" w:pos="4253"/>
        </w:tabs>
        <w:ind w:left="4249"/>
        <w:jc w:val="both"/>
      </w:pPr>
      <w:r>
        <w:t xml:space="preserve">lennokki tai miehittämätön ilma-alus saapuu </w:t>
      </w:r>
      <w:r w:rsidR="002D52A1">
        <w:t>oikeudet</w:t>
      </w:r>
      <w:r>
        <w:t>ta puolustusvoimien pysyvässä käytössä tai 14 §:n</w:t>
      </w:r>
      <w:r w:rsidR="002D52A1">
        <w:t xml:space="preserve"> tarkoit</w:t>
      </w:r>
      <w:r>
        <w:t xml:space="preserve">tamassa käytössä olevan alueen </w:t>
      </w:r>
      <w:r w:rsidR="002D52A1">
        <w:t xml:space="preserve">yläpuoliseen ilmatilaan, tai </w:t>
      </w:r>
    </w:p>
    <w:p w:rsidR="002D52A1" w:rsidRDefault="002D52A1" w:rsidP="002D52A1">
      <w:pPr>
        <w:pStyle w:val="SisennysC2"/>
        <w:numPr>
          <w:ilvl w:val="0"/>
          <w:numId w:val="35"/>
        </w:numPr>
        <w:tabs>
          <w:tab w:val="clear" w:pos="5182"/>
          <w:tab w:val="left" w:pos="4253"/>
        </w:tabs>
        <w:ind w:left="4249"/>
        <w:jc w:val="both"/>
      </w:pPr>
      <w:r>
        <w:t>lennokki tai miehittämätön ilma-alus saapuu luvatta sellaisell</w:t>
      </w:r>
      <w:r w:rsidR="008D3F44">
        <w:t xml:space="preserve">e ilmailulain 11 §:n mukaiselle ilmailun </w:t>
      </w:r>
      <w:r>
        <w:t>rajoitusalu</w:t>
      </w:r>
      <w:r w:rsidR="008D3F44">
        <w:t xml:space="preserve">eelle, </w:t>
      </w:r>
      <w:r>
        <w:t>joka</w:t>
      </w:r>
      <w:r w:rsidR="008D3F44">
        <w:t xml:space="preserve"> sijaitsee edellä mainittujen </w:t>
      </w:r>
      <w:r>
        <w:t xml:space="preserve">alueiden yläpuolella, tai </w:t>
      </w:r>
    </w:p>
    <w:p w:rsidR="002D52A1" w:rsidRPr="002D52A1" w:rsidRDefault="002D52A1" w:rsidP="002D52A1">
      <w:pPr>
        <w:pStyle w:val="SisennysC2"/>
        <w:numPr>
          <w:ilvl w:val="0"/>
          <w:numId w:val="35"/>
        </w:numPr>
        <w:tabs>
          <w:tab w:val="clear" w:pos="5182"/>
          <w:tab w:val="left" w:pos="4253"/>
        </w:tabs>
        <w:ind w:left="4249"/>
        <w:jc w:val="both"/>
        <w:rPr>
          <w:szCs w:val="22"/>
        </w:rPr>
      </w:pPr>
      <w:r>
        <w:t>se on tarpeen lain 18 a §:ssä tarkoitetun puolustusvoimien turvaamistehtävän suojaamiseksi.</w:t>
      </w:r>
    </w:p>
    <w:p w:rsidR="0043598A" w:rsidRDefault="002D52A1" w:rsidP="0043598A">
      <w:pPr>
        <w:tabs>
          <w:tab w:val="left" w:pos="0"/>
        </w:tabs>
        <w:spacing w:before="140" w:after="120"/>
        <w:ind w:left="2591"/>
        <w:jc w:val="both"/>
      </w:pPr>
      <w:r>
        <w:t>Muina s</w:t>
      </w:r>
      <w:r w:rsidR="0043598A">
        <w:t>äädösteknis</w:t>
      </w:r>
      <w:r w:rsidR="00A2209A">
        <w:t>i</w:t>
      </w:r>
      <w:r w:rsidR="00746E18">
        <w:t>nä havaintoin</w:t>
      </w:r>
      <w:r w:rsidR="0043598A">
        <w:t>a pääesikunta toteaa, että 15 e §:n 2 momentissa on todettu ”ilman viipymättä”, mikä tulisi oikaista tarkoitettuun muotoon ”viipymättä”. Lisäksi e</w:t>
      </w:r>
      <w:r w:rsidR="0043598A" w:rsidRPr="00D746CE">
        <w:t>hdotuksen 15 b</w:t>
      </w:r>
      <w:r w:rsidR="0043598A">
        <w:t xml:space="preserve"> §</w:t>
      </w:r>
      <w:r w:rsidR="0043598A" w:rsidRPr="00D746CE">
        <w:t xml:space="preserve">:n </w:t>
      </w:r>
      <w:r w:rsidR="0043598A">
        <w:t>osalta tulisi selvyyden vuoksi</w:t>
      </w:r>
      <w:r w:rsidR="0043598A" w:rsidRPr="00D746CE">
        <w:t xml:space="preserve"> </w:t>
      </w:r>
      <w:r w:rsidR="0043598A">
        <w:t xml:space="preserve">mainita itse pykälässä otsikon lisäksi, </w:t>
      </w:r>
      <w:r w:rsidR="0043598A" w:rsidRPr="00D746CE">
        <w:t>että kyseistä säännöstä sovelletaan vain lennokin tai miehittämättömän ilma-aluksen kulkuun yleisellä paikalla</w:t>
      </w:r>
      <w:r w:rsidR="0043598A">
        <w:t>.</w:t>
      </w:r>
      <w:r w:rsidR="00746E18">
        <w:t xml:space="preserve"> Kappaleen 2.2.5 lopusta sivulta 20 puuttuu tekstiä (viimeinen lause katkeaa ja-sanaan).</w:t>
      </w:r>
    </w:p>
    <w:p w:rsidR="002D52A1" w:rsidRDefault="002D52A1" w:rsidP="0043598A">
      <w:pPr>
        <w:tabs>
          <w:tab w:val="left" w:pos="0"/>
        </w:tabs>
        <w:spacing w:before="140" w:after="120"/>
        <w:ind w:left="2591"/>
        <w:jc w:val="both"/>
      </w:pPr>
    </w:p>
    <w:p w:rsidR="002D52A1" w:rsidRPr="002D52A1" w:rsidRDefault="002D52A1" w:rsidP="0043598A">
      <w:pPr>
        <w:tabs>
          <w:tab w:val="left" w:pos="0"/>
        </w:tabs>
        <w:spacing w:before="140" w:after="120"/>
        <w:ind w:left="2591"/>
        <w:jc w:val="both"/>
        <w:rPr>
          <w:b/>
        </w:rPr>
      </w:pPr>
      <w:r w:rsidRPr="002D52A1">
        <w:rPr>
          <w:b/>
        </w:rPr>
        <w:t>Lopuksi</w:t>
      </w:r>
    </w:p>
    <w:p w:rsidR="0043598A" w:rsidRDefault="00AB3497" w:rsidP="0043598A">
      <w:pPr>
        <w:tabs>
          <w:tab w:val="left" w:pos="0"/>
        </w:tabs>
        <w:spacing w:before="140" w:after="120"/>
        <w:ind w:left="2591"/>
        <w:jc w:val="both"/>
      </w:pPr>
      <w:r>
        <w:t xml:space="preserve">Pääesikunta korostaa, että lainsäädännön </w:t>
      </w:r>
      <w:r w:rsidR="00243A31">
        <w:t>täytäntöönpanoa</w:t>
      </w:r>
      <w:r>
        <w:t xml:space="preserve"> koskeva</w:t>
      </w:r>
      <w:r>
        <w:rPr>
          <w:rFonts w:cs="Arial"/>
        </w:rPr>
        <w:t xml:space="preserve"> </w:t>
      </w:r>
      <w:r w:rsidR="00243A31">
        <w:rPr>
          <w:rFonts w:cs="Arial"/>
        </w:rPr>
        <w:t>viranomais</w:t>
      </w:r>
      <w:r>
        <w:t>o</w:t>
      </w:r>
      <w:r>
        <w:rPr>
          <w:rFonts w:cs="Arial"/>
        </w:rPr>
        <w:t>hjeistus tulee laatia hyvissä ajoin ennen lain voimaan tu</w:t>
      </w:r>
      <w:r w:rsidR="00243A31">
        <w:rPr>
          <w:rFonts w:cs="Arial"/>
        </w:rPr>
        <w:t>loa. S</w:t>
      </w:r>
      <w:r>
        <w:rPr>
          <w:rFonts w:cs="Arial"/>
        </w:rPr>
        <w:t>ama koskee toimivaltuuksia käyttäville virkamiehille annettavaa koulutusta</w:t>
      </w:r>
      <w:r>
        <w:t xml:space="preserve">.  </w:t>
      </w:r>
      <w:r w:rsidR="0043598A">
        <w:t>Kokonaisuutena työryhmän valmistelema mietintö on pääesikunnan näkemyksen mukaan sekä perustelujen että ehdotettujen säädöstekstien osalta perusteellinen ja riittävän</w:t>
      </w:r>
      <w:r>
        <w:t xml:space="preserve"> yksityiskohtaisesti muotoiltu.</w:t>
      </w:r>
    </w:p>
    <w:p w:rsidR="00773C73" w:rsidRDefault="0043598A" w:rsidP="0043598A">
      <w:pPr>
        <w:pStyle w:val="SisennysC2"/>
      </w:pPr>
      <w:r w:rsidRPr="00D61F1B">
        <w:t>Asiaa pääesikunnassa hoitaa s</w:t>
      </w:r>
      <w:r>
        <w:t>otilaslakimies</w:t>
      </w:r>
      <w:r w:rsidRPr="00D61F1B">
        <w:t xml:space="preserve"> </w:t>
      </w:r>
      <w:r>
        <w:t>Marika Järvenpää.</w:t>
      </w:r>
      <w:r w:rsidRPr="00D61F1B">
        <w:t>, p. 0299 500</w:t>
      </w:r>
      <w:r>
        <w:t> 830,</w:t>
      </w:r>
      <w:r w:rsidRPr="00D61F1B">
        <w:t xml:space="preserve"> </w:t>
      </w:r>
      <w:r>
        <w:t>marika.jarvenpaa</w:t>
      </w:r>
      <w:r w:rsidRPr="00D61F1B">
        <w:t>@mil.fi</w:t>
      </w:r>
      <w:r>
        <w:t xml:space="preserve">. </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221A57" w:rsidTr="00221A57">
              <w:tc>
                <w:tcPr>
                  <w:tcW w:w="7615" w:type="dxa"/>
                  <w:gridSpan w:val="2"/>
                  <w:shd w:val="clear" w:color="auto" w:fill="auto"/>
                  <w:tcMar>
                    <w:left w:w="0" w:type="dxa"/>
                  </w:tcMar>
                </w:tcPr>
                <w:p w:rsidR="00221A57" w:rsidRDefault="00221A57" w:rsidP="00C7721C">
                  <w:pPr>
                    <w:pStyle w:val="Allekirjoitus"/>
                  </w:pPr>
                  <w:bookmarkStart w:id="11" w:name="Signatures" w:colFirst="0" w:colLast="0"/>
                  <w:r>
                    <w:t>Pääesikunnan päällikkö</w:t>
                  </w:r>
                </w:p>
              </w:tc>
            </w:tr>
            <w:tr w:rsidR="00221A57" w:rsidTr="00221A57">
              <w:tc>
                <w:tcPr>
                  <w:tcW w:w="3750" w:type="dxa"/>
                  <w:shd w:val="clear" w:color="auto" w:fill="auto"/>
                  <w:tcMar>
                    <w:left w:w="0" w:type="dxa"/>
                  </w:tcMar>
                </w:tcPr>
                <w:p w:rsidR="00221A57" w:rsidRDefault="00221A57" w:rsidP="00C7721C">
                  <w:pPr>
                    <w:pStyle w:val="Allekirjoitus"/>
                  </w:pPr>
                  <w:r>
                    <w:t>Kenraaliluutnantti</w:t>
                  </w:r>
                </w:p>
              </w:tc>
              <w:tc>
                <w:tcPr>
                  <w:tcW w:w="3865" w:type="dxa"/>
                  <w:shd w:val="clear" w:color="auto" w:fill="auto"/>
                  <w:tcMar>
                    <w:left w:w="0" w:type="dxa"/>
                  </w:tcMar>
                </w:tcPr>
                <w:p w:rsidR="00221A57" w:rsidRDefault="00221A57" w:rsidP="00C7721C">
                  <w:pPr>
                    <w:pStyle w:val="Allekirjoitus"/>
                  </w:pPr>
                  <w:r>
                    <w:t>Timo Kivinen</w:t>
                  </w:r>
                </w:p>
              </w:tc>
            </w:tr>
            <w:tr w:rsidR="00221A57" w:rsidTr="00D0633D">
              <w:tc>
                <w:tcPr>
                  <w:tcW w:w="7615" w:type="dxa"/>
                  <w:gridSpan w:val="2"/>
                  <w:shd w:val="clear" w:color="auto" w:fill="auto"/>
                  <w:tcMar>
                    <w:left w:w="0" w:type="dxa"/>
                  </w:tcMar>
                </w:tcPr>
                <w:p w:rsidR="00221A57" w:rsidRDefault="00221A57" w:rsidP="00C7721C">
                  <w:pPr>
                    <w:pStyle w:val="Allekirjoitus"/>
                  </w:pPr>
                </w:p>
              </w:tc>
            </w:tr>
            <w:tr w:rsidR="00221A57" w:rsidTr="00D0633D">
              <w:tc>
                <w:tcPr>
                  <w:tcW w:w="7615" w:type="dxa"/>
                  <w:gridSpan w:val="2"/>
                  <w:shd w:val="clear" w:color="auto" w:fill="auto"/>
                  <w:tcMar>
                    <w:left w:w="0" w:type="dxa"/>
                  </w:tcMar>
                </w:tcPr>
                <w:p w:rsidR="00221A57" w:rsidRDefault="00221A57" w:rsidP="00C7721C">
                  <w:pPr>
                    <w:pStyle w:val="Allekirjoitus"/>
                  </w:pPr>
                </w:p>
              </w:tc>
            </w:tr>
            <w:tr w:rsidR="00221A57" w:rsidTr="00D0633D">
              <w:tc>
                <w:tcPr>
                  <w:tcW w:w="7615" w:type="dxa"/>
                  <w:gridSpan w:val="2"/>
                  <w:shd w:val="clear" w:color="auto" w:fill="auto"/>
                  <w:tcMar>
                    <w:left w:w="0" w:type="dxa"/>
                  </w:tcMar>
                </w:tcPr>
                <w:p w:rsidR="00221A57" w:rsidRDefault="00221A57" w:rsidP="00C7721C">
                  <w:pPr>
                    <w:pStyle w:val="Allekirjoitus"/>
                  </w:pPr>
                  <w:r>
                    <w:t>Puolustusvoimien asessori</w:t>
                  </w:r>
                </w:p>
              </w:tc>
            </w:tr>
            <w:tr w:rsidR="00221A57" w:rsidTr="00221A57">
              <w:tc>
                <w:tcPr>
                  <w:tcW w:w="3750" w:type="dxa"/>
                  <w:shd w:val="clear" w:color="auto" w:fill="auto"/>
                  <w:tcMar>
                    <w:left w:w="0" w:type="dxa"/>
                  </w:tcMar>
                </w:tcPr>
                <w:p w:rsidR="00221A57" w:rsidRDefault="00221A57" w:rsidP="00C7721C">
                  <w:pPr>
                    <w:pStyle w:val="Allekirjoitus"/>
                  </w:pPr>
                  <w:r>
                    <w:t>Varatuomari, OTL</w:t>
                  </w:r>
                </w:p>
              </w:tc>
              <w:tc>
                <w:tcPr>
                  <w:tcW w:w="3865" w:type="dxa"/>
                  <w:shd w:val="clear" w:color="auto" w:fill="auto"/>
                  <w:tcMar>
                    <w:left w:w="0" w:type="dxa"/>
                  </w:tcMar>
                </w:tcPr>
                <w:p w:rsidR="00221A57" w:rsidRDefault="00221A57" w:rsidP="00C7721C">
                  <w:pPr>
                    <w:pStyle w:val="Allekirjoitus"/>
                  </w:pPr>
                  <w:r>
                    <w:t>Tuija Sundberg</w:t>
                  </w:r>
                </w:p>
              </w:tc>
            </w:tr>
            <w:tr w:rsidR="00221A57" w:rsidTr="00383A64">
              <w:tc>
                <w:tcPr>
                  <w:tcW w:w="7615" w:type="dxa"/>
                  <w:gridSpan w:val="2"/>
                  <w:shd w:val="clear" w:color="auto" w:fill="auto"/>
                  <w:tcMar>
                    <w:left w:w="0" w:type="dxa"/>
                  </w:tcMar>
                </w:tcPr>
                <w:p w:rsidR="00221A57" w:rsidRDefault="00221A57"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221A57" w:rsidRDefault="00221A57" w:rsidP="00C7721C">
            <w:pPr>
              <w:pStyle w:val="Allekirjoitus"/>
              <w:rPr>
                <w:color w:val="D4062F"/>
                <w:sz w:val="12"/>
              </w:rPr>
            </w:pPr>
            <w:bookmarkStart w:id="12" w:name="SignatureText" w:colFirst="0" w:colLast="0"/>
            <w:r w:rsidRPr="00221A57">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E647D2">
              <w:rPr>
                <w:noProof/>
              </w:rPr>
              <w:t> </w:t>
            </w:r>
            <w:r w:rsidR="00E647D2">
              <w:rPr>
                <w:noProof/>
              </w:rPr>
              <w:t> </w:t>
            </w:r>
            <w:r w:rsidR="00E647D2">
              <w:rPr>
                <w:noProof/>
              </w:rPr>
              <w:t> </w:t>
            </w:r>
            <w:r w:rsidR="00E647D2">
              <w:rPr>
                <w:noProof/>
              </w:rPr>
              <w:t> </w:t>
            </w:r>
            <w:r w:rsidR="00E647D2">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746E18" w:rsidRDefault="00746E18" w:rsidP="00600EA2">
            <w:pPr>
              <w:pStyle w:val="Jakelutiedoksi-taulu"/>
            </w:pPr>
            <w:bookmarkStart w:id="15" w:name="DocRecForInfo"/>
            <w:r>
              <w:t>PE TIEDOS</w:t>
            </w:r>
          </w:p>
          <w:p w:rsidR="00746E18" w:rsidRDefault="00746E18" w:rsidP="00600EA2">
            <w:pPr>
              <w:pStyle w:val="Jakelutiedoksi-taulu"/>
            </w:pPr>
            <w:r>
              <w:t>PE OPOS</w:t>
            </w:r>
          </w:p>
          <w:p w:rsidR="00746E18" w:rsidRDefault="00746E18" w:rsidP="00600EA2">
            <w:pPr>
              <w:pStyle w:val="Jakelutiedoksi-taulu"/>
            </w:pPr>
            <w:r>
              <w:t>MAAVE</w:t>
            </w:r>
          </w:p>
          <w:p w:rsidR="00746E18" w:rsidRDefault="00746E18" w:rsidP="00600EA2">
            <w:pPr>
              <w:pStyle w:val="Jakelutiedoksi-taulu"/>
            </w:pPr>
            <w:r>
              <w:t>MERIVE</w:t>
            </w:r>
          </w:p>
          <w:p w:rsidR="00746E18" w:rsidRDefault="00746E18" w:rsidP="00600EA2">
            <w:pPr>
              <w:pStyle w:val="Jakelutiedoksi-taulu"/>
            </w:pPr>
            <w:r>
              <w:t>ILMAVE</w:t>
            </w:r>
          </w:p>
          <w:p w:rsidR="00773C73" w:rsidRDefault="00746E18" w:rsidP="00600EA2">
            <w:pPr>
              <w:pStyle w:val="Jakelutiedoksi-taulu"/>
            </w:pPr>
            <w:r>
              <w:t>PVLOGLE</w:t>
            </w:r>
            <w:bookmarkEnd w:id="15"/>
          </w:p>
        </w:tc>
      </w:tr>
    </w:tbl>
    <w:p w:rsidR="00773C73" w:rsidRDefault="00773C73" w:rsidP="00571327"/>
    <w:sectPr w:rsidR="00773C73" w:rsidSect="003D2CB0">
      <w:headerReference w:type="default" r:id="rId8"/>
      <w:footerReference w:type="default" r:id="rId9"/>
      <w:headerReference w:type="first" r:id="rId10"/>
      <w:footerReference w:type="first" r:id="rId11"/>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D2" w:rsidRDefault="00CF36D2">
      <w:r>
        <w:separator/>
      </w:r>
    </w:p>
  </w:endnote>
  <w:endnote w:type="continuationSeparator" w:id="0">
    <w:p w:rsidR="00CF36D2" w:rsidRDefault="00CF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D4175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a:cxnSpLocks noChangeShapeType="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a:cxnSpLocks noChangeShapeType="1"/>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86909"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D41752">
            <w:rPr>
              <w:rFonts w:cs="Arial"/>
              <w:b/>
              <w:bCs/>
            </w:rPr>
            <w:t>Pääesikunta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746E18">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D41752">
            <w:rPr>
              <w:rFonts w:cs="Arial"/>
            </w:rPr>
            <w:t>Oikeudellinen 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746E18" w:rsidP="002742AE">
          <w:pPr>
            <w:pStyle w:val="Alatunniste"/>
            <w:spacing w:before="20"/>
            <w:rPr>
              <w:szCs w:val="18"/>
            </w:rPr>
          </w:pPr>
          <w:bookmarkStart w:id="25" w:name="DocSendPostalAddress"/>
          <w:r>
            <w:rPr>
              <w:szCs w:val="18"/>
            </w:rPr>
            <w:t>PL 919</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746E18"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D2" w:rsidRDefault="00CF36D2">
      <w:r>
        <w:separator/>
      </w:r>
    </w:p>
  </w:footnote>
  <w:footnote w:type="continuationSeparator" w:id="0">
    <w:p w:rsidR="00CF36D2" w:rsidRDefault="00CF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095356" w:rsidP="00C971B5">
          <w:pPr>
            <w:pStyle w:val="Yltunniste"/>
            <w:spacing w:before="20"/>
          </w:pPr>
          <w:fldSimple w:instr=" REF DocSendCompany  \* MERGEFORMAT ">
            <w:r w:rsidR="00D41752">
              <w:rPr>
                <w:rFonts w:cs="Arial"/>
                <w:b/>
                <w:bCs/>
              </w:rPr>
              <w:t>Pääesikunta</w:t>
            </w:r>
          </w:fldSimple>
        </w:p>
      </w:tc>
      <w:tc>
        <w:tcPr>
          <w:tcW w:w="3780" w:type="dxa"/>
          <w:gridSpan w:val="2"/>
          <w:tcMar>
            <w:top w:w="11" w:type="dxa"/>
          </w:tcMar>
          <w:vAlign w:val="bottom"/>
        </w:tcPr>
        <w:p w:rsidR="00756FA2" w:rsidRPr="00190F8E" w:rsidRDefault="00095356" w:rsidP="00C971B5">
          <w:pPr>
            <w:pStyle w:val="Yltunniste"/>
            <w:spacing w:before="20"/>
          </w:pPr>
          <w:fldSimple w:instr=" REF DocType  \* MERGEFORMAT ">
            <w:r w:rsidR="00D41752" w:rsidRPr="00D41752">
              <w:rPr>
                <w:b/>
                <w:bCs/>
              </w:rPr>
              <w:t>Lausunto</w:t>
            </w:r>
          </w:fldSimple>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D41752">
            <w:rPr>
              <w:rStyle w:val="Sivunumero"/>
              <w:noProof/>
            </w:rPr>
            <w:t>4</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D41752">
            <w:rPr>
              <w:rStyle w:val="Sivunumero"/>
              <w:noProof/>
            </w:rPr>
            <w:t>4</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095356" w:rsidP="00C971B5">
          <w:pPr>
            <w:pStyle w:val="Yltunniste"/>
          </w:pPr>
          <w:fldSimple w:instr=" REF DocSendDepartment  \* MERGEFORMAT ">
            <w:r w:rsidR="00D41752">
              <w:rPr>
                <w:rFonts w:cs="Arial"/>
              </w:rPr>
              <w:t>Oikeudellinen osasto</w:t>
            </w:r>
          </w:fldSimple>
        </w:p>
      </w:tc>
      <w:tc>
        <w:tcPr>
          <w:tcW w:w="2106" w:type="dxa"/>
          <w:gridSpan w:val="2"/>
          <w:tcMar>
            <w:top w:w="11" w:type="dxa"/>
          </w:tcMar>
          <w:vAlign w:val="bottom"/>
        </w:tcPr>
        <w:p w:rsidR="00756FA2" w:rsidRDefault="00095356" w:rsidP="00C971B5">
          <w:pPr>
            <w:pStyle w:val="Yltunniste"/>
            <w:jc w:val="right"/>
          </w:pPr>
          <w:fldSimple w:instr=" REF DocCardId  \* MERGEFORMAT ">
            <w:r w:rsidR="00D41752" w:rsidRPr="00D41752">
              <w:t>AO2342</w:t>
            </w:r>
          </w:fldSimple>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D41752">
            <w:rPr>
              <w:rFonts w:cs="Arial"/>
            </w:rPr>
            <w:t>HELSINKI</w:t>
          </w:r>
          <w:r>
            <w:rPr>
              <w:rFonts w:cs="Arial"/>
            </w:rPr>
            <w:fldChar w:fldCharType="end"/>
          </w:r>
        </w:p>
      </w:tc>
      <w:tc>
        <w:tcPr>
          <w:tcW w:w="4806" w:type="dxa"/>
          <w:gridSpan w:val="3"/>
          <w:shd w:val="clear" w:color="auto" w:fill="auto"/>
          <w:tcMar>
            <w:top w:w="11" w:type="dxa"/>
          </w:tcMar>
          <w:vAlign w:val="bottom"/>
        </w:tcPr>
        <w:p w:rsidR="00756FA2" w:rsidRDefault="00095356" w:rsidP="00C971B5">
          <w:pPr>
            <w:pStyle w:val="Yltunniste"/>
            <w:jc w:val="right"/>
          </w:pPr>
          <w:fldSimple w:instr=" REF CaseIDLong  \* MERGEFORMAT ">
            <w:r w:rsidR="00D41752" w:rsidRPr="00D41752">
              <w:t>4337</w:t>
            </w:r>
            <w:r w:rsidR="00D41752">
              <w:rPr>
                <w:rFonts w:cs="Arial"/>
              </w:rPr>
              <w:t>/00.00/2017</w:t>
            </w:r>
          </w:fldSimple>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D41752"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0"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746E18"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rsidR="00756FA2" w:rsidRPr="00BC5CDF" w:rsidRDefault="00746E18"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D41752">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D41752">
            <w:rPr>
              <w:rStyle w:val="Sivunumero"/>
              <w:noProof/>
            </w:rPr>
            <w:t>4</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746E18" w:rsidP="003B5DF5">
          <w:pPr>
            <w:pStyle w:val="Yltunniste"/>
            <w:rPr>
              <w:rFonts w:cs="Arial"/>
            </w:rPr>
          </w:pPr>
          <w:bookmarkStart w:id="18" w:name="DocSendDepartment"/>
          <w:r>
            <w:rPr>
              <w:rFonts w:cs="Arial"/>
            </w:rPr>
            <w:t>Oikeudellinen osasto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46E18"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746E18" w:rsidP="003B5DF5">
          <w:pPr>
            <w:pStyle w:val="Yltunniste"/>
            <w:jc w:val="right"/>
            <w:rPr>
              <w:rFonts w:cs="Arial"/>
            </w:rPr>
          </w:pPr>
          <w:bookmarkStart w:id="20" w:name="DocCardId"/>
          <w:r>
            <w:rPr>
              <w:rFonts w:cs="Arial"/>
            </w:rPr>
            <w:t>AO2342</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4F3245" w:rsidP="003B5DF5">
          <w:pPr>
            <w:pStyle w:val="Yltunniste"/>
          </w:pPr>
          <w:bookmarkStart w:id="21" w:name="SignDate"/>
          <w:r>
            <w:t>2.2.2018</w:t>
          </w:r>
          <w:bookmarkEnd w:id="21"/>
        </w:p>
      </w:tc>
      <w:tc>
        <w:tcPr>
          <w:tcW w:w="3366" w:type="dxa"/>
          <w:gridSpan w:val="2"/>
          <w:tcMar>
            <w:top w:w="11" w:type="dxa"/>
          </w:tcMar>
          <w:vAlign w:val="bottom"/>
        </w:tcPr>
        <w:p w:rsidR="00756FA2" w:rsidRPr="00A711E2" w:rsidRDefault="00746E18" w:rsidP="003B5DF5">
          <w:pPr>
            <w:pStyle w:val="Yltunniste"/>
            <w:jc w:val="right"/>
          </w:pPr>
          <w:bookmarkStart w:id="22" w:name="CaseIDLong"/>
          <w:r>
            <w:rPr>
              <w:rFonts w:cs="Arial"/>
            </w:rPr>
            <w:t>4337/00.00/2017</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643480"/>
    <w:multiLevelType w:val="hybridMultilevel"/>
    <w:tmpl w:val="3208C868"/>
    <w:lvl w:ilvl="0" w:tplc="22D21558">
      <w:start w:val="1"/>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2"/>
  </w:num>
  <w:num w:numId="15">
    <w:abstractNumId w:val="17"/>
  </w:num>
  <w:num w:numId="16">
    <w:abstractNumId w:val="19"/>
  </w:num>
  <w:num w:numId="17">
    <w:abstractNumId w:val="10"/>
  </w:num>
  <w:num w:numId="18">
    <w:abstractNumId w:val="1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21"/>
  </w:num>
  <w:num w:numId="31">
    <w:abstractNumId w:val="18"/>
  </w:num>
  <w:num w:numId="32">
    <w:abstractNumId w:val="11"/>
  </w:num>
  <w:num w:numId="33">
    <w:abstractNumId w:val="13"/>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9"/>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9535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1A57"/>
    <w:rsid w:val="002239B2"/>
    <w:rsid w:val="002336B2"/>
    <w:rsid w:val="0023454E"/>
    <w:rsid w:val="00243A31"/>
    <w:rsid w:val="00250D60"/>
    <w:rsid w:val="0026029B"/>
    <w:rsid w:val="0026512B"/>
    <w:rsid w:val="002742AE"/>
    <w:rsid w:val="0029183A"/>
    <w:rsid w:val="0029404E"/>
    <w:rsid w:val="002A670B"/>
    <w:rsid w:val="002B175D"/>
    <w:rsid w:val="002B4B35"/>
    <w:rsid w:val="002C1065"/>
    <w:rsid w:val="002C1AFF"/>
    <w:rsid w:val="002D1F66"/>
    <w:rsid w:val="002D52A1"/>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0AD"/>
    <w:rsid w:val="00380419"/>
    <w:rsid w:val="00395C26"/>
    <w:rsid w:val="003A46A8"/>
    <w:rsid w:val="003A63D9"/>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3598A"/>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324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4689F"/>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46E18"/>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C70AE"/>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9245B"/>
    <w:rsid w:val="008A4845"/>
    <w:rsid w:val="008A4CB3"/>
    <w:rsid w:val="008A58CE"/>
    <w:rsid w:val="008A7584"/>
    <w:rsid w:val="008C6F38"/>
    <w:rsid w:val="008D3C64"/>
    <w:rsid w:val="008D3F44"/>
    <w:rsid w:val="008E5CB7"/>
    <w:rsid w:val="008F39C4"/>
    <w:rsid w:val="00901046"/>
    <w:rsid w:val="00904383"/>
    <w:rsid w:val="00905B44"/>
    <w:rsid w:val="0091261F"/>
    <w:rsid w:val="00916D9B"/>
    <w:rsid w:val="00921969"/>
    <w:rsid w:val="00926144"/>
    <w:rsid w:val="00926DD6"/>
    <w:rsid w:val="00934207"/>
    <w:rsid w:val="00936FD8"/>
    <w:rsid w:val="00937056"/>
    <w:rsid w:val="00937B41"/>
    <w:rsid w:val="0094524C"/>
    <w:rsid w:val="0094525D"/>
    <w:rsid w:val="00950861"/>
    <w:rsid w:val="00966D44"/>
    <w:rsid w:val="00974DC2"/>
    <w:rsid w:val="009750CD"/>
    <w:rsid w:val="009826BE"/>
    <w:rsid w:val="00992D1D"/>
    <w:rsid w:val="009A10EE"/>
    <w:rsid w:val="009A1514"/>
    <w:rsid w:val="009A23B1"/>
    <w:rsid w:val="009A2648"/>
    <w:rsid w:val="009A412A"/>
    <w:rsid w:val="009B03E8"/>
    <w:rsid w:val="009B158B"/>
    <w:rsid w:val="009B7388"/>
    <w:rsid w:val="009C5411"/>
    <w:rsid w:val="009D3DC3"/>
    <w:rsid w:val="009E7B7C"/>
    <w:rsid w:val="00A0026D"/>
    <w:rsid w:val="00A0067D"/>
    <w:rsid w:val="00A07339"/>
    <w:rsid w:val="00A10702"/>
    <w:rsid w:val="00A107C6"/>
    <w:rsid w:val="00A11F10"/>
    <w:rsid w:val="00A16872"/>
    <w:rsid w:val="00A176A9"/>
    <w:rsid w:val="00A2209A"/>
    <w:rsid w:val="00A26A9D"/>
    <w:rsid w:val="00A319FF"/>
    <w:rsid w:val="00A31FCB"/>
    <w:rsid w:val="00A376D4"/>
    <w:rsid w:val="00A5527C"/>
    <w:rsid w:val="00A711E2"/>
    <w:rsid w:val="00A816A6"/>
    <w:rsid w:val="00A9231D"/>
    <w:rsid w:val="00AA6C2E"/>
    <w:rsid w:val="00AB3497"/>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33FB9"/>
    <w:rsid w:val="00B41908"/>
    <w:rsid w:val="00B43808"/>
    <w:rsid w:val="00B46DFA"/>
    <w:rsid w:val="00B47B65"/>
    <w:rsid w:val="00B47E1C"/>
    <w:rsid w:val="00B50F86"/>
    <w:rsid w:val="00B510C4"/>
    <w:rsid w:val="00B56A47"/>
    <w:rsid w:val="00B63264"/>
    <w:rsid w:val="00B663D4"/>
    <w:rsid w:val="00B67F2E"/>
    <w:rsid w:val="00B765D3"/>
    <w:rsid w:val="00B81279"/>
    <w:rsid w:val="00B900F8"/>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66CC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36D2"/>
    <w:rsid w:val="00CF7CB8"/>
    <w:rsid w:val="00D037F7"/>
    <w:rsid w:val="00D04B50"/>
    <w:rsid w:val="00D111F2"/>
    <w:rsid w:val="00D254C3"/>
    <w:rsid w:val="00D25657"/>
    <w:rsid w:val="00D31550"/>
    <w:rsid w:val="00D326B9"/>
    <w:rsid w:val="00D35031"/>
    <w:rsid w:val="00D41752"/>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E78C9"/>
    <w:rsid w:val="00DF16BF"/>
    <w:rsid w:val="00E12D45"/>
    <w:rsid w:val="00E12E54"/>
    <w:rsid w:val="00E13FE2"/>
    <w:rsid w:val="00E20AF6"/>
    <w:rsid w:val="00E233CB"/>
    <w:rsid w:val="00E266CA"/>
    <w:rsid w:val="00E27CE1"/>
    <w:rsid w:val="00E4219D"/>
    <w:rsid w:val="00E54866"/>
    <w:rsid w:val="00E647D2"/>
    <w:rsid w:val="00E731CC"/>
    <w:rsid w:val="00E73D83"/>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37236"/>
    <w:rsid w:val="00F400EC"/>
    <w:rsid w:val="00F402AB"/>
    <w:rsid w:val="00F4611E"/>
    <w:rsid w:val="00F469F7"/>
    <w:rsid w:val="00F509AB"/>
    <w:rsid w:val="00F5216C"/>
    <w:rsid w:val="00F5744C"/>
    <w:rsid w:val="00F721E0"/>
    <w:rsid w:val="00F72946"/>
    <w:rsid w:val="00F729B2"/>
    <w:rsid w:val="00F827A5"/>
    <w:rsid w:val="00F84BB3"/>
    <w:rsid w:val="00F85CDE"/>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740380-A5FC-498B-B8AE-EFDC4BC1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qFormat/>
    <w:rsid w:val="0051250B"/>
    <w:pPr>
      <w:ind w:left="2591"/>
    </w:pPr>
    <w:rPr>
      <w:b/>
      <w:bCs/>
      <w:sz w:val="20"/>
      <w:szCs w:val="20"/>
    </w:rPr>
  </w:style>
  <w:style w:type="paragraph" w:styleId="Seliteteksti">
    <w:name w:val="Balloon Text"/>
    <w:basedOn w:val="Normaali"/>
    <w:link w:val="SelitetekstiChar"/>
    <w:rsid w:val="00B900F8"/>
    <w:rPr>
      <w:rFonts w:ascii="Tahoma" w:hAnsi="Tahoma" w:cs="Tahoma"/>
      <w:sz w:val="16"/>
      <w:szCs w:val="16"/>
    </w:rPr>
  </w:style>
  <w:style w:type="character" w:customStyle="1" w:styleId="SelitetekstiChar">
    <w:name w:val="Seliteteksti Char"/>
    <w:basedOn w:val="Kappaleenoletusfontti"/>
    <w:link w:val="Seliteteksti"/>
    <w:rsid w:val="00B9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y16235\AppData\Local\Temp\OL_5130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OL_51301.dot</Template>
  <TotalTime>0</TotalTime>
  <Pages>4</Pages>
  <Words>730</Words>
  <Characters>5920</Characters>
  <Application>Microsoft Office Word</Application>
  <DocSecurity>8</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Pyry</dc:creator>
  <cp:keywords/>
  <dc:description/>
  <cp:lastModifiedBy>Peltonen Pyry</cp:lastModifiedBy>
  <cp:revision>2</cp:revision>
  <cp:lastPrinted>2018-02-06T09:50:00Z</cp:lastPrinted>
  <dcterms:created xsi:type="dcterms:W3CDTF">2018-02-06T09:51:00Z</dcterms:created>
  <dcterms:modified xsi:type="dcterms:W3CDTF">2018-02-06T09:51:00Z</dcterms:modified>
</cp:coreProperties>
</file>