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82DFF" w:rsidRPr="00D55653">
      <w:r w:rsidRPr="00D55653">
        <w:fldChar w:fldCharType="begin"/>
      </w:r>
      <w:r w:rsidRPr="00D55653">
        <w:instrText xml:space="preserve"> MACROBUTTON  AdditionalActions </w:instrText>
      </w:r>
      <w:r w:rsidRPr="00D55653">
        <w:fldChar w:fldCharType="end"/>
      </w:r>
      <w:r w:rsidR="00B567A5">
        <w:t>Työ- ja elinkeinoministeriö</w:t>
      </w:r>
    </w:p>
    <w:p w:rsidR="00082DFF" w:rsidRPr="00D55653"/>
    <w:p w:rsidR="00082DFF" w:rsidRPr="00D55653" w:rsidP="00C43D2B"/>
    <w:p w:rsidR="00B11932" w:rsidRPr="00D55653" w:rsidP="00C43D2B"/>
    <w:p w:rsidR="00082DFF" w:rsidRPr="00D55653" w:rsidP="00C43D2B"/>
    <w:p w:rsidR="006B3401" w:rsidRPr="00D55653" w:rsidP="00C43D2B"/>
    <w:p w:rsidR="006B3401" w:rsidRPr="00D55653" w:rsidP="00C43D2B"/>
    <w:p w:rsidR="00B11932" w:rsidRPr="00D55653" w:rsidP="00B45C81">
      <w:r>
        <w:t>Lausuntopyyntö TEM/158/00.04.01/2018</w:t>
      </w:r>
    </w:p>
    <w:p w:rsidR="00E44D66" w:rsidRPr="00D55653" w:rsidP="00E44D66">
      <w:pPr>
        <w:pStyle w:val="Heading1"/>
        <w:rPr>
          <w:rFonts w:eastAsia="Calibri"/>
        </w:rPr>
      </w:pPr>
      <w:r w:rsidRPr="00D55653">
        <w:rPr>
          <w:rFonts w:eastAsia="Calibri"/>
        </w:rPr>
        <w:fldChar w:fldCharType="begin"/>
      </w:r>
      <w:r w:rsidRPr="00D55653">
        <w:rPr>
          <w:rFonts w:eastAsia="Calibri"/>
        </w:rPr>
        <w:instrText xml:space="preserve"> DOCPROPERTY  sm_otsikko  \* MERGEFORMAT </w:instrText>
      </w:r>
      <w:r w:rsidRPr="00D55653">
        <w:rPr>
          <w:rFonts w:eastAsia="Calibri"/>
        </w:rPr>
        <w:fldChar w:fldCharType="separate"/>
      </w:r>
      <w:r w:rsidRPr="00D55653">
        <w:rPr>
          <w:rFonts w:eastAsia="Calibri"/>
        </w:rPr>
        <w:t>Sisäministeriön lausunto raporttiluonnoksesta jakamistalouteen liittyvien kysymysten vaihtoehtoisista ratkaisutavoista</w:t>
      </w:r>
      <w:r w:rsidRPr="00D55653">
        <w:rPr>
          <w:rFonts w:eastAsia="Calibri"/>
        </w:rPr>
        <w:fldChar w:fldCharType="end"/>
      </w:r>
    </w:p>
    <w:p w:rsidR="00F163E0" w:rsidRPr="00F209A3" w:rsidP="00F163E0">
      <w:pPr>
        <w:pStyle w:val="BodyText"/>
      </w:pPr>
      <w:r>
        <w:t>Työ- ja elinkeinoministeriö on pyytänyt sisäministeriöltä lausuntoa raportt</w:t>
      </w:r>
      <w:r>
        <w:t>i</w:t>
      </w:r>
      <w:r>
        <w:t>luonnoksesta jakamistalouteen liittyvien kysymysten vaihtoehtoisista ratkais</w:t>
      </w:r>
      <w:r>
        <w:t>u</w:t>
      </w:r>
      <w:r>
        <w:t xml:space="preserve">tavoista. </w:t>
      </w:r>
      <w:r w:rsidR="00021016">
        <w:t>Sisäministeriö lausuu asi</w:t>
      </w:r>
      <w:r w:rsidR="003A0817">
        <w:t>a</w:t>
      </w:r>
      <w:r w:rsidR="00021016">
        <w:t>ssa seuraavaa.</w:t>
      </w:r>
    </w:p>
    <w:p w:rsidR="0014123F" w:rsidRPr="00BE45C5" w:rsidP="00BE45C5">
      <w:pPr>
        <w:pStyle w:val="BodyText"/>
        <w:jc w:val="both"/>
      </w:pPr>
      <w:r w:rsidRPr="00BE45C5">
        <w:t>Luonnoksessa jakamistaloustyöryhmän loppuraportissa (per 26.2.2019) on es</w:t>
      </w:r>
      <w:r w:rsidRPr="00BE45C5">
        <w:t>i</w:t>
      </w:r>
      <w:r w:rsidRPr="00BE45C5">
        <w:t>tetty jakamistalouden kasvuun liittyviä mahdollisuuksia ja potentiaalia varsin positiivisessa hengessä. Reaalimaailmassa jakamistalouden haasteet tulevat liittymään pitkälti verotuksen järjestämiseen ja tätä kautta harmaan talouden torjuntaan. Vaikka Verohallinnolla tulee olemaan isoin intressi asioiden oikein hoitamisessa, tulee asia koskettamaan laajasti muitakin viranomaisia.</w:t>
      </w:r>
      <w:bookmarkStart w:id="0" w:name="_GoBack"/>
      <w:bookmarkEnd w:id="0"/>
    </w:p>
    <w:p w:rsidR="00F163E0" w:rsidRPr="00BE45C5" w:rsidP="00BE45C5">
      <w:pPr>
        <w:pStyle w:val="Heading2"/>
        <w:jc w:val="both"/>
      </w:pPr>
      <w:r w:rsidRPr="00BE45C5">
        <w:t>Jakamistalouteen liittyviä haasteita</w:t>
      </w:r>
      <w:r w:rsidRPr="00BE45C5">
        <w:t xml:space="preserve"> </w:t>
      </w:r>
    </w:p>
    <w:p w:rsidR="00F163E0" w:rsidRPr="00BE45C5" w:rsidP="00BE45C5">
      <w:pPr>
        <w:pStyle w:val="BodyText"/>
        <w:jc w:val="both"/>
        <w:rPr>
          <w:b/>
        </w:rPr>
      </w:pPr>
      <w:r w:rsidRPr="00BE45C5">
        <w:rPr>
          <w:b/>
        </w:rPr>
        <w:t>Rekisteröintivelvollisuus</w:t>
      </w:r>
    </w:p>
    <w:p w:rsidR="00F163E0" w:rsidRPr="00BE45C5" w:rsidP="00BE45C5">
      <w:pPr>
        <w:pStyle w:val="BodyText"/>
        <w:jc w:val="both"/>
      </w:pPr>
      <w:r w:rsidRPr="00BE45C5">
        <w:t>Mikäli jakamistalouden kasvua halutaan edistää osana nykyistä yhteiskuntajä</w:t>
      </w:r>
      <w:r w:rsidRPr="00BE45C5">
        <w:t>r</w:t>
      </w:r>
      <w:r w:rsidRPr="00BE45C5">
        <w:t>jestelmää, tulee jakamistalouden toimijoilta voida edellyttää rekisteröitymistä erilaisiin viranomaisrekistereihin. Viranomaislähtökohtana ei voi olla tukea harmaalla alueella olevaa tulonhankintatoimintaa, vaikka se olisikin pienimu</w:t>
      </w:r>
      <w:r w:rsidRPr="00BE45C5">
        <w:t>o</w:t>
      </w:r>
      <w:r w:rsidRPr="00BE45C5">
        <w:t>toista.</w:t>
      </w:r>
    </w:p>
    <w:p w:rsidR="00F163E0" w:rsidRPr="00BE45C5" w:rsidP="00BE45C5">
      <w:pPr>
        <w:pStyle w:val="BodyText"/>
        <w:jc w:val="both"/>
      </w:pPr>
      <w:r w:rsidRPr="00BE45C5">
        <w:t>Rekisteröinti varmistaisi lisäksi, että harjoitettu toiminta on viranomaisvalvo</w:t>
      </w:r>
      <w:r w:rsidRPr="00BE45C5">
        <w:t>n</w:t>
      </w:r>
      <w:r w:rsidRPr="00BE45C5">
        <w:t>nan piirissä ja sitä kautta osana yhteiskunnan hyväksymää menettelyä.  Jako rekisteröityjen ja rekisteröimättömien toimijoiden välillä selkeyttäisi vira</w:t>
      </w:r>
      <w:r w:rsidRPr="00BE45C5">
        <w:t>n</w:t>
      </w:r>
      <w:r w:rsidRPr="00BE45C5">
        <w:t xml:space="preserve">omaisten mahdollisuuksia puuttua asioihin niiden tultua ilmi. </w:t>
      </w:r>
    </w:p>
    <w:p w:rsidR="00F163E0" w:rsidRPr="00BE45C5" w:rsidP="00BE45C5">
      <w:pPr>
        <w:pStyle w:val="BodyText"/>
        <w:jc w:val="both"/>
      </w:pPr>
      <w:r w:rsidRPr="00BE45C5">
        <w:t>Verohallinnolla on ollut merkittäviä haasteita ulkomaalaisten toimijoiden kanssa Suomessa siinä, minkä periaatteiden mukaan verot tulee maksaa Su</w:t>
      </w:r>
      <w:r w:rsidRPr="00BE45C5">
        <w:t>o</w:t>
      </w:r>
      <w:r w:rsidRPr="00BE45C5">
        <w:t>meen. Jakamistalouden yleistyessä ilman riittävää normipohjaa, samat onge</w:t>
      </w:r>
      <w:r w:rsidRPr="00BE45C5">
        <w:t>l</w:t>
      </w:r>
      <w:r w:rsidRPr="00BE45C5">
        <w:t>mat tulevat Verohallinnolle kotimaisten toimijoiden puolelta. Suomalaisessa yhteiskunnassa tällaista kehityssuuntaa ei voida pitää toivottavana.</w:t>
      </w:r>
    </w:p>
    <w:p w:rsidR="00F163E0" w:rsidRPr="00BE45C5" w:rsidP="00BE45C5">
      <w:pPr>
        <w:pStyle w:val="BodyText"/>
        <w:jc w:val="both"/>
      </w:pPr>
      <w:r w:rsidRPr="00BE45C5">
        <w:t xml:space="preserve">Harmaan talouden ja talousrikollisuuden torjunnassa on totuttu siihen, että todelliset toimijat käyttävät bulvaaneja ja kilpimiehiä siten, että vastuusuhteet hämärtyvät. Jakamistaloudessa henkilön tulonhankinnalle asetettu tuloraja </w:t>
      </w:r>
      <w:r w:rsidRPr="00BE45C5">
        <w:t xml:space="preserve">10.000 euroa on helppo ohittaa, kun toimintaa jatkaisi eri vastuuhenkilö.  </w:t>
      </w:r>
      <w:r w:rsidRPr="00BE45C5" w:rsidR="008F2012">
        <w:t>S</w:t>
      </w:r>
      <w:r w:rsidRPr="00BE45C5" w:rsidR="008F2012">
        <w:t>i</w:t>
      </w:r>
      <w:r w:rsidRPr="00BE45C5" w:rsidR="008F2012">
        <w:t>säministeriön näkemyksen mukaan r</w:t>
      </w:r>
      <w:r w:rsidRPr="00BE45C5">
        <w:t>ekisteröintivaatimus auttaisi viranomaisia havaitsemaan helpommin väärinkäytökset.</w:t>
      </w:r>
    </w:p>
    <w:p w:rsidR="00F163E0" w:rsidRPr="00BE45C5" w:rsidP="00BE45C5">
      <w:pPr>
        <w:pStyle w:val="BodyText"/>
        <w:jc w:val="both"/>
      </w:pPr>
      <w:r w:rsidRPr="00BE45C5">
        <w:t>Harmaan talouden ja talousrikostorjunnan yksi keskeisimmistä tavoitteista on edistää yritysten välistä tervettä kilpailua. Erilaisilla säädöksillä on pyritty va</w:t>
      </w:r>
      <w:r w:rsidRPr="00BE45C5">
        <w:t>r</w:t>
      </w:r>
      <w:r w:rsidRPr="00BE45C5">
        <w:t>mistamaan, että samalla alalla toimivilla on samanlaiset mahdollisuudet ha</w:t>
      </w:r>
      <w:r w:rsidRPr="00BE45C5">
        <w:t>r</w:t>
      </w:r>
      <w:r w:rsidRPr="00BE45C5">
        <w:t>joittaa liiketoimintaa.  Jakamistalouden toimijalla ei voi tästä syystä olla enempää oikeuksia samalla alalla toimiessaan. Kilpailun ei voida nähdä tote</w:t>
      </w:r>
      <w:r w:rsidRPr="00BE45C5">
        <w:t>u</w:t>
      </w:r>
      <w:r w:rsidRPr="00BE45C5">
        <w:t>tuvan muutoin tasapuolisena ja oikeudenmukaisena.</w:t>
      </w:r>
      <w:r w:rsidRPr="00BE45C5">
        <w:tab/>
      </w:r>
    </w:p>
    <w:p w:rsidR="00F163E0" w:rsidRPr="00BE45C5" w:rsidP="00BE45C5">
      <w:pPr>
        <w:pStyle w:val="BodyText"/>
        <w:jc w:val="both"/>
        <w:rPr>
          <w:b/>
        </w:rPr>
      </w:pPr>
      <w:r w:rsidRPr="00BE45C5">
        <w:rPr>
          <w:b/>
        </w:rPr>
        <w:t>Jakamistaloutta harjoittavan asema</w:t>
      </w:r>
    </w:p>
    <w:p w:rsidR="00F163E0" w:rsidRPr="00BE45C5" w:rsidP="00BE45C5">
      <w:pPr>
        <w:pStyle w:val="BodyText"/>
        <w:jc w:val="both"/>
      </w:pPr>
      <w:r w:rsidRPr="00BE45C5">
        <w:t>Luonnoksessa o</w:t>
      </w:r>
      <w:r w:rsidRPr="00BE45C5" w:rsidR="00D24D9D">
        <w:t xml:space="preserve">n pohdittu hyvin palkansaajan ja </w:t>
      </w:r>
      <w:r w:rsidRPr="00BE45C5">
        <w:t>itsenäisen ammatinharjoitt</w:t>
      </w:r>
      <w:r w:rsidRPr="00BE45C5">
        <w:t>a</w:t>
      </w:r>
      <w:r w:rsidRPr="00BE45C5">
        <w:t>jan suhdetta toisiinsa. Jakamistalouden toimijan nähtiin voivan asettuvan nä</w:t>
      </w:r>
      <w:r w:rsidRPr="00BE45C5">
        <w:t>i</w:t>
      </w:r>
      <w:r w:rsidRPr="00BE45C5">
        <w:t>den kahden märittelyn välimaastoon. Asia voitaisiin ratkaista sillä, että jak</w:t>
      </w:r>
      <w:r w:rsidRPr="00BE45C5">
        <w:t>a</w:t>
      </w:r>
      <w:r w:rsidRPr="00BE45C5">
        <w:t>mistalouden toimija olisi yrittäjä eli itsenäinen ammatinharjoittaja, jolloin hän tekisi myös kaikki ilmoitukset asiaan kuuluviin rekistereihin.</w:t>
      </w:r>
    </w:p>
    <w:p w:rsidR="00F163E0" w:rsidRPr="00BE45C5" w:rsidP="00BE45C5">
      <w:pPr>
        <w:pStyle w:val="BodyText"/>
        <w:jc w:val="both"/>
        <w:rPr>
          <w:b/>
        </w:rPr>
      </w:pPr>
      <w:r w:rsidRPr="00BE45C5">
        <w:rPr>
          <w:b/>
        </w:rPr>
        <w:t xml:space="preserve">Alustapalveluiden ilmoitusvelvollisuus </w:t>
      </w:r>
    </w:p>
    <w:p w:rsidR="00F163E0" w:rsidRPr="00BE45C5" w:rsidP="00BE45C5">
      <w:pPr>
        <w:pStyle w:val="BodyText"/>
        <w:jc w:val="both"/>
      </w:pPr>
      <w:r w:rsidRPr="00BE45C5">
        <w:t>Alustapalveluja tarjoavat yritykset tulee voida velvoittaa antamaan tarvittavat tiedot Verohallintoon ja tarvittaessa esitutkinnan käyttöön.  Sivullisten ti</w:t>
      </w:r>
      <w:r w:rsidRPr="00BE45C5">
        <w:t>e</w:t>
      </w:r>
      <w:r w:rsidRPr="00BE45C5">
        <w:t>donantovelvollisuus tulee varmistaa lainsäädännön avulla riittävän laajaksi. Jos ulkomaalainen alustapalveluja tarjoava yritys toimii Suomessa, on sen to</w:t>
      </w:r>
      <w:r w:rsidRPr="00BE45C5">
        <w:t>i</w:t>
      </w:r>
      <w:r w:rsidRPr="00BE45C5">
        <w:t>mittava suomen lakien mukaan ja velvoittavuus tulee tätä kautta ulottaa pa</w:t>
      </w:r>
      <w:r w:rsidRPr="00BE45C5">
        <w:t>l</w:t>
      </w:r>
      <w:r w:rsidRPr="00BE45C5">
        <w:t xml:space="preserve">velun tarjoajaan. </w:t>
      </w:r>
    </w:p>
    <w:p w:rsidR="00F163E0" w:rsidRPr="00BE45C5" w:rsidP="00BE45C5">
      <w:pPr>
        <w:pStyle w:val="BodyText"/>
        <w:jc w:val="both"/>
        <w:rPr>
          <w:b/>
        </w:rPr>
      </w:pPr>
      <w:r w:rsidRPr="00BE45C5">
        <w:rPr>
          <w:b/>
        </w:rPr>
        <w:t>Uudenlainen riskiajattelu ja tukijärjestelmien hyväksikäyttö</w:t>
      </w:r>
    </w:p>
    <w:p w:rsidR="00F163E0" w:rsidRPr="00BE45C5" w:rsidP="00BE45C5">
      <w:pPr>
        <w:pStyle w:val="BodyText"/>
        <w:jc w:val="both"/>
      </w:pPr>
      <w:r w:rsidRPr="00BE45C5">
        <w:t>Yhteiskunnassamme on meneillään kehitys, jossa yhtiöt pyrkivät vähentämään omia riskejään ja henkilöstökulujaan ulkoistamalla osan työntekijöistään yri</w:t>
      </w:r>
      <w:r w:rsidRPr="00BE45C5">
        <w:t>t</w:t>
      </w:r>
      <w:r w:rsidRPr="00BE45C5">
        <w:t xml:space="preserve">täjiksi. Emoyhtiön riskit pienenevät ja voitonmahdollisuus kasvaa. Yrittämisen riski siirretään entisille työntekijöille. </w:t>
      </w:r>
    </w:p>
    <w:p w:rsidR="00F163E0" w:rsidRPr="00BE45C5" w:rsidP="00BE45C5">
      <w:pPr>
        <w:pStyle w:val="BodyText"/>
        <w:jc w:val="both"/>
      </w:pPr>
      <w:r w:rsidRPr="00BE45C5">
        <w:t>Jakamistalous mahdollistaa samankaltaisen menettelyn käyttäen hyväksi y</w:t>
      </w:r>
      <w:r w:rsidRPr="00BE45C5">
        <w:t>h</w:t>
      </w:r>
      <w:r w:rsidRPr="00BE45C5">
        <w:t>teiskunnan tukijärjestelmää.  Vaarana on, että ilman rekisteröitymisvelvoll</w:t>
      </w:r>
      <w:r w:rsidRPr="00BE45C5">
        <w:t>i</w:t>
      </w:r>
      <w:r w:rsidRPr="00BE45C5">
        <w:t>suutta yhteiskunnan tukijärjestelmää käytetään samaan aikaan hyödyksi, kun tehdään työtä jakamistalouden ehdoilla.</w:t>
      </w:r>
    </w:p>
    <w:p w:rsidR="00F163E0" w:rsidRPr="00BE45C5" w:rsidP="00BE45C5">
      <w:pPr>
        <w:pStyle w:val="BodyText"/>
        <w:jc w:val="both"/>
      </w:pPr>
      <w:r w:rsidRPr="00BE45C5">
        <w:t xml:space="preserve">Jakamistaloudesta ei saa syntyä välinettä, jolla yhteiskunnan heikommassa asemassa olevien henkilöitä käytetään hyväksi. </w:t>
      </w:r>
    </w:p>
    <w:p w:rsidR="00D13B7E" w:rsidRPr="00BE45C5" w:rsidP="00194B04">
      <w:pPr>
        <w:pStyle w:val="Heading2"/>
      </w:pPr>
      <w:r w:rsidRPr="00BE45C5">
        <w:t>Lyhytaikainen majoitustoiminta</w:t>
      </w:r>
    </w:p>
    <w:p w:rsidR="00D13B7E" w:rsidRPr="00BE45C5" w:rsidP="00BE45C5">
      <w:pPr>
        <w:pStyle w:val="BodyText"/>
        <w:jc w:val="both"/>
      </w:pPr>
      <w:r w:rsidRPr="00BE45C5">
        <w:t>Raporttiluonnoksen kappale kahdeksan käsittelee lyhytaikaista majoitusto</w:t>
      </w:r>
      <w:r w:rsidRPr="00BE45C5">
        <w:t>i</w:t>
      </w:r>
      <w:r w:rsidRPr="00BE45C5">
        <w:t>mintaa.  Luvussa kuvataan hyvin, miten yksityisten henkilöiden harjoittama s</w:t>
      </w:r>
      <w:r w:rsidRPr="00BE45C5">
        <w:t>a</w:t>
      </w:r>
      <w:r w:rsidRPr="00BE45C5">
        <w:t xml:space="preserve">tunnainen ja ei-ammattimainen majoituksen vuokraaminen on muuttunut ajan saatossa ja miten sääntely ei ole pysynyt kehityksessä mukana.  </w:t>
      </w:r>
    </w:p>
    <w:p w:rsidR="00F163E0" w:rsidRPr="00BE45C5" w:rsidP="00BE45C5">
      <w:pPr>
        <w:pStyle w:val="BodyText"/>
        <w:jc w:val="both"/>
        <w:rPr>
          <w:b/>
        </w:rPr>
      </w:pPr>
      <w:r w:rsidRPr="00BE45C5">
        <w:rPr>
          <w:b/>
        </w:rPr>
        <w:t>Asunto-osakeyhtiöt ja osakkaat</w:t>
      </w:r>
    </w:p>
    <w:p w:rsidR="00F163E0" w:rsidRPr="00BE45C5" w:rsidP="00BE45C5">
      <w:pPr>
        <w:pStyle w:val="BodyText"/>
        <w:jc w:val="both"/>
      </w:pPr>
      <w:r w:rsidRPr="00BE45C5">
        <w:t xml:space="preserve">Kun lyhytaikaisen </w:t>
      </w:r>
      <w:r w:rsidRPr="00BE45C5">
        <w:t>Air</w:t>
      </w:r>
      <w:r w:rsidRPr="00BE45C5" w:rsidR="006630B3">
        <w:t>bnb-tyyppisen</w:t>
      </w:r>
      <w:r w:rsidRPr="00BE45C5" w:rsidR="006630B3">
        <w:t xml:space="preserve"> toiminnan nimissä</w:t>
      </w:r>
      <w:r w:rsidRPr="00BE45C5">
        <w:t xml:space="preserve"> ryhdytään harjoitt</w:t>
      </w:r>
      <w:r w:rsidRPr="00BE45C5">
        <w:t>a</w:t>
      </w:r>
      <w:r w:rsidRPr="00BE45C5">
        <w:t>maan laajempaa toimintaa, syntyy samassa taloyhtiössä asuville merkittäviä ympäristön viihtyvyyteen ja asumismukavuuteen vaikuttavia häiriötekijöitä. Viranomaisnäkökulmasta on vaikea hyväksyä satunnaista toimintaa laajempaa asunnon vuokraamista. Suomessa asuinympäristöt kaavoitetaan tarkkaan ja tätä kautta kansalaisille on varsin selvää, minkälaisesta ympäristöstä hankitt</w:t>
      </w:r>
      <w:r w:rsidRPr="00BE45C5">
        <w:t>a</w:t>
      </w:r>
      <w:r w:rsidRPr="00BE45C5">
        <w:t>va asunto sijaitsee. Asunnot myös maksavat paljon ja niiden hankinta on t</w:t>
      </w:r>
      <w:r w:rsidRPr="00BE45C5">
        <w:t>o</w:t>
      </w:r>
      <w:r w:rsidRPr="00BE45C5">
        <w:t>della merkittävä taloudellinen päätös. Jokaisella kansalaisella on oikeus pää</w:t>
      </w:r>
      <w:r w:rsidRPr="00BE45C5">
        <w:t>t</w:t>
      </w:r>
      <w:r w:rsidRPr="00BE45C5">
        <w:t xml:space="preserve">tää oman omaisuutensa käytöstä, mutta samalla hän ei voi kohtuuttomasti loukata muiden oikeuksia. Viranomaisten tehtävänä on turvata myös muiden oikeudet pohtimalla asioita etukäteen huolellisesti. </w:t>
      </w:r>
    </w:p>
    <w:p w:rsidR="00F163E0" w:rsidRPr="00BE45C5" w:rsidP="00BE45C5">
      <w:pPr>
        <w:pStyle w:val="BodyText"/>
        <w:jc w:val="both"/>
        <w:rPr>
          <w:b/>
        </w:rPr>
      </w:pPr>
      <w:r w:rsidRPr="00BE45C5">
        <w:rPr>
          <w:b/>
        </w:rPr>
        <w:t>Matkustajailmoituksen laatiminen</w:t>
      </w:r>
    </w:p>
    <w:p w:rsidR="00F163E0" w:rsidRPr="00BE45C5" w:rsidP="00BE45C5">
      <w:pPr>
        <w:pStyle w:val="BodyText"/>
        <w:jc w:val="both"/>
      </w:pPr>
      <w:r w:rsidRPr="00BE45C5">
        <w:t>Majoitus- ja ravitsemistoiminnasta annetun lain pääasiallisena velvoitteena on Schengenin yleissopimukseen perustuen kirjallisen matkustajailmoituksen la</w:t>
      </w:r>
      <w:r w:rsidRPr="00BE45C5">
        <w:t>a</w:t>
      </w:r>
      <w:r w:rsidRPr="00BE45C5">
        <w:t xml:space="preserve">timinen ja säilyttäminen viranomaiskäyttöä varten. Lain mukaan olennaista on, että toiminnalla tähdätään taloudelliseen tulokseen. Käytännössä tämä tarkoittaa matkustajailmoitusten laatimista aina, jos majoituksesta peritään vuokraa. </w:t>
      </w:r>
    </w:p>
    <w:p w:rsidR="00F163E0" w:rsidRPr="00BE45C5" w:rsidP="00BE45C5">
      <w:pPr>
        <w:pStyle w:val="BodyText"/>
        <w:jc w:val="both"/>
      </w:pPr>
      <w:r w:rsidRPr="00BE45C5">
        <w:t>Sisäministeriö ja Poliisihallitus ovat käyneet keskusteluja, olisiko matkustajai</w:t>
      </w:r>
      <w:r w:rsidRPr="00BE45C5">
        <w:t>l</w:t>
      </w:r>
      <w:r w:rsidRPr="00BE45C5">
        <w:t>moituksen laatiminen mahdollista tulevaisuudessa tehdä sähköisesti. Muutos edellyttää Schengen säännöksen muuttamista, jonka vuoksi asiasta tulee kä</w:t>
      </w:r>
      <w:r w:rsidRPr="00BE45C5">
        <w:t>y</w:t>
      </w:r>
      <w:r w:rsidRPr="00BE45C5">
        <w:t>dä keskusteluja Komission kanssa. Asian valmistelua jatketaan.</w:t>
      </w:r>
    </w:p>
    <w:p w:rsidR="00D13B7E" w:rsidRPr="00BE45C5" w:rsidP="00BE45C5">
      <w:pPr>
        <w:pStyle w:val="BodyText"/>
        <w:jc w:val="both"/>
        <w:rPr>
          <w:b/>
        </w:rPr>
      </w:pPr>
      <w:r w:rsidRPr="00BE45C5">
        <w:rPr>
          <w:b/>
        </w:rPr>
        <w:t>Pelastuslain velvoitteet</w:t>
      </w:r>
    </w:p>
    <w:p w:rsidR="00F163E0" w:rsidRPr="00BE45C5" w:rsidP="00BE45C5">
      <w:pPr>
        <w:pStyle w:val="BodyText"/>
        <w:jc w:val="both"/>
      </w:pPr>
      <w:r w:rsidRPr="00BE45C5">
        <w:t>Pelastuslain (379/2011) 17 §:n mukaan huoneiston haltija vastaa, että asunto varustetaan riittävällä määrällä palovaroittimia. Majoitustiloissa ja hoitolaito</w:t>
      </w:r>
      <w:r w:rsidRPr="00BE45C5">
        <w:t>k</w:t>
      </w:r>
      <w:r w:rsidRPr="00BE45C5">
        <w:t xml:space="preserve">sissa vastaava velvollisuus on toiminnanharjoittajalla. </w:t>
      </w:r>
    </w:p>
    <w:p w:rsidR="00F163E0" w:rsidRPr="00BE45C5" w:rsidP="00BE45C5">
      <w:pPr>
        <w:pStyle w:val="BodyText"/>
        <w:jc w:val="both"/>
      </w:pPr>
      <w:r w:rsidRPr="00BE45C5">
        <w:t>Nykyisessä pelastuslain soveltamiskäytännössä on lähdetty siitä, että palotu</w:t>
      </w:r>
      <w:r w:rsidRPr="00BE45C5">
        <w:t>r</w:t>
      </w:r>
      <w:r w:rsidRPr="00BE45C5">
        <w:t>vallisuudesta huolehtiminen kuuluu majoitusta tarjoavan velvollisuuteen. Tä</w:t>
      </w:r>
      <w:r w:rsidRPr="00BE45C5">
        <w:t>l</w:t>
      </w:r>
      <w:r w:rsidR="00CD79AD">
        <w:t xml:space="preserve">löin </w:t>
      </w:r>
      <w:r w:rsidR="00CD79AD">
        <w:t>Airbnb-</w:t>
      </w:r>
      <w:r w:rsidRPr="00BE45C5">
        <w:t>tyyppiseen</w:t>
      </w:r>
      <w:r w:rsidRPr="00BE45C5">
        <w:t xml:space="preserve"> majoitukseen ja vastaavaan yksityishenkilöiden ta</w:t>
      </w:r>
      <w:r w:rsidRPr="00BE45C5">
        <w:t>r</w:t>
      </w:r>
      <w:r w:rsidRPr="00BE45C5">
        <w:t>joamaan kotimajoitukseen sovelletaan pelastuslain 17 §:n 1 momenttia pal</w:t>
      </w:r>
      <w:r w:rsidRPr="00BE45C5">
        <w:t>o</w:t>
      </w:r>
      <w:r w:rsidRPr="00BE45C5">
        <w:t>varoittimen hankkimisesta ja kunnossapidosta. Pelastuslain tarkoittama hu</w:t>
      </w:r>
      <w:r w:rsidRPr="00BE45C5">
        <w:t>o</w:t>
      </w:r>
      <w:r w:rsidRPr="00BE45C5">
        <w:t>neiston haltija on silloin se henkilö, joka tarjoaa majoitusta omistamassaan tai vu</w:t>
      </w:r>
      <w:r w:rsidR="00CD79AD">
        <w:t xml:space="preserve">okraamassaan asunnossa.  </w:t>
      </w:r>
      <w:r w:rsidR="00CD79AD">
        <w:t>Airbnb</w:t>
      </w:r>
      <w:r w:rsidRPr="00BE45C5">
        <w:t>-majoittujan</w:t>
      </w:r>
      <w:r w:rsidRPr="00BE45C5">
        <w:t xml:space="preserve"> ei ole katsottu olevan muun vuokraustoiminnan kaltaisesti </w:t>
      </w:r>
      <w:r w:rsidR="00CD79AD">
        <w:t xml:space="preserve">asunnon haltija, vaikka </w:t>
      </w:r>
      <w:r w:rsidR="00CD79AD">
        <w:t>Airbnb-</w:t>
      </w:r>
      <w:r w:rsidRPr="00BE45C5">
        <w:t>majoitustoiminnasta</w:t>
      </w:r>
      <w:r w:rsidRPr="00BE45C5">
        <w:t xml:space="preserve"> puhutaan usein ”vuokramajoituksena”.</w:t>
      </w:r>
    </w:p>
    <w:p w:rsidR="00F163E0" w:rsidRPr="00BE45C5" w:rsidP="00BE45C5">
      <w:pPr>
        <w:pStyle w:val="BodyText"/>
        <w:jc w:val="both"/>
      </w:pPr>
      <w:r w:rsidRPr="00BE45C5">
        <w:t>Koska on oikeudellisesti epäselvää, missä tilanteissa majoitustoiminta kuuluu majoitus- ja ravitsemustoiminnasta annetun lain (308/2006) tai asuinhuonei</w:t>
      </w:r>
      <w:r w:rsidRPr="00BE45C5">
        <w:t>s</w:t>
      </w:r>
      <w:r w:rsidRPr="00BE45C5">
        <w:t>ton vuokrauksesta annetun lain (481/1995) soveltamisalaan vai kuuluuko kummankaan, on tulevaisuudessa todennäköisesti</w:t>
      </w:r>
      <w:r w:rsidRPr="00BE45C5" w:rsidR="006630B3">
        <w:t xml:space="preserve"> tarve säätää pelastuslaissa muun muassa</w:t>
      </w:r>
      <w:r w:rsidRPr="00BE45C5">
        <w:t xml:space="preserve"> palovaroittimien hankinta- ja kunnossapitovelvoitteesta nykyi</w:t>
      </w:r>
      <w:r w:rsidRPr="00BE45C5">
        <w:t>s</w:t>
      </w:r>
      <w:r w:rsidRPr="00BE45C5">
        <w:t xml:space="preserve">tä tarkemmin. </w:t>
      </w:r>
    </w:p>
    <w:p w:rsidR="00F163E0" w:rsidRPr="00BE45C5" w:rsidP="00BE45C5">
      <w:pPr>
        <w:pStyle w:val="BodyText"/>
        <w:jc w:val="both"/>
      </w:pPr>
      <w:r w:rsidRPr="00BE45C5">
        <w:t>Palovaroittimien lisäksi ammattimaiseen majoitustoi</w:t>
      </w:r>
      <w:r w:rsidRPr="00BE45C5" w:rsidR="006630B3">
        <w:t>mintaa liittyvät velvoi</w:t>
      </w:r>
      <w:r w:rsidRPr="00BE45C5" w:rsidR="006630B3">
        <w:t>t</w:t>
      </w:r>
      <w:r w:rsidRPr="00BE45C5" w:rsidR="006630B3">
        <w:t>teet muun muassa</w:t>
      </w:r>
      <w:r w:rsidRPr="00BE45C5">
        <w:t xml:space="preserve"> huolehtia majoittujien poistumisturvallisuudesta ja ohjei</w:t>
      </w:r>
      <w:r w:rsidRPr="00BE45C5">
        <w:t>s</w:t>
      </w:r>
      <w:r w:rsidRPr="00BE45C5">
        <w:t>tuksesta tulipalon ja muiden hätätilanteiden varalle. Lyhytaikaisen majoitu</w:t>
      </w:r>
      <w:r w:rsidRPr="00BE45C5">
        <w:t>s</w:t>
      </w:r>
      <w:r w:rsidRPr="00BE45C5">
        <w:t>toiminnan paloturvallisuushaasteet kohdistuvat asuntojen lisäksi kaikkeen</w:t>
      </w:r>
      <w:r w:rsidRPr="00BE45C5" w:rsidR="006630B3">
        <w:t xml:space="preserve"> t</w:t>
      </w:r>
      <w:r w:rsidRPr="00BE45C5" w:rsidR="006630B3">
        <w:t>i</w:t>
      </w:r>
      <w:r w:rsidRPr="00BE45C5" w:rsidR="006630B3">
        <w:t>lapäiseen asumiseen esimerkiksi</w:t>
      </w:r>
      <w:r w:rsidRPr="00BE45C5">
        <w:t xml:space="preserve"> marjanpoimijoiden majoitustiloihin ja erilai</w:t>
      </w:r>
      <w:r w:rsidRPr="00BE45C5">
        <w:t>s</w:t>
      </w:r>
      <w:r w:rsidRPr="00BE45C5">
        <w:t xml:space="preserve">ten tapahtumien aikaiseen koulumajoitukseen.   </w:t>
      </w:r>
    </w:p>
    <w:p w:rsidR="00FB22EE" w:rsidP="00FB22EE">
      <w:pPr>
        <w:pStyle w:val="BodyText"/>
      </w:pPr>
    </w:p>
    <w:p w:rsidR="00BE45C5" w:rsidP="00FB22EE">
      <w:pPr>
        <w:pStyle w:val="BodyText"/>
      </w:pPr>
    </w:p>
    <w:p w:rsidR="00BE45C5" w:rsidRPr="00D55653" w:rsidP="00FB22EE">
      <w:pPr>
        <w:pStyle w:val="BodyText"/>
      </w:pPr>
    </w:p>
    <w:p w:rsidR="00FB22EE" w:rsidRPr="00D55653" w:rsidP="00FB22EE">
      <w:pPr>
        <w:pStyle w:val="BodyText"/>
      </w:pPr>
    </w:p>
    <w:p w:rsidR="00897327" w:rsidRPr="00D55653" w:rsidP="00897327">
      <w:pPr>
        <w:pStyle w:val="BodyText"/>
      </w:pPr>
      <w:r>
        <w:t>Kansliapäällikön sijaisena,</w:t>
      </w:r>
      <w:r>
        <w:br/>
        <w:t>osastopäällikkö</w:t>
      </w:r>
      <w:r w:rsidRPr="00D55653" w:rsidR="00AB4871">
        <w:tab/>
      </w:r>
      <w:r>
        <w:t>Jukka Aalto</w:t>
      </w:r>
    </w:p>
    <w:p w:rsidR="00897327" w:rsidRPr="00D55653" w:rsidP="00897327">
      <w:pPr>
        <w:pStyle w:val="BodyText"/>
      </w:pPr>
    </w:p>
    <w:p w:rsidR="00082DFF" w:rsidRPr="00D55653" w:rsidP="00754595">
      <w:pPr>
        <w:pStyle w:val="BodyText"/>
      </w:pPr>
      <w:r>
        <w:t>Suunnittelija</w:t>
      </w:r>
      <w:r>
        <w:tab/>
      </w:r>
      <w:r w:rsidRPr="00D55653" w:rsidR="00AB4871">
        <w:tab/>
      </w:r>
      <w:r>
        <w:t>Aino Tuovinen</w:t>
      </w:r>
    </w:p>
    <w:p w:rsidR="00082DFF" w:rsidRPr="00D55653" w:rsidP="003448DA">
      <w:pPr>
        <w:pStyle w:val="BodyText"/>
      </w:pPr>
    </w:p>
    <w:p w:rsidR="00082DFF" w:rsidRPr="00D55653" w:rsidP="003448DA">
      <w:pPr>
        <w:pStyle w:val="BodyText"/>
      </w:pPr>
    </w:p>
    <w:p w:rsidR="00082DFF" w:rsidRPr="00D55653" w:rsidP="00A8130D">
      <w:pPr>
        <w:pStyle w:val="BodyText"/>
      </w:pPr>
      <w:r w:rsidRPr="00D55653">
        <w:fldChar w:fldCharType="begin"/>
      </w:r>
      <w:r w:rsidRPr="00D55653">
        <w:instrText xml:space="preserve"> DOCPROPERTY  sm_allekirjoitusfraasi  \* MERGEFORMAT </w:instrText>
      </w:r>
      <w:r w:rsidRPr="00D55653">
        <w:fldChar w:fldCharType="separate"/>
      </w:r>
      <w:r w:rsidRPr="00D55653">
        <w:t>Asiakirja on sähköisesti allekirjoitettu asianhallintajärjestelmässä. Sisäministeriö 22.03.2019 klo 14:16. Allekirjoituksen oikeellisuuden</w:t>
      </w:r>
      <w:r w:rsidRPr="00D55653">
        <w:t xml:space="preserve"> voi todentaa kirjaamosta.</w:t>
      </w:r>
      <w:r w:rsidRPr="00D55653">
        <w:fldChar w:fldCharType="end"/>
      </w:r>
    </w:p>
    <w:p w:rsidR="00082DFF" w:rsidRPr="00D55653" w:rsidP="003448DA">
      <w:pPr>
        <w:pStyle w:val="BodyText"/>
      </w:pPr>
    </w:p>
    <w:p w:rsidR="00082DFF" w:rsidRPr="00D55653" w:rsidP="003448DA">
      <w:pPr>
        <w:pStyle w:val="BodyText"/>
      </w:pPr>
    </w:p>
    <w:p w:rsidR="00082DFF" w:rsidRPr="00D55653" w:rsidP="003448DA">
      <w:pPr>
        <w:pStyle w:val="BodyText"/>
      </w:pPr>
    </w:p>
    <w:tbl>
      <w:tblPr>
        <w:tblStyle w:val="TaulukkoRuudukko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tblPr>
      <w:tblGrid>
        <w:gridCol w:w="2525"/>
        <w:gridCol w:w="7307"/>
      </w:tblGrid>
      <w:tr w:rsidTr="00A8130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tblPrEx>
        <w:tc>
          <w:tcPr>
            <w:tcW w:w="2525" w:type="dxa"/>
          </w:tcPr>
          <w:p w:rsidR="00082DFF" w:rsidRPr="00D55653" w:rsidP="00082DFF">
            <w:pPr>
              <w:rPr>
                <w:lang w:val="fi-FI"/>
              </w:rPr>
            </w:pPr>
          </w:p>
        </w:tc>
        <w:tc>
          <w:tcPr>
            <w:tcW w:w="7307" w:type="dxa"/>
          </w:tcPr>
          <w:p w:rsidR="00082DFF" w:rsidRPr="00D55653" w:rsidP="00082DFF">
            <w:pPr>
              <w:rPr>
                <w:lang w:val="fi-FI"/>
              </w:rPr>
            </w:pPr>
          </w:p>
        </w:tc>
      </w:tr>
      <w:tr w:rsidTr="00A8130D">
        <w:tblPrEx>
          <w:tblW w:w="0" w:type="auto"/>
          <w:tblLayout w:type="fixed"/>
          <w:tblCellMar>
            <w:left w:w="57" w:type="dxa"/>
            <w:right w:w="0" w:type="dxa"/>
          </w:tblCellMar>
          <w:tblLook w:val="04A0"/>
        </w:tblPrEx>
        <w:tc>
          <w:tcPr>
            <w:tcW w:w="2525" w:type="dxa"/>
          </w:tcPr>
          <w:p w:rsidR="00082DFF" w:rsidRPr="00D55653" w:rsidP="00082DFF">
            <w:pPr>
              <w:rPr>
                <w:lang w:val="fi-FI"/>
              </w:rPr>
            </w:pPr>
          </w:p>
        </w:tc>
        <w:tc>
          <w:tcPr>
            <w:tcW w:w="7307" w:type="dxa"/>
          </w:tcPr>
          <w:p w:rsidR="00082DFF" w:rsidRPr="00D55653" w:rsidP="00082DFF">
            <w:pPr>
              <w:rPr>
                <w:lang w:val="fi-FI"/>
              </w:rPr>
            </w:pPr>
          </w:p>
        </w:tc>
      </w:tr>
      <w:tr w:rsidTr="00A8130D">
        <w:tblPrEx>
          <w:tblW w:w="0" w:type="auto"/>
          <w:tblLayout w:type="fixed"/>
          <w:tblCellMar>
            <w:left w:w="57" w:type="dxa"/>
            <w:right w:w="0" w:type="dxa"/>
          </w:tblCellMar>
          <w:tblLook w:val="04A0"/>
        </w:tblPrEx>
        <w:tc>
          <w:tcPr>
            <w:tcW w:w="2525" w:type="dxa"/>
          </w:tcPr>
          <w:p w:rsidR="00082DFF" w:rsidRPr="00D55653" w:rsidP="00082DFF">
            <w:pPr>
              <w:rPr>
                <w:lang w:val="fi-FI"/>
              </w:rPr>
            </w:pPr>
            <w:r w:rsidRPr="00D55653">
              <w:fldChar w:fldCharType="begin"/>
            </w:r>
            <w:r w:rsidRPr="00D55653">
              <w:rPr>
                <w:rFonts w:ascii="Calibri" w:eastAsia="Times New Roman" w:hAnsi="Calibri" w:cs="Calibri"/>
                <w:sz w:val="22"/>
                <w:lang w:val="fi-FI" w:eastAsia="en-US" w:bidi="ar-SA"/>
              </w:rPr>
              <w:instrText xml:space="preserve"> MACROBUTTON  AdditionalActions </w:instrText>
            </w:r>
            <w:r w:rsidRPr="00D55653">
              <w:rPr>
                <w:lang w:val="fi-FI"/>
              </w:rPr>
              <w:instrText xml:space="preserve">Tiedoksi </w:instrText>
            </w:r>
            <w:r w:rsidRPr="00D55653">
              <w:fldChar w:fldCharType="end"/>
            </w:r>
          </w:p>
        </w:tc>
        <w:tc>
          <w:tcPr>
            <w:tcW w:w="7307" w:type="dxa"/>
          </w:tcPr>
          <w:p w:rsidR="00082DFF" w:rsidRPr="00D13B7E" w:rsidP="00082DFF">
            <w:pPr>
              <w:rPr>
                <w:lang w:val="fi-FI"/>
              </w:rPr>
            </w:pPr>
            <w:r w:rsidRPr="00D13B7E">
              <w:rPr>
                <w:lang w:val="fi-FI"/>
              </w:rPr>
              <w:t>Ministeri Mykkänen</w:t>
            </w:r>
          </w:p>
          <w:p w:rsidR="00D13B7E" w:rsidRPr="00D13B7E" w:rsidP="00082DFF">
            <w:pPr>
              <w:rPr>
                <w:lang w:val="fi-FI"/>
              </w:rPr>
            </w:pPr>
            <w:r w:rsidRPr="00D13B7E">
              <w:rPr>
                <w:lang w:val="fi-FI"/>
              </w:rPr>
              <w:t>Kansliapäällikkö Salmi</w:t>
            </w:r>
          </w:p>
          <w:p w:rsidR="00D13B7E" w:rsidRPr="00D13B7E" w:rsidP="00082DFF">
            <w:pPr>
              <w:rPr>
                <w:lang w:val="fi-FI"/>
              </w:rPr>
            </w:pPr>
            <w:r w:rsidRPr="00D13B7E">
              <w:rPr>
                <w:lang w:val="fi-FI"/>
              </w:rPr>
              <w:t>Erityisavustaja Andersson-Bohren</w:t>
            </w:r>
          </w:p>
          <w:p w:rsidR="00D13B7E" w:rsidP="00082DFF">
            <w:pPr>
              <w:rPr>
                <w:lang w:val="fi-FI"/>
              </w:rPr>
            </w:pPr>
            <w:r>
              <w:rPr>
                <w:lang w:val="fi-FI"/>
              </w:rPr>
              <w:t>SM/PO</w:t>
            </w:r>
          </w:p>
          <w:p w:rsidR="00D13B7E" w:rsidRPr="00D13B7E" w:rsidP="00082DFF">
            <w:pPr>
              <w:rPr>
                <w:lang w:val="fi-FI"/>
              </w:rPr>
            </w:pPr>
            <w:r>
              <w:rPr>
                <w:lang w:val="fi-FI"/>
              </w:rPr>
              <w:t>SM/PEO</w:t>
            </w:r>
          </w:p>
        </w:tc>
      </w:tr>
    </w:tbl>
    <w:p w:rsidR="00082DFF" w:rsidRPr="00D55653" w:rsidP="0098392F"/>
    <w:sectPr w:rsidSect="00974A00">
      <w:headerReference w:type="default" r:id="rId5"/>
      <w:headerReference w:type="first" r:id="rId6"/>
      <w:footerReference w:type="first" r:id="rId7"/>
      <w:pgSz w:w="11906" w:h="16838" w:code="9"/>
      <w:pgMar w:top="1531" w:right="567" w:bottom="510" w:left="1134" w:header="567" w:footer="79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DFF" w:rsidRPr="00082DFF" w:rsidP="00082DFF">
    <w:pPr>
      <w:rPr>
        <w:rFonts w:eastAsia="Calibri"/>
        <w:szCs w:val="22"/>
      </w:rPr>
    </w:pPr>
    <w:r w:rsidRPr="00082DFF">
      <w:rPr>
        <w:rFonts w:eastAsia="Calibri"/>
        <w:noProof/>
        <w:szCs w:val="22"/>
        <w:lang w:eastAsia="fi-FI"/>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ge">
                <wp:posOffset>9496425</wp:posOffset>
              </wp:positionV>
              <wp:extent cx="6120000" cy="0"/>
              <wp:effectExtent l="0" t="0" r="14605" b="19050"/>
              <wp:wrapNone/>
              <wp:docPr id="2" name="Suora yhdysviiva 2"/>
              <wp:cNvGraphicFramePr/>
              <a:graphic xmlns:a="http://schemas.openxmlformats.org/drawingml/2006/main">
                <a:graphicData uri="http://schemas.microsoft.com/office/word/2010/wordprocessingShape">
                  <wps:wsp xmlns:wps="http://schemas.microsoft.com/office/word/2010/wordprocessingShape">
                    <wps:cNvCnPr/>
                    <wps:spPr>
                      <a:xfrm>
                        <a:off x="0" y="0"/>
                        <a:ext cx="6120000" cy="0"/>
                      </a:xfrm>
                      <a:prstGeom prst="line">
                        <a:avLst/>
                      </a:prstGeom>
                      <a:noFill/>
                      <a:ln w="12700">
                        <a:solidFill>
                          <a:srgbClr val="142D55"/>
                        </a:solidFill>
                        <a:miter lim="800000"/>
                      </a:ln>
                      <a:effectLst/>
                    </wps:spPr>
                    <wps:bodyPr/>
                  </wps:wsp>
                </a:graphicData>
              </a:graphic>
              <wp14:sizeRelH relativeFrom="margin">
                <wp14:pctWidth>0</wp14:pctWidth>
              </wp14:sizeRelH>
            </wp:anchor>
          </w:drawing>
        </mc:Choice>
        <mc:Fallback>
          <w:pict>
            <v:line id="Suora yhdysviiva 2" o:spid="_x0000_s2049" style="mso-position-vertical-relative:page;mso-width-percent:0;mso-width-relative:margin;mso-wrap-distance-bottom:0;mso-wrap-distance-left:9pt;mso-wrap-distance-right:9pt;mso-wrap-distance-top:0;mso-wrap-style:square;position:absolute;visibility:visible;z-index:-251656192" from="0.05pt,747.75pt" to="481.95pt,747.75pt" strokecolor="#142d55" strokeweight="1pt">
              <v:stroke joinstyle="miter"/>
            </v:line>
          </w:pict>
        </mc:Fallback>
      </mc:AlternateContent>
    </w:r>
  </w:p>
  <w:p w:rsidR="00082DFF" w:rsidRPr="00F83065" w:rsidP="00F83065">
    <w:pPr>
      <w:pStyle w:val="Footer"/>
    </w:pPr>
    <w:r w:rsidRPr="00F83065">
      <w:t>Kirkkokatu 12, Helsinki</w:t>
    </w:r>
  </w:p>
  <w:p w:rsidR="00082DFF" w:rsidRPr="00F83065" w:rsidP="00F83065">
    <w:pPr>
      <w:pStyle w:val="Footer"/>
    </w:pPr>
    <w:r w:rsidRPr="00F83065">
      <w:t>PL 26, 00023 Valtioneuvosto</w:t>
    </w:r>
    <w:r w:rsidRPr="00F83065">
      <w:br/>
      <w:t>Vaihde 0295 480 171 | kirjaamo@intermin.fi | www.intermin.fi</w:t>
    </w:r>
  </w:p>
  <w:p w:rsidR="00082DF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Eireunaviivaa"/>
      <w:tblW w:w="10347" w:type="dxa"/>
      <w:tblLayout w:type="fixed"/>
      <w:tblLook w:val="04A0"/>
    </w:tblPr>
    <w:tblGrid>
      <w:gridCol w:w="5222"/>
      <w:gridCol w:w="2608"/>
      <w:gridCol w:w="1463"/>
      <w:gridCol w:w="1054"/>
    </w:tblGrid>
    <w:tr w:rsidTr="00EB6C6D">
      <w:tblPrEx>
        <w:tblW w:w="10347" w:type="dxa"/>
        <w:tblLayout w:type="fixed"/>
        <w:tblLook w:val="04A0"/>
      </w:tblPrEx>
      <w:tc>
        <w:tcPr>
          <w:tcW w:w="5222" w:type="dxa"/>
        </w:tcPr>
        <w:p w:rsidR="00A147F3" w:rsidRPr="00770045" w:rsidP="0098392F">
          <w:pPr>
            <w:pStyle w:val="Header"/>
          </w:pPr>
          <w:r w:rsidRPr="00770045">
            <w:t>Sisäministeriö</w:t>
          </w:r>
        </w:p>
      </w:tc>
      <w:tc>
        <w:tcPr>
          <w:tcW w:w="2608" w:type="dxa"/>
          <w:tcBorders>
            <w:left w:val="nil"/>
          </w:tcBorders>
        </w:tcPr>
        <w:p w:rsidR="00A147F3" w:rsidRPr="00770045" w:rsidP="0098392F">
          <w:pPr>
            <w:pStyle w:val="Header"/>
          </w:pPr>
        </w:p>
      </w:tc>
      <w:tc>
        <w:tcPr>
          <w:tcW w:w="1463" w:type="dxa"/>
        </w:tcPr>
        <w:p w:rsidR="00A147F3" w:rsidP="0098392F">
          <w:pPr>
            <w:pStyle w:val="Header"/>
          </w:pPr>
        </w:p>
      </w:tc>
      <w:tc>
        <w:tcPr>
          <w:tcW w:w="1054" w:type="dxa"/>
        </w:tcPr>
        <w:p w:rsidR="00A147F3" w:rsidP="0098392F">
          <w:pPr>
            <w:pStyle w:val="Header"/>
          </w:pPr>
          <w:r>
            <w:fldChar w:fldCharType="begin"/>
          </w:r>
          <w:r>
            <w:instrText xml:space="preserve"> PAGE   \* MERGEFORMAT </w:instrText>
          </w:r>
          <w:r>
            <w:fldChar w:fldCharType="separate"/>
          </w:r>
          <w:r w:rsidR="00194B04">
            <w:rPr>
              <w:rFonts w:ascii="Arial" w:hAnsi="Arial" w:eastAsiaTheme="minorHAnsi" w:cs="Calibri"/>
              <w:noProof/>
              <w:sz w:val="22"/>
              <w:szCs w:val="18"/>
              <w:lang w:val="fi-FI" w:eastAsia="en-US" w:bidi="ar-SA"/>
            </w:rPr>
            <w:t>4</w:t>
          </w:r>
          <w:r>
            <w:fldChar w:fldCharType="end"/>
          </w:r>
          <w:r>
            <w:t xml:space="preserve"> (</w:t>
          </w:r>
          <w:r>
            <w:fldChar w:fldCharType="begin"/>
          </w:r>
          <w:r>
            <w:instrText xml:space="preserve"> NUMPAGES   \* MERGEFORMAT </w:instrText>
          </w:r>
          <w:r>
            <w:fldChar w:fldCharType="separate"/>
          </w:r>
          <w:r w:rsidR="00194B04">
            <w:rPr>
              <w:rFonts w:ascii="Arial" w:hAnsi="Arial" w:eastAsiaTheme="minorHAnsi" w:cs="Calibri"/>
              <w:noProof/>
              <w:sz w:val="22"/>
              <w:szCs w:val="18"/>
              <w:lang w:val="fi-FI" w:eastAsia="en-US" w:bidi="ar-SA"/>
            </w:rPr>
            <w:t>4</w:t>
          </w:r>
          <w:r w:rsidR="00194B04">
            <w:fldChar w:fldCharType="end"/>
          </w:r>
          <w:r>
            <w:t>)</w:t>
          </w:r>
        </w:p>
      </w:tc>
    </w:tr>
  </w:tbl>
  <w:tbl>
    <w:tblPr>
      <w:tblStyle w:val="TaulukkoRuudukko1"/>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268"/>
    </w:tblGrid>
    <w:tr w:rsidTr="00672273">
      <w:tblPrEx>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2"/>
      </w:trPr>
      <w:tc>
        <w:tcPr>
          <w:tcW w:w="2268" w:type="dxa"/>
        </w:tcPr>
        <w:p w:rsidR="00FB22EE" w:rsidRPr="008F7C56" w:rsidP="00672273">
          <w:pPr>
            <w:rPr>
              <w:rFonts w:eastAsia="Cambria"/>
              <w:lang w:val="fi-FI"/>
            </w:rPr>
          </w:pPr>
          <w:r w:rsidRPr="008F7C56">
            <w:rPr>
              <w:rFonts w:eastAsia="Cambria"/>
            </w:rPr>
            <w:fldChar w:fldCharType="begin"/>
          </w:r>
          <w:r w:rsidRPr="008F7C56">
            <w:rPr>
              <w:rFonts w:eastAsia="Cambria"/>
              <w:lang w:val="fi-FI"/>
            </w:rPr>
            <w:instrText xml:space="preserve"> DOCPROPERTY  sm_asiakirjatyyppi  \* MERGEFORMAT </w:instrText>
          </w:r>
          <w:r w:rsidRPr="008F7C56">
            <w:rPr>
              <w:rFonts w:eastAsia="Cambria"/>
            </w:rPr>
            <w:fldChar w:fldCharType="separate"/>
          </w:r>
          <w:r w:rsidRPr="008F7C56">
            <w:rPr>
              <w:rFonts w:eastAsia="Cambria"/>
              <w:lang w:val="fi-FI"/>
            </w:rPr>
            <w:t>Lausunto</w:t>
          </w:r>
          <w:r w:rsidRPr="008F7C56">
            <w:rPr>
              <w:rFonts w:eastAsia="Cambria"/>
            </w:rPr>
            <w:fldChar w:fldCharType="end"/>
          </w:r>
        </w:p>
      </w:tc>
      <w:tc>
        <w:tcPr>
          <w:tcW w:w="2268" w:type="dxa"/>
        </w:tcPr>
        <w:p w:rsidR="00FB22EE" w:rsidRPr="008F7C56" w:rsidP="00672273">
          <w:pPr>
            <w:rPr>
              <w:rFonts w:eastAsia="Cambria"/>
              <w:lang w:val="fi-FI"/>
            </w:rPr>
          </w:pPr>
          <w:r w:rsidRPr="008F7C56">
            <w:rPr>
              <w:rFonts w:eastAsia="Cambria"/>
            </w:rPr>
            <w:fldChar w:fldCharType="begin"/>
          </w:r>
          <w:r w:rsidRPr="008F7C56">
            <w:rPr>
              <w:rFonts w:eastAsia="Cambria"/>
              <w:lang w:val="fi-FI"/>
            </w:rPr>
            <w:instrText xml:space="preserve"> DOCPROPERTY  sm_id  \* MERGEFORMAT </w:instrText>
          </w:r>
          <w:r w:rsidRPr="008F7C56">
            <w:rPr>
              <w:rFonts w:eastAsia="Cambria"/>
            </w:rPr>
            <w:fldChar w:fldCharType="separate"/>
          </w:r>
          <w:r w:rsidRPr="008F7C56">
            <w:rPr>
              <w:rFonts w:eastAsia="Cambria"/>
              <w:lang w:val="fi-FI"/>
            </w:rPr>
            <w:t>SM198876</w:t>
          </w:r>
          <w:r w:rsidRPr="008F7C56">
            <w:rPr>
              <w:rFonts w:eastAsia="Cambria"/>
            </w:rPr>
            <w:fldChar w:fldCharType="end"/>
          </w:r>
        </w:p>
      </w:tc>
    </w:tr>
    <w:tr w:rsidTr="00672273">
      <w:tblPrEx>
        <w:tblW w:w="0" w:type="auto"/>
        <w:tblInd w:w="5040" w:type="dxa"/>
        <w:tblLook w:val="04A0"/>
      </w:tblPrEx>
      <w:tc>
        <w:tcPr>
          <w:tcW w:w="2268" w:type="dxa"/>
        </w:tcPr>
        <w:p w:rsidR="00FB22EE" w:rsidRPr="008F7C56" w:rsidP="00672273">
          <w:pPr>
            <w:rPr>
              <w:rFonts w:eastAsia="Cambria"/>
              <w:lang w:val="fi-FI"/>
            </w:rPr>
          </w:pPr>
        </w:p>
      </w:tc>
      <w:tc>
        <w:tcPr>
          <w:tcW w:w="2268" w:type="dxa"/>
        </w:tcPr>
        <w:p w:rsidR="00FB22EE" w:rsidRPr="008F7C56" w:rsidP="00672273">
          <w:pPr>
            <w:rPr>
              <w:rFonts w:eastAsia="Cambria"/>
              <w:lang w:val="fi-FI"/>
            </w:rPr>
          </w:pPr>
          <w:r w:rsidRPr="008F7C56">
            <w:rPr>
              <w:rFonts w:eastAsia="Cambria"/>
            </w:rPr>
            <w:fldChar w:fldCharType="begin"/>
          </w:r>
          <w:r w:rsidRPr="008F7C56">
            <w:rPr>
              <w:rFonts w:eastAsia="Cambria"/>
              <w:lang w:val="fi-FI"/>
            </w:rPr>
            <w:instrText xml:space="preserve"> DOCPROPERTY  sm_asiaryhmä  \* MERGEFORMAT </w:instrText>
          </w:r>
          <w:r w:rsidRPr="008F7C56">
            <w:rPr>
              <w:rFonts w:eastAsia="Cambria"/>
            </w:rPr>
            <w:fldChar w:fldCharType="separate"/>
          </w:r>
          <w:r w:rsidRPr="008F7C56">
            <w:rPr>
              <w:rFonts w:eastAsia="Cambria"/>
              <w:lang w:val="fi-FI"/>
            </w:rPr>
            <w:t>00.02.04</w:t>
          </w:r>
          <w:r w:rsidRPr="008F7C56">
            <w:rPr>
              <w:rFonts w:eastAsia="Cambria"/>
            </w:rPr>
            <w:fldChar w:fldCharType="end"/>
          </w:r>
        </w:p>
      </w:tc>
    </w:tr>
    <w:tr w:rsidTr="00672273">
      <w:tblPrEx>
        <w:tblW w:w="0" w:type="auto"/>
        <w:tblInd w:w="5040" w:type="dxa"/>
        <w:tblLook w:val="04A0"/>
      </w:tblPrEx>
      <w:tc>
        <w:tcPr>
          <w:tcW w:w="2268" w:type="dxa"/>
        </w:tcPr>
        <w:p w:rsidR="00FB22EE" w:rsidRPr="008F7C56" w:rsidP="00672273">
          <w:pPr>
            <w:rPr>
              <w:rFonts w:eastAsia="Cambria"/>
              <w:lang w:val="fi-FI"/>
            </w:rPr>
          </w:pPr>
          <w:r w:rsidRPr="008F7C56">
            <w:rPr>
              <w:rFonts w:eastAsia="Cambria"/>
            </w:rPr>
            <w:fldChar w:fldCharType="begin"/>
          </w:r>
          <w:r w:rsidRPr="008F7C56">
            <w:rPr>
              <w:rFonts w:eastAsia="Cambria"/>
              <w:lang w:val="fi-FI"/>
            </w:rPr>
            <w:instrText xml:space="preserve"> DOCPROPERTY  sm_pvm  \* MERGEFORMAT </w:instrText>
          </w:r>
          <w:r w:rsidRPr="008F7C56">
            <w:rPr>
              <w:rFonts w:eastAsia="Cambria"/>
            </w:rPr>
            <w:fldChar w:fldCharType="separate"/>
          </w:r>
          <w:r w:rsidRPr="008F7C56">
            <w:rPr>
              <w:rFonts w:eastAsia="Cambria"/>
              <w:lang w:val="fi-FI"/>
            </w:rPr>
            <w:t>22.03.2019</w:t>
          </w:r>
          <w:r w:rsidRPr="008F7C56">
            <w:rPr>
              <w:rFonts w:eastAsia="Cambria"/>
            </w:rPr>
            <w:fldChar w:fldCharType="end"/>
          </w:r>
        </w:p>
      </w:tc>
      <w:tc>
        <w:tcPr>
          <w:tcW w:w="2268" w:type="dxa"/>
        </w:tcPr>
        <w:p w:rsidR="00FB22EE" w:rsidRPr="008F7C56" w:rsidP="00672273">
          <w:pPr>
            <w:rPr>
              <w:rFonts w:eastAsia="Cambria"/>
              <w:lang w:val="fi-FI"/>
            </w:rPr>
          </w:pPr>
          <w:r w:rsidRPr="008F7C56">
            <w:rPr>
              <w:rFonts w:eastAsia="Cambria"/>
            </w:rPr>
            <w:fldChar w:fldCharType="begin"/>
          </w:r>
          <w:r w:rsidRPr="008F7C56">
            <w:rPr>
              <w:rFonts w:eastAsia="Cambria"/>
              <w:lang w:val="fi-FI"/>
            </w:rPr>
            <w:instrText xml:space="preserve"> DOCPROPERTY  sm_diaarinro  \* MERGEFORMAT </w:instrText>
          </w:r>
          <w:r w:rsidRPr="008F7C56">
            <w:rPr>
              <w:rFonts w:eastAsia="Cambria"/>
            </w:rPr>
            <w:fldChar w:fldCharType="separate"/>
          </w:r>
          <w:r w:rsidRPr="008F7C56">
            <w:rPr>
              <w:rFonts w:eastAsia="Cambria"/>
              <w:lang w:val="fi-FI"/>
            </w:rPr>
            <w:t>SMDno-2019-492</w:t>
          </w:r>
          <w:r w:rsidRPr="008F7C56">
            <w:rPr>
              <w:rFonts w:eastAsia="Cambria"/>
            </w:rPr>
            <w:fldChar w:fldCharType="end"/>
          </w:r>
        </w:p>
      </w:tc>
    </w:tr>
  </w:tbl>
  <w:p w:rsidR="00D64AB2" w:rsidP="0098392F">
    <w:pPr>
      <w:pStyle w:val="Header"/>
    </w:pPr>
  </w:p>
  <w:p w:rsidR="00FB22EE" w:rsidP="0098392F">
    <w:pPr>
      <w:pStyle w:val="Header"/>
    </w:pPr>
  </w:p>
  <w:p w:rsidR="00FB22EE" w:rsidP="00983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2DFF" w:rsidRPr="00D55653" w:rsidP="0098392F">
    <w:pPr>
      <w:pStyle w:val="Header"/>
    </w:pPr>
    <w:r>
      <w:ptab w:relativeTo="margin" w:alignment="right" w:leader="none"/>
    </w:r>
    <w:r w:rsidRPr="00D55653">
      <w:fldChar w:fldCharType="begin"/>
    </w:r>
    <w:r w:rsidRPr="00D55653">
      <w:instrText xml:space="preserve"> PAGE   \* MERGEFORMAT </w:instrText>
    </w:r>
    <w:r w:rsidRPr="00D55653">
      <w:fldChar w:fldCharType="separate"/>
    </w:r>
    <w:r w:rsidR="00194B04">
      <w:t>1</w:t>
    </w:r>
    <w:r w:rsidRPr="00D55653">
      <w:fldChar w:fldCharType="end"/>
    </w:r>
    <w:r w:rsidRPr="00D55653">
      <w:t xml:space="preserve"> (</w:t>
    </w:r>
    <w:r>
      <w:fldChar w:fldCharType="begin"/>
    </w:r>
    <w:r>
      <w:instrText xml:space="preserve"> NUMPAGES   \* MERGEFORMAT </w:instrText>
    </w:r>
    <w:r>
      <w:fldChar w:fldCharType="separate"/>
    </w:r>
    <w:r w:rsidR="00194B04">
      <w:t>4</w:t>
    </w:r>
    <w:r w:rsidR="00194B04">
      <w:fldChar w:fldCharType="end"/>
    </w:r>
    <w:r w:rsidRPr="00D55653">
      <w:t>)</w:t>
    </w:r>
    <w:r w:rsidRPr="00D55653">
      <w:tab/>
    </w:r>
    <w:r w:rsidRPr="00D55653">
      <w:tab/>
    </w:r>
    <w:r w:rsidRPr="00D55653">
      <w:tab/>
    </w:r>
    <w:r w:rsidRPr="00D55653">
      <w:tab/>
    </w:r>
  </w:p>
  <w:tbl>
    <w:tblPr>
      <w:tblStyle w:val="TaulukkoRuudukko1"/>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268"/>
    </w:tblGrid>
    <w:tr w:rsidTr="00082DFF">
      <w:tblPrEx>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2"/>
      </w:trPr>
      <w:tc>
        <w:tcPr>
          <w:tcW w:w="2268" w:type="dxa"/>
        </w:tcPr>
        <w:p w:rsidR="00082DFF" w:rsidRPr="00D55653" w:rsidP="00082DFF">
          <w:pPr>
            <w:rPr>
              <w:rFonts w:eastAsia="Cambria"/>
              <w:lang w:val="fi-FI"/>
            </w:rPr>
          </w:pPr>
          <w:r w:rsidRPr="00D55653">
            <w:rPr>
              <w:rFonts w:eastAsia="Cambria"/>
            </w:rPr>
            <w:fldChar w:fldCharType="begin"/>
          </w:r>
          <w:r w:rsidRPr="00D55653">
            <w:rPr>
              <w:rFonts w:eastAsia="Cambria"/>
              <w:lang w:val="fi-FI"/>
            </w:rPr>
            <w:instrText xml:space="preserve"> DOCPROPERTY  sm_asiakirjatyyppi  \* MERGEFORMAT </w:instrText>
          </w:r>
          <w:r w:rsidRPr="00D55653">
            <w:rPr>
              <w:rFonts w:eastAsia="Cambria"/>
            </w:rPr>
            <w:fldChar w:fldCharType="separate"/>
          </w:r>
          <w:r w:rsidRPr="00D55653">
            <w:rPr>
              <w:rFonts w:eastAsia="Cambria"/>
              <w:lang w:val="fi-FI"/>
            </w:rPr>
            <w:t>Lausunto</w:t>
          </w:r>
          <w:r w:rsidRPr="00D55653">
            <w:rPr>
              <w:rFonts w:eastAsia="Cambria"/>
            </w:rPr>
            <w:fldChar w:fldCharType="end"/>
          </w:r>
        </w:p>
      </w:tc>
      <w:tc>
        <w:tcPr>
          <w:tcW w:w="2268" w:type="dxa"/>
        </w:tcPr>
        <w:p w:rsidR="00082DFF" w:rsidRPr="00D55653" w:rsidP="00082DFF">
          <w:pPr>
            <w:rPr>
              <w:rFonts w:eastAsia="Cambria"/>
              <w:lang w:val="fi-FI"/>
            </w:rPr>
          </w:pPr>
          <w:r w:rsidRPr="00D55653">
            <w:rPr>
              <w:rFonts w:eastAsia="Cambria"/>
            </w:rPr>
            <w:fldChar w:fldCharType="begin"/>
          </w:r>
          <w:r w:rsidRPr="00D55653">
            <w:rPr>
              <w:rFonts w:eastAsia="Cambria"/>
              <w:lang w:val="fi-FI"/>
            </w:rPr>
            <w:instrText xml:space="preserve"> DOCPROPERTY  sm_id  \* MERGEFORMAT </w:instrText>
          </w:r>
          <w:r w:rsidRPr="00D55653">
            <w:rPr>
              <w:rFonts w:eastAsia="Cambria"/>
            </w:rPr>
            <w:fldChar w:fldCharType="separate"/>
          </w:r>
          <w:r w:rsidRPr="00D55653">
            <w:rPr>
              <w:rFonts w:eastAsia="Cambria"/>
              <w:lang w:val="fi-FI"/>
            </w:rPr>
            <w:t>SM198876</w:t>
          </w:r>
          <w:r w:rsidRPr="00D55653">
            <w:rPr>
              <w:rFonts w:eastAsia="Cambria"/>
            </w:rPr>
            <w:fldChar w:fldCharType="end"/>
          </w:r>
        </w:p>
      </w:tc>
    </w:tr>
    <w:tr w:rsidTr="00082DFF">
      <w:tblPrEx>
        <w:tblW w:w="0" w:type="auto"/>
        <w:tblInd w:w="5040" w:type="dxa"/>
        <w:tblLook w:val="04A0"/>
      </w:tblPrEx>
      <w:tc>
        <w:tcPr>
          <w:tcW w:w="2268" w:type="dxa"/>
        </w:tcPr>
        <w:p w:rsidR="00082DFF" w:rsidRPr="00D55653" w:rsidP="00082DFF">
          <w:pPr>
            <w:rPr>
              <w:rFonts w:eastAsia="Cambria"/>
              <w:lang w:val="fi-FI"/>
            </w:rPr>
          </w:pPr>
        </w:p>
      </w:tc>
      <w:tc>
        <w:tcPr>
          <w:tcW w:w="2268" w:type="dxa"/>
        </w:tcPr>
        <w:p w:rsidR="00082DFF" w:rsidRPr="00D55653" w:rsidP="00082DFF">
          <w:pPr>
            <w:rPr>
              <w:rFonts w:eastAsia="Cambria"/>
              <w:lang w:val="fi-FI"/>
            </w:rPr>
          </w:pPr>
          <w:r w:rsidRPr="00D55653">
            <w:rPr>
              <w:rFonts w:eastAsia="Cambria"/>
            </w:rPr>
            <w:fldChar w:fldCharType="begin"/>
          </w:r>
          <w:r w:rsidRPr="00D55653">
            <w:rPr>
              <w:rFonts w:eastAsia="Cambria"/>
              <w:lang w:val="fi-FI"/>
            </w:rPr>
            <w:instrText xml:space="preserve"> DOCPROPERTY  sm_asiaryhmä  \* MERGEFORMAT </w:instrText>
          </w:r>
          <w:r w:rsidRPr="00D55653">
            <w:rPr>
              <w:rFonts w:eastAsia="Cambria"/>
            </w:rPr>
            <w:fldChar w:fldCharType="separate"/>
          </w:r>
          <w:r w:rsidRPr="00D55653">
            <w:rPr>
              <w:rFonts w:eastAsia="Cambria"/>
              <w:lang w:val="fi-FI"/>
            </w:rPr>
            <w:t>00.02.04</w:t>
          </w:r>
          <w:r w:rsidRPr="00D55653">
            <w:rPr>
              <w:rFonts w:eastAsia="Cambria"/>
            </w:rPr>
            <w:fldChar w:fldCharType="end"/>
          </w:r>
        </w:p>
      </w:tc>
    </w:tr>
    <w:tr w:rsidTr="00082DFF">
      <w:tblPrEx>
        <w:tblW w:w="0" w:type="auto"/>
        <w:tblInd w:w="5040" w:type="dxa"/>
        <w:tblLook w:val="04A0"/>
      </w:tblPrEx>
      <w:tc>
        <w:tcPr>
          <w:tcW w:w="2268" w:type="dxa"/>
        </w:tcPr>
        <w:p w:rsidR="00082DFF" w:rsidRPr="00D55653" w:rsidP="00082DFF">
          <w:pPr>
            <w:rPr>
              <w:rFonts w:eastAsia="Cambria"/>
              <w:lang w:val="fi-FI"/>
            </w:rPr>
          </w:pPr>
          <w:r w:rsidRPr="00D55653">
            <w:rPr>
              <w:rFonts w:eastAsia="Cambria"/>
            </w:rPr>
            <w:fldChar w:fldCharType="begin"/>
          </w:r>
          <w:r w:rsidRPr="00D55653">
            <w:rPr>
              <w:rFonts w:eastAsia="Cambria"/>
              <w:lang w:val="fi-FI"/>
            </w:rPr>
            <w:instrText xml:space="preserve"> DOCPROPERTY  sm_pvm  \* MERGEFORMAT </w:instrText>
          </w:r>
          <w:r w:rsidRPr="00D55653">
            <w:rPr>
              <w:rFonts w:eastAsia="Cambria"/>
            </w:rPr>
            <w:fldChar w:fldCharType="separate"/>
          </w:r>
          <w:r w:rsidRPr="00D55653">
            <w:rPr>
              <w:rFonts w:eastAsia="Cambria"/>
              <w:lang w:val="fi-FI"/>
            </w:rPr>
            <w:t>22.03.2019</w:t>
          </w:r>
          <w:r w:rsidRPr="00D55653">
            <w:rPr>
              <w:rFonts w:eastAsia="Cambria"/>
            </w:rPr>
            <w:fldChar w:fldCharType="end"/>
          </w:r>
        </w:p>
      </w:tc>
      <w:tc>
        <w:tcPr>
          <w:tcW w:w="2268" w:type="dxa"/>
        </w:tcPr>
        <w:p w:rsidR="00082DFF" w:rsidRPr="00D55653" w:rsidP="00082DFF">
          <w:pPr>
            <w:rPr>
              <w:rFonts w:eastAsia="Cambria"/>
              <w:lang w:val="fi-FI"/>
            </w:rPr>
          </w:pPr>
          <w:r w:rsidRPr="00D55653">
            <w:rPr>
              <w:rFonts w:eastAsia="Cambria"/>
            </w:rPr>
            <w:fldChar w:fldCharType="begin"/>
          </w:r>
          <w:r w:rsidRPr="00D55653">
            <w:rPr>
              <w:rFonts w:eastAsia="Cambria"/>
              <w:lang w:val="fi-FI"/>
            </w:rPr>
            <w:instrText xml:space="preserve"> DOCPROPERTY  sm_diaarinro  \* MERGEFORMAT </w:instrText>
          </w:r>
          <w:r w:rsidRPr="00D55653">
            <w:rPr>
              <w:rFonts w:eastAsia="Cambria"/>
            </w:rPr>
            <w:fldChar w:fldCharType="separate"/>
          </w:r>
          <w:r w:rsidRPr="00D55653">
            <w:rPr>
              <w:rFonts w:eastAsia="Cambria"/>
              <w:lang w:val="fi-FI"/>
            </w:rPr>
            <w:t>SMDno-2019-492</w:t>
          </w:r>
          <w:r w:rsidRPr="00D55653">
            <w:rPr>
              <w:rFonts w:eastAsia="Cambria"/>
            </w:rPr>
            <w:fldChar w:fldCharType="end"/>
          </w:r>
        </w:p>
      </w:tc>
    </w:tr>
  </w:tbl>
  <w:p w:rsidR="00082DFF" w:rsidRPr="00D55653" w:rsidP="0098392F">
    <w:pPr>
      <w:pStyle w:val="Header"/>
    </w:pPr>
  </w:p>
  <w:p w:rsidR="00082DFF" w:rsidRPr="00D55653" w:rsidP="0098392F">
    <w:pPr>
      <w:pStyle w:val="Header"/>
    </w:pPr>
    <w:r w:rsidRPr="00D55653">
      <w:tab/>
    </w:r>
    <w:r w:rsidRPr="00D55653">
      <w:tab/>
    </w:r>
    <w:r w:rsidRPr="00D55653">
      <w:tab/>
    </w:r>
    <w:r w:rsidRPr="00D55653">
      <w:tab/>
    </w:r>
  </w:p>
  <w:p w:rsidR="00082DFF" w:rsidRPr="00D55653" w:rsidP="0098392F">
    <w:pPr>
      <w:pStyle w:val="Header"/>
    </w:pPr>
  </w:p>
  <w:p w:rsidR="002723D0" w:rsidRPr="00D55653" w:rsidP="0098392F">
    <w:pPr>
      <w:pStyle w:val="Header"/>
    </w:pPr>
    <w:r w:rsidRPr="00D55653">
      <w:rPr>
        <w:rFonts w:eastAsiaTheme="majorEastAsia"/>
        <w:lang w:eastAsia="fi-FI"/>
      </w:rPr>
      <w:drawing>
        <wp:anchor distT="0" distB="0" distL="114300" distR="114300" simplePos="0" relativeHeight="251658240" behindDoc="1" locked="0" layoutInCell="1" allowOverlap="1">
          <wp:simplePos x="0" y="0"/>
          <wp:positionH relativeFrom="page">
            <wp:posOffset>723900</wp:posOffset>
          </wp:positionH>
          <wp:positionV relativeFrom="page">
            <wp:posOffset>476250</wp:posOffset>
          </wp:positionV>
          <wp:extent cx="2019300" cy="87058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01930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1C27B62"/>
    <w:multiLevelType w:val="multilevel"/>
    <w:tmpl w:val="5BD42AB8"/>
    <w:numStyleLink w:val="Numeroituotsikointi"/>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320C2E79"/>
    <w:multiLevelType w:val="multilevel"/>
    <w:tmpl w:val="5BD42AB8"/>
    <w:styleLink w:val="Numeroituotsikointi"/>
    <w:lvl w:ilvl="0">
      <w:start w:val="1"/>
      <w:numFmt w:val="decimal"/>
      <w:suff w:val="space"/>
      <w:lvlText w:val="%1"/>
      <w:lvlJc w:val="left"/>
      <w:pPr>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ListNumber"/>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23421A62"/>
    <w:styleLink w:val="Luettelomerkit"/>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i-F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aliases w:val="Viitetiedot"/>
    <w:qFormat/>
    <w:rsid w:val="00FB22EE"/>
    <w:pPr>
      <w:tabs>
        <w:tab w:val="left" w:pos="851"/>
        <w:tab w:val="left" w:pos="1304"/>
        <w:tab w:val="left" w:pos="2608"/>
        <w:tab w:val="left" w:pos="3912"/>
      </w:tabs>
    </w:pPr>
    <w:rPr>
      <w:rFonts w:ascii="Calibri" w:hAnsi="Calibri" w:cs="Calibri"/>
      <w:sz w:val="22"/>
    </w:rPr>
  </w:style>
  <w:style w:type="paragraph" w:styleId="Heading1">
    <w:name w:val="heading 1"/>
    <w:next w:val="BodyText"/>
    <w:link w:val="Otsikko1Char"/>
    <w:uiPriority w:val="9"/>
    <w:qFormat/>
    <w:rsid w:val="00754595"/>
    <w:pPr>
      <w:keepNext/>
      <w:keepLines/>
      <w:spacing w:before="240" w:after="240"/>
      <w:ind w:right="2835"/>
      <w:outlineLvl w:val="0"/>
    </w:pPr>
    <w:rPr>
      <w:rFonts w:ascii="Cambria" w:hAnsi="Cambria" w:eastAsiaTheme="majorEastAsia" w:cstheme="majorBidi"/>
      <w:b/>
      <w:bCs/>
      <w:sz w:val="24"/>
      <w:szCs w:val="28"/>
    </w:rPr>
  </w:style>
  <w:style w:type="paragraph" w:styleId="Heading2">
    <w:name w:val="heading 2"/>
    <w:basedOn w:val="Heading1"/>
    <w:next w:val="BodyText"/>
    <w:link w:val="Otsikko2Char"/>
    <w:uiPriority w:val="9"/>
    <w:qFormat/>
    <w:rsid w:val="00E44D66"/>
    <w:pPr>
      <w:outlineLvl w:val="1"/>
    </w:pPr>
    <w:rPr>
      <w:bCs w:val="0"/>
      <w:sz w:val="22"/>
      <w:szCs w:val="26"/>
    </w:rPr>
  </w:style>
  <w:style w:type="paragraph" w:styleId="Heading3">
    <w:name w:val="heading 3"/>
    <w:basedOn w:val="Normal"/>
    <w:next w:val="BodyText"/>
    <w:link w:val="Otsikko3Char"/>
    <w:uiPriority w:val="9"/>
    <w:qFormat/>
    <w:rsid w:val="00754595"/>
    <w:pPr>
      <w:keepNext/>
      <w:keepLines/>
      <w:spacing w:before="240" w:after="240"/>
      <w:ind w:right="2835"/>
      <w:outlineLvl w:val="2"/>
    </w:pPr>
    <w:rPr>
      <w:rFonts w:ascii="Cambria" w:hAnsi="Cambria" w:eastAsiaTheme="majorEastAsia" w:cstheme="majorBidi"/>
      <w:bCs/>
    </w:rPr>
  </w:style>
  <w:style w:type="paragraph" w:styleId="Heading4">
    <w:name w:val="heading 4"/>
    <w:basedOn w:val="Normal"/>
    <w:next w:val="BodyText"/>
    <w:link w:val="Otsikko4Char"/>
    <w:uiPriority w:val="9"/>
    <w:rsid w:val="00A147F3"/>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Heading5">
    <w:name w:val="heading 5"/>
    <w:basedOn w:val="Normal"/>
    <w:next w:val="BodyText"/>
    <w:link w:val="Otsikko5Char"/>
    <w:uiPriority w:val="9"/>
    <w:rsid w:val="00A147F3"/>
    <w:pPr>
      <w:keepNext/>
      <w:keepLines/>
      <w:numPr>
        <w:ilvl w:val="4"/>
        <w:numId w:val="20"/>
      </w:numPr>
      <w:spacing w:after="180"/>
      <w:ind w:right="2835"/>
      <w:outlineLvl w:val="4"/>
    </w:pPr>
    <w:rPr>
      <w:rFonts w:asciiTheme="majorHAnsi" w:eastAsiaTheme="majorEastAsia" w:hAnsiTheme="majorHAnsi" w:cstheme="majorBidi"/>
    </w:rPr>
  </w:style>
  <w:style w:type="paragraph" w:styleId="Heading6">
    <w:name w:val="heading 6"/>
    <w:basedOn w:val="Normal"/>
    <w:next w:val="BodyText"/>
    <w:link w:val="Otsikko6Char"/>
    <w:uiPriority w:val="9"/>
    <w:rsid w:val="00A147F3"/>
    <w:pPr>
      <w:keepNext/>
      <w:keepLines/>
      <w:numPr>
        <w:ilvl w:val="5"/>
        <w:numId w:val="20"/>
      </w:numPr>
      <w:spacing w:after="180"/>
      <w:ind w:right="2835"/>
      <w:outlineLvl w:val="5"/>
    </w:pPr>
    <w:rPr>
      <w:rFonts w:asciiTheme="majorHAnsi" w:eastAsiaTheme="majorEastAsia" w:hAnsiTheme="majorHAnsi" w:cstheme="majorBidi"/>
      <w:iCs/>
    </w:rPr>
  </w:style>
  <w:style w:type="paragraph" w:styleId="Heading7">
    <w:name w:val="heading 7"/>
    <w:basedOn w:val="Normal"/>
    <w:next w:val="BodyText"/>
    <w:link w:val="Otsikko7Char"/>
    <w:uiPriority w:val="9"/>
    <w:rsid w:val="00A147F3"/>
    <w:pPr>
      <w:keepNext/>
      <w:keepLines/>
      <w:numPr>
        <w:ilvl w:val="6"/>
        <w:numId w:val="20"/>
      </w:numPr>
      <w:spacing w:after="180"/>
      <w:ind w:right="2835"/>
      <w:outlineLvl w:val="6"/>
    </w:pPr>
    <w:rPr>
      <w:rFonts w:asciiTheme="majorHAnsi" w:eastAsiaTheme="majorEastAsia" w:hAnsiTheme="majorHAnsi" w:cstheme="majorBidi"/>
      <w:iCs/>
    </w:rPr>
  </w:style>
  <w:style w:type="paragraph" w:styleId="Heading8">
    <w:name w:val="heading 8"/>
    <w:basedOn w:val="Normal"/>
    <w:next w:val="BodyText"/>
    <w:link w:val="Otsikko8Char"/>
    <w:uiPriority w:val="9"/>
    <w:rsid w:val="00A147F3"/>
    <w:pPr>
      <w:keepNext/>
      <w:keepLines/>
      <w:numPr>
        <w:ilvl w:val="7"/>
        <w:numId w:val="20"/>
      </w:numPr>
      <w:spacing w:after="180"/>
      <w:ind w:right="4536"/>
      <w:outlineLvl w:val="7"/>
    </w:pPr>
    <w:rPr>
      <w:rFonts w:asciiTheme="majorHAnsi" w:eastAsiaTheme="majorEastAsia" w:hAnsiTheme="majorHAnsi" w:cstheme="majorBidi"/>
    </w:rPr>
  </w:style>
  <w:style w:type="paragraph" w:styleId="Heading9">
    <w:name w:val="heading 9"/>
    <w:basedOn w:val="Normal"/>
    <w:next w:val="BodyText"/>
    <w:link w:val="Otsikko9Char"/>
    <w:uiPriority w:val="9"/>
    <w:rsid w:val="00A147F3"/>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YltunnisteChar"/>
    <w:uiPriority w:val="99"/>
    <w:unhideWhenUsed/>
    <w:rsid w:val="00A147F3"/>
    <w:rPr>
      <w:rFonts w:ascii="Arial" w:hAnsi="Arial"/>
      <w:noProof/>
    </w:rPr>
  </w:style>
  <w:style w:type="character" w:customStyle="1" w:styleId="YltunnisteChar">
    <w:name w:val="Ylätunniste Char"/>
    <w:basedOn w:val="DefaultParagraphFont"/>
    <w:link w:val="Header"/>
    <w:uiPriority w:val="99"/>
    <w:rsid w:val="00A147F3"/>
    <w:rPr>
      <w:rFonts w:ascii="Arial" w:hAnsi="Arial"/>
      <w:noProof/>
      <w:sz w:val="20"/>
      <w:szCs w:val="18"/>
    </w:rPr>
  </w:style>
  <w:style w:type="paragraph" w:styleId="Footer">
    <w:name w:val="footer"/>
    <w:basedOn w:val="Normal"/>
    <w:link w:val="AlatunnisteChar"/>
    <w:uiPriority w:val="99"/>
    <w:unhideWhenUsed/>
    <w:rsid w:val="00F83065"/>
    <w:rPr>
      <w:sz w:val="20"/>
    </w:rPr>
  </w:style>
  <w:style w:type="character" w:customStyle="1" w:styleId="AlatunnisteChar">
    <w:name w:val="Alatunniste Char"/>
    <w:basedOn w:val="DefaultParagraphFont"/>
    <w:link w:val="Footer"/>
    <w:uiPriority w:val="99"/>
    <w:rsid w:val="00F83065"/>
    <w:rPr>
      <w:rFonts w:ascii="Calibri" w:hAnsi="Calibri" w:cs="Calibri"/>
    </w:rPr>
  </w:style>
  <w:style w:type="table" w:styleId="TableGrid">
    <w:name w:val="Table Grid"/>
    <w:basedOn w:val="TableNormal"/>
    <w:uiPriority w:val="59"/>
    <w:rsid w:val="00A147F3"/>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C40884"/>
    <w:pPr>
      <w:numPr>
        <w:numId w:val="9"/>
      </w:numPr>
      <w:spacing w:after="240"/>
      <w:ind w:left="2965" w:right="567" w:hanging="357"/>
      <w:contextualSpacing/>
    </w:pPr>
  </w:style>
  <w:style w:type="paragraph" w:styleId="ListNumber">
    <w:name w:val="List Number"/>
    <w:basedOn w:val="Normal"/>
    <w:uiPriority w:val="99"/>
    <w:rsid w:val="00A147F3"/>
    <w:pPr>
      <w:numPr>
        <w:numId w:val="10"/>
      </w:numPr>
      <w:spacing w:after="240"/>
      <w:contextualSpacing/>
    </w:pPr>
  </w:style>
  <w:style w:type="character" w:styleId="PlaceholderText">
    <w:name w:val="Placeholder Text"/>
    <w:basedOn w:val="DefaultParagraphFont"/>
    <w:uiPriority w:val="99"/>
    <w:semiHidden/>
    <w:rsid w:val="00A147F3"/>
    <w:rPr>
      <w:color w:val="auto"/>
    </w:rPr>
  </w:style>
  <w:style w:type="character" w:customStyle="1" w:styleId="Otsikko1Char">
    <w:name w:val="Otsikko 1 Char"/>
    <w:basedOn w:val="DefaultParagraphFont"/>
    <w:link w:val="Heading1"/>
    <w:uiPriority w:val="9"/>
    <w:rsid w:val="00754595"/>
    <w:rPr>
      <w:rFonts w:ascii="Cambria" w:hAnsi="Cambria" w:eastAsiaTheme="majorEastAsia" w:cstheme="majorBidi"/>
      <w:b/>
      <w:bCs/>
      <w:sz w:val="24"/>
      <w:szCs w:val="28"/>
    </w:rPr>
  </w:style>
  <w:style w:type="paragraph" w:styleId="TOCHeading">
    <w:name w:val="TOC Heading"/>
    <w:next w:val="Normal"/>
    <w:uiPriority w:val="39"/>
    <w:rsid w:val="00A147F3"/>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TableNormal"/>
    <w:uiPriority w:val="99"/>
    <w:rsid w:val="00072D8C"/>
    <w:rPr>
      <w:szCs w:val="18"/>
    </w:rPr>
    <w:tblPr/>
  </w:style>
  <w:style w:type="paragraph" w:styleId="BalloonText">
    <w:name w:val="Balloon Text"/>
    <w:basedOn w:val="Normal"/>
    <w:link w:val="SelitetekstiChar"/>
    <w:uiPriority w:val="99"/>
    <w:semiHidden/>
    <w:unhideWhenUsed/>
    <w:rsid w:val="00A147F3"/>
    <w:rPr>
      <w:rFonts w:ascii="Tahoma" w:hAnsi="Tahoma" w:cs="Tahoma"/>
      <w:sz w:val="16"/>
      <w:szCs w:val="16"/>
    </w:rPr>
  </w:style>
  <w:style w:type="character" w:customStyle="1" w:styleId="SelitetekstiChar">
    <w:name w:val="Seliteteksti Char"/>
    <w:basedOn w:val="DefaultParagraphFont"/>
    <w:link w:val="BalloonText"/>
    <w:uiPriority w:val="99"/>
    <w:semiHidden/>
    <w:rsid w:val="00A147F3"/>
    <w:rPr>
      <w:rFonts w:ascii="Tahoma" w:hAnsi="Tahoma" w:cs="Tahoma"/>
      <w:sz w:val="16"/>
      <w:szCs w:val="16"/>
    </w:rPr>
  </w:style>
  <w:style w:type="paragraph" w:styleId="Title">
    <w:name w:val="Title"/>
    <w:basedOn w:val="Normal"/>
    <w:next w:val="BodyText"/>
    <w:link w:val="OtsikkoChar"/>
    <w:uiPriority w:val="10"/>
    <w:rsid w:val="00A147F3"/>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DefaultParagraphFont"/>
    <w:link w:val="Title"/>
    <w:uiPriority w:val="10"/>
    <w:rsid w:val="00A147F3"/>
    <w:rPr>
      <w:rFonts w:asciiTheme="majorHAnsi" w:eastAsiaTheme="majorEastAsia" w:hAnsiTheme="majorHAnsi" w:cstheme="majorHAnsi"/>
      <w:b/>
      <w:kern w:val="28"/>
      <w:sz w:val="18"/>
      <w:szCs w:val="52"/>
    </w:rPr>
  </w:style>
  <w:style w:type="paragraph" w:styleId="BodyText">
    <w:name w:val="Body Text"/>
    <w:basedOn w:val="Normal"/>
    <w:link w:val="LeiptekstiChar"/>
    <w:uiPriority w:val="1"/>
    <w:qFormat/>
    <w:rsid w:val="00754595"/>
    <w:pPr>
      <w:spacing w:after="120"/>
      <w:ind w:left="2608" w:right="567"/>
    </w:pPr>
  </w:style>
  <w:style w:type="character" w:customStyle="1" w:styleId="LeiptekstiChar">
    <w:name w:val="Leipäteksti Char"/>
    <w:basedOn w:val="DefaultParagraphFont"/>
    <w:link w:val="BodyText"/>
    <w:uiPriority w:val="1"/>
    <w:rsid w:val="00754595"/>
    <w:rPr>
      <w:rFonts w:ascii="Calibri" w:hAnsi="Calibri" w:cs="Calibri"/>
      <w:sz w:val="22"/>
    </w:rPr>
  </w:style>
  <w:style w:type="paragraph" w:styleId="NoSpacing">
    <w:name w:val="No Spacing"/>
    <w:uiPriority w:val="2"/>
    <w:rsid w:val="00A147F3"/>
    <w:pPr>
      <w:ind w:left="2608"/>
    </w:pPr>
    <w:rPr>
      <w:sz w:val="18"/>
      <w:szCs w:val="18"/>
    </w:rPr>
  </w:style>
  <w:style w:type="character" w:customStyle="1" w:styleId="Otsikko2Char">
    <w:name w:val="Otsikko 2 Char"/>
    <w:basedOn w:val="DefaultParagraphFont"/>
    <w:link w:val="Heading2"/>
    <w:uiPriority w:val="9"/>
    <w:rsid w:val="00E44D66"/>
    <w:rPr>
      <w:rFonts w:ascii="Cambria" w:hAnsi="Cambria" w:eastAsiaTheme="majorEastAsia" w:cstheme="majorBidi"/>
      <w:b/>
      <w:sz w:val="22"/>
      <w:szCs w:val="26"/>
    </w:rPr>
  </w:style>
  <w:style w:type="character" w:customStyle="1" w:styleId="Otsikko3Char">
    <w:name w:val="Otsikko 3 Char"/>
    <w:basedOn w:val="DefaultParagraphFont"/>
    <w:link w:val="Heading3"/>
    <w:uiPriority w:val="9"/>
    <w:rsid w:val="00754595"/>
    <w:rPr>
      <w:rFonts w:ascii="Cambria" w:hAnsi="Cambria" w:eastAsiaTheme="majorEastAsia" w:cstheme="majorBidi"/>
      <w:bCs/>
      <w:sz w:val="22"/>
    </w:rPr>
  </w:style>
  <w:style w:type="character" w:customStyle="1" w:styleId="Otsikko4Char">
    <w:name w:val="Otsikko 4 Char"/>
    <w:basedOn w:val="DefaultParagraphFont"/>
    <w:link w:val="Heading4"/>
    <w:uiPriority w:val="9"/>
    <w:rsid w:val="00A147F3"/>
    <w:rPr>
      <w:rFonts w:asciiTheme="majorHAnsi" w:eastAsiaTheme="majorEastAsia" w:hAnsiTheme="majorHAnsi" w:cstheme="majorBidi"/>
      <w:bCs/>
      <w:iCs/>
      <w:sz w:val="18"/>
      <w:szCs w:val="18"/>
    </w:rPr>
  </w:style>
  <w:style w:type="character" w:customStyle="1" w:styleId="Otsikko5Char">
    <w:name w:val="Otsikko 5 Char"/>
    <w:basedOn w:val="DefaultParagraphFont"/>
    <w:link w:val="Heading5"/>
    <w:uiPriority w:val="9"/>
    <w:rsid w:val="00A147F3"/>
    <w:rPr>
      <w:rFonts w:asciiTheme="majorHAnsi" w:eastAsiaTheme="majorEastAsia" w:hAnsiTheme="majorHAnsi" w:cstheme="majorBidi"/>
      <w:sz w:val="18"/>
      <w:szCs w:val="18"/>
    </w:rPr>
  </w:style>
  <w:style w:type="character" w:customStyle="1" w:styleId="Otsikko6Char">
    <w:name w:val="Otsikko 6 Char"/>
    <w:basedOn w:val="DefaultParagraphFont"/>
    <w:link w:val="Heading6"/>
    <w:uiPriority w:val="9"/>
    <w:rsid w:val="00A147F3"/>
    <w:rPr>
      <w:rFonts w:asciiTheme="majorHAnsi" w:eastAsiaTheme="majorEastAsia" w:hAnsiTheme="majorHAnsi" w:cstheme="majorBidi"/>
      <w:iCs/>
      <w:sz w:val="18"/>
      <w:szCs w:val="18"/>
    </w:rPr>
  </w:style>
  <w:style w:type="character" w:customStyle="1" w:styleId="Otsikko7Char">
    <w:name w:val="Otsikko 7 Char"/>
    <w:basedOn w:val="DefaultParagraphFont"/>
    <w:link w:val="Heading7"/>
    <w:uiPriority w:val="9"/>
    <w:rsid w:val="00A147F3"/>
    <w:rPr>
      <w:rFonts w:asciiTheme="majorHAnsi" w:eastAsiaTheme="majorEastAsia" w:hAnsiTheme="majorHAnsi" w:cstheme="majorBidi"/>
      <w:iCs/>
      <w:sz w:val="18"/>
      <w:szCs w:val="18"/>
    </w:rPr>
  </w:style>
  <w:style w:type="character" w:customStyle="1" w:styleId="Otsikko8Char">
    <w:name w:val="Otsikko 8 Char"/>
    <w:basedOn w:val="DefaultParagraphFont"/>
    <w:link w:val="Heading8"/>
    <w:uiPriority w:val="9"/>
    <w:rsid w:val="00A147F3"/>
    <w:rPr>
      <w:rFonts w:asciiTheme="majorHAnsi" w:eastAsiaTheme="majorEastAsia" w:hAnsiTheme="majorHAnsi" w:cstheme="majorBidi"/>
      <w:sz w:val="18"/>
      <w:szCs w:val="20"/>
    </w:rPr>
  </w:style>
  <w:style w:type="character" w:customStyle="1" w:styleId="Otsikko9Char">
    <w:name w:val="Otsikko 9 Char"/>
    <w:basedOn w:val="DefaultParagraphFont"/>
    <w:link w:val="Heading9"/>
    <w:uiPriority w:val="9"/>
    <w:rsid w:val="00A147F3"/>
    <w:rPr>
      <w:rFonts w:asciiTheme="majorHAnsi" w:eastAsiaTheme="majorEastAsia" w:hAnsiTheme="majorHAnsi" w:cstheme="majorBidi"/>
      <w:iCs/>
      <w:sz w:val="18"/>
      <w:szCs w:val="20"/>
    </w:rPr>
  </w:style>
  <w:style w:type="numbering" w:customStyle="1" w:styleId="Luettelomerkit">
    <w:name w:val="Luettelomerkit"/>
    <w:uiPriority w:val="99"/>
    <w:rsid w:val="00A147F3"/>
    <w:pPr>
      <w:numPr>
        <w:numId w:val="3"/>
      </w:numPr>
    </w:pPr>
  </w:style>
  <w:style w:type="numbering" w:customStyle="1" w:styleId="Luettelonumerot">
    <w:name w:val="Luettelonumerot"/>
    <w:uiPriority w:val="99"/>
    <w:rsid w:val="00A147F3"/>
    <w:pPr>
      <w:numPr>
        <w:numId w:val="4"/>
      </w:numPr>
    </w:pPr>
  </w:style>
  <w:style w:type="numbering" w:customStyle="1" w:styleId="Numeroituotsikointi">
    <w:name w:val="Numeroitu otsikointi"/>
    <w:uiPriority w:val="99"/>
    <w:rsid w:val="00A147F3"/>
    <w:pPr>
      <w:numPr>
        <w:numId w:val="5"/>
      </w:numPr>
    </w:pPr>
  </w:style>
  <w:style w:type="paragraph" w:customStyle="1" w:styleId="Sivuotsikko">
    <w:name w:val="Sivuotsikko"/>
    <w:basedOn w:val="BodyText"/>
    <w:next w:val="BodyText"/>
    <w:link w:val="SivuotsikkoChar"/>
    <w:uiPriority w:val="2"/>
    <w:rsid w:val="00A147F3"/>
    <w:pPr>
      <w:ind w:hanging="2608"/>
    </w:pPr>
  </w:style>
  <w:style w:type="character" w:customStyle="1" w:styleId="SivuotsikkoChar">
    <w:name w:val="Sivuotsikko Char"/>
    <w:basedOn w:val="LeiptekstiChar"/>
    <w:link w:val="Sivuotsikko"/>
    <w:uiPriority w:val="2"/>
    <w:rsid w:val="00A147F3"/>
    <w:rPr>
      <w:rFonts w:ascii="Calibri" w:hAnsi="Calibri" w:cs="Calibri"/>
      <w:sz w:val="18"/>
      <w:szCs w:val="18"/>
    </w:rPr>
  </w:style>
  <w:style w:type="paragraph" w:styleId="ListParagraph">
    <w:name w:val="List Paragraph"/>
    <w:basedOn w:val="Normal"/>
    <w:uiPriority w:val="34"/>
    <w:semiHidden/>
    <w:qFormat/>
    <w:rsid w:val="00A147F3"/>
    <w:pPr>
      <w:ind w:left="720"/>
      <w:contextualSpacing/>
    </w:pPr>
  </w:style>
  <w:style w:type="paragraph" w:customStyle="1" w:styleId="Vastaanottajatiedot">
    <w:name w:val="Vastaanottajatiedot"/>
    <w:basedOn w:val="Normal"/>
    <w:rsid w:val="00A147F3"/>
  </w:style>
  <w:style w:type="table" w:customStyle="1" w:styleId="TaulukkoRuudukko1">
    <w:name w:val="Taulukko Ruudukko1"/>
    <w:basedOn w:val="TableNormal"/>
    <w:next w:val="TableGrid"/>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TableNormal"/>
    <w:next w:val="TableGrid"/>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TableNormal"/>
    <w:next w:val="TableGrid"/>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TableNormal"/>
    <w:next w:val="TableGrid"/>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asiain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5EB8-0248-4957-85FF-67FF6365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920</Words>
  <Characters>7461</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Tuovinen Aino SM</cp:lastModifiedBy>
  <cp:revision>54</cp:revision>
  <dcterms:created xsi:type="dcterms:W3CDTF">2015-04-15T10:42:00Z</dcterms:created>
  <dcterms:modified xsi:type="dcterms:W3CDTF">2019-03-22T06:10:00Z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22.03.2019 klo 14:16.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SMDno-2019-492</vt:lpwstr>
  </property>
  <property fmtid="{D5CDD505-2E9C-101B-9397-08002B2CF9AE}" pid="6" name="sm_id">
    <vt:lpwstr>SM198876</vt:lpwstr>
  </property>
  <property fmtid="{D5CDD505-2E9C-101B-9397-08002B2CF9AE}" pid="7" name="sm_käsittelyluokka">
    <vt:lpwstr/>
  </property>
  <property fmtid="{D5CDD505-2E9C-101B-9397-08002B2CF9AE}" pid="8" name="sm_laatija">
    <vt:lpwstr>Aino Tuovinen</vt:lpwstr>
  </property>
  <property fmtid="{D5CDD505-2E9C-101B-9397-08002B2CF9AE}" pid="9" name="sm_laatimispvm">
    <vt:lpwstr>21.03.2019</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Hallinto- ja kehittämisosasto</vt:lpwstr>
  </property>
  <property fmtid="{D5CDD505-2E9C-101B-9397-08002B2CF9AE}" pid="14" name="sm_otsikko">
    <vt:lpwstr>Sisäministeriön lausunto raporttiluonnoksesta jakamistalouteen liittyvien kysymysten vaihtoehtoisista ratkaisutavoista</vt:lpwstr>
  </property>
  <property fmtid="{D5CDD505-2E9C-101B-9397-08002B2CF9AE}" pid="15" name="sm_pvm">
    <vt:lpwstr>22.03.2019</vt:lpwstr>
  </property>
  <property fmtid="{D5CDD505-2E9C-101B-9397-08002B2CF9AE}" pid="16" name="sm_salassapitoperuste">
    <vt:lpwstr/>
  </property>
  <property fmtid="{D5CDD505-2E9C-101B-9397-08002B2CF9AE}" pid="17" name="sm_tila">
    <vt:lpwstr>Allekirjoitettu</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