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2" w:rsidRDefault="00B00032">
      <w:bookmarkStart w:id="0" w:name="_GoBack"/>
      <w:bookmarkEnd w:id="0"/>
    </w:p>
    <w:p w:rsidR="007D24A2" w:rsidRDefault="00B00032"/>
    <w:p w:rsidR="007D24A2" w:rsidRDefault="00B00032" w:rsidP="007D24A2">
      <w:pPr>
        <w:pStyle w:val="Vastaanottajatiedot"/>
      </w:pPr>
      <w:r>
        <w:t>Liikenne- ja viestintäministeriö</w:t>
      </w:r>
    </w:p>
    <w:p w:rsidR="007D24A2" w:rsidRDefault="00B00032"/>
    <w:p w:rsidR="007D24A2" w:rsidRDefault="00B00032" w:rsidP="007D24A2">
      <w:pPr>
        <w:pStyle w:val="Vastaanottajatiedot"/>
      </w:pPr>
    </w:p>
    <w:p w:rsidR="007D24A2" w:rsidRDefault="00B00032" w:rsidP="007D24A2">
      <w:pPr>
        <w:pStyle w:val="Vastaanottajatiedot"/>
      </w:pPr>
    </w:p>
    <w:p w:rsidR="007D24A2" w:rsidRDefault="00B00032"/>
    <w:p w:rsidR="007D24A2" w:rsidRDefault="00B00032"/>
    <w:p w:rsidR="007D24A2" w:rsidRDefault="00B00032">
      <w:r>
        <w:t>Liikenne- ja viestintäministeriön lausuntopyyntö hallituksen esitysluonnoksesta tieliikennelaiksi ja eräiksi siihen liittyviksi laeiksi LVM/417/03/2013</w:t>
      </w:r>
    </w:p>
    <w:p w:rsidR="007D24A2" w:rsidRDefault="00B00032"/>
    <w:p w:rsidR="007D24A2" w:rsidRDefault="00B00032" w:rsidP="007D24A2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 xml:space="preserve">Sisäministeriön </w:t>
      </w:r>
      <w:r>
        <w:t>lausunto</w:t>
      </w:r>
      <w:r>
        <w:fldChar w:fldCharType="end"/>
      </w:r>
    </w:p>
    <w:p w:rsidR="00305B02" w:rsidRDefault="00B00032" w:rsidP="007D24A2">
      <w:pPr>
        <w:pStyle w:val="Leipteksti"/>
      </w:pPr>
      <w:r>
        <w:t>Liikenne- ja viestintäministeriö on pyytänyt sisäministeriö</w:t>
      </w:r>
      <w:r>
        <w:t>l</w:t>
      </w:r>
      <w:r>
        <w:t>tä lausuntoa hallituksen es</w:t>
      </w:r>
      <w:r>
        <w:t>i</w:t>
      </w:r>
      <w:r>
        <w:t>tysluonnoksesta tieliikennelaiksi ja eräiksi siihen liittyviksi laeiksi. Sisäministeriö tot</w:t>
      </w:r>
      <w:r>
        <w:t>e</w:t>
      </w:r>
      <w:r>
        <w:t xml:space="preserve">aa lausuntonaan seuraavaa. </w:t>
      </w:r>
    </w:p>
    <w:p w:rsidR="00305B02" w:rsidRDefault="00B00032" w:rsidP="00305B02">
      <w:pPr>
        <w:pStyle w:val="Leipteksti"/>
        <w:ind w:left="1304"/>
      </w:pPr>
      <w:r>
        <w:t>Yleistä</w:t>
      </w:r>
    </w:p>
    <w:p w:rsidR="00305B02" w:rsidRDefault="00B00032" w:rsidP="00305B02">
      <w:pPr>
        <w:pStyle w:val="Leipteksti"/>
      </w:pPr>
      <w:r>
        <w:t>Esityksessä ehdotetaan sääde</w:t>
      </w:r>
      <w:r>
        <w:t>ttäväksi uusi tieliikennelaki. Tieliikennelaissa koottaisiin yhteen liikenteessä käytettävät säännöt. Näitä olisivat liikenteen yleiset periaatteet, liikennesäännöt ja ajoneuvon käyttämistä tiellä koskevat säännöt. Myös liikenteeno</w:t>
      </w:r>
      <w:r>
        <w:t>h</w:t>
      </w:r>
      <w:r>
        <w:t>jauksesta ja liikenteeno</w:t>
      </w:r>
      <w:r>
        <w:t>hjauksessa käytettävistä laitteista ja merkeistä säädettäisiin. Sen lisäksi säädettäisiin lain rikkomisesta määrättävästä liikennevirhemaksusta ja sen järjestelmästä.</w:t>
      </w:r>
    </w:p>
    <w:p w:rsidR="00305B02" w:rsidRDefault="00B00032" w:rsidP="00305B02">
      <w:pPr>
        <w:pStyle w:val="Leipteksti"/>
      </w:pPr>
      <w:r>
        <w:t>Sisäministeriö pitää yleisten säännösten osalta erittäin hyvänä uudistuksena, että tien m</w:t>
      </w:r>
      <w:r>
        <w:t>ääritelmää tarkennettaisiin ja uusina määriteltäisiin muun muassa risteys, tasorist</w:t>
      </w:r>
      <w:r>
        <w:t>e</w:t>
      </w:r>
      <w:r>
        <w:t>ys ja liikenneympyrä. Näillä muutoksilla selkeytettäisiin lain tulkintaa. Samoin tieliike</w:t>
      </w:r>
      <w:r>
        <w:t>n</w:t>
      </w:r>
      <w:r>
        <w:t>teen periaatteiden kokoaminen omaksi kohdakseen on perusteltua ja selkeyttää säänn</w:t>
      </w:r>
      <w:r>
        <w:t>öksiä. Liikenteen säännöistä säädettäisiin tarkemmin erikseen. Liikennesäännöt koottaisiin tarkoituksenmukaisiksi kokonaisuuksiksi tienkäyttäjäryhmien ja liike</w:t>
      </w:r>
      <w:r>
        <w:t>n</w:t>
      </w:r>
      <w:r>
        <w:t>neympäristön mukaan jaoteltuna. Tätä voi pitää erittäin hyvä muutoksena säännösten rakenteen kan</w:t>
      </w:r>
      <w:r>
        <w:t xml:space="preserve">nalta. </w:t>
      </w:r>
    </w:p>
    <w:p w:rsidR="00305B02" w:rsidRDefault="00B00032" w:rsidP="00305B02">
      <w:pPr>
        <w:pStyle w:val="Leipteksti"/>
      </w:pPr>
      <w:r>
        <w:t>Liikennevirhemaksun käyttöönottaminen olisi periaatteellisesti erittäin merkittävä u</w:t>
      </w:r>
      <w:r>
        <w:t>u</w:t>
      </w:r>
      <w:r>
        <w:t>distus. Virhemaksun käyttöönottaminen on sisäministeriön näkemyksen mukaan eri</w:t>
      </w:r>
      <w:r>
        <w:t>t</w:t>
      </w:r>
      <w:r>
        <w:t>täin kannatettavaa ja tulee osaltaan tehostamaan poliisin prosesseja sekä mahdolli</w:t>
      </w:r>
      <w:r>
        <w:t>s</w:t>
      </w:r>
      <w:r>
        <w:t>t</w:t>
      </w:r>
      <w:r>
        <w:t>amaan uuden tavan kehittää valvontaa. Olisi kuitenkin perusteltua, että tiettyjen p</w:t>
      </w:r>
      <w:r>
        <w:t>y</w:t>
      </w:r>
      <w:r>
        <w:t>k</w:t>
      </w:r>
      <w:r>
        <w:t>ä</w:t>
      </w:r>
      <w:r>
        <w:t>lien perusteluissa arvioitaisiin, missä tyyppitapauksissa kyse olisi liikennevirhema</w:t>
      </w:r>
      <w:r>
        <w:t>k</w:t>
      </w:r>
      <w:r>
        <w:t>sulla käsiteltävä hallinnollinen maksu ja missä tapauksissa kyseessä olisi rikoslaiss</w:t>
      </w:r>
      <w:r>
        <w:t>a (39/1889) määritelty liikenneturvallisuuden vaarantaminen. Esimerkiksi punaisen li</w:t>
      </w:r>
      <w:r>
        <w:t>i</w:t>
      </w:r>
      <w:r>
        <w:t>kennevalon noudattamatta jättäminen on joka tapauksessa jossain vaiheessa selvästi liikenneturvallisuuden vaarantamista. Jo nyt muun muassa 61 § 4 momentin perust</w:t>
      </w:r>
      <w:r>
        <w:t>e</w:t>
      </w:r>
      <w:r>
        <w:t>luissa t</w:t>
      </w:r>
      <w:r>
        <w:t>odetaan, että moottoritiellä u-käännöstä tulee pitää vakavana liikennerikoks</w:t>
      </w:r>
      <w:r>
        <w:t>e</w:t>
      </w:r>
      <w:r>
        <w:t>na. Mahdollisimman yhdenmukaisen säännösten tulkinnan varmistamiseksi olisi es</w:t>
      </w:r>
      <w:r>
        <w:t>i</w:t>
      </w:r>
      <w:r>
        <w:t>tyksen perusteluissa laajasti pyrittävä selkeyttämään rajanvetoa.</w:t>
      </w:r>
    </w:p>
    <w:p w:rsidR="00335C10" w:rsidRDefault="00B00032" w:rsidP="00335C10">
      <w:pPr>
        <w:pStyle w:val="Leipteksti"/>
      </w:pPr>
      <w:r>
        <w:t xml:space="preserve">Rajavartiolain 20 §:ssä säädetään </w:t>
      </w:r>
      <w:r>
        <w:t>Rajavartiolaitoksen valvontatehtävistä koskien ku</w:t>
      </w:r>
      <w:r>
        <w:t>l</w:t>
      </w:r>
      <w:r>
        <w:t>jettajien ajokuntoisuutta ja ajoneuvojen liikennekelpoisuutta rajanylityspaikoilla. Sis</w:t>
      </w:r>
      <w:r>
        <w:t>ä</w:t>
      </w:r>
      <w:r>
        <w:t>ministeriössä on käynnissä lainsäädäntöhanke laiksi rikostorjunnasta Rajavartiola</w:t>
      </w:r>
      <w:r>
        <w:t>i</w:t>
      </w:r>
      <w:r>
        <w:t>toksessa, jossa yhteydessä on tarkoi</w:t>
      </w:r>
      <w:r>
        <w:t>tus ehdottaa rajavartiolain 20 §:ään Rajavarti</w:t>
      </w:r>
      <w:r>
        <w:t>o</w:t>
      </w:r>
      <w:r>
        <w:t>la</w:t>
      </w:r>
      <w:r>
        <w:t>i</w:t>
      </w:r>
      <w:r>
        <w:t>tokselle mahdollisuus myös tieliikennelainsäädännön ja sen nojalla annettujen säännösten valvontaan rajanylityspaikoilla. Lisäksi rajavartiolain 38 §:ssä säädetään rajavartiomiehen oikeudesta kulkuneuvon py</w:t>
      </w:r>
      <w:r>
        <w:t>säyttämiseen ja liikenteen ohjaamiseen Rajavartiolaitoksen tehtävissä. Näin ollen nyt ehdotettavassa tieliikennelaissa oma</w:t>
      </w:r>
      <w:r>
        <w:t>k</w:t>
      </w:r>
      <w:r>
        <w:t>suttua viittauskäytäntöä rajavartiomiehen toimimisesta liikenteen ohjaajana ja valv</w:t>
      </w:r>
      <w:r>
        <w:t>o</w:t>
      </w:r>
      <w:r>
        <w:t>jana on pidettävä onnistuneena (lakiehdotuksen 65</w:t>
      </w:r>
      <w:r>
        <w:t>, 71,160 ja 185 §).</w:t>
      </w:r>
    </w:p>
    <w:p w:rsidR="00305B02" w:rsidRDefault="00B00032" w:rsidP="00305B02">
      <w:pPr>
        <w:pStyle w:val="Leipteksti"/>
      </w:pPr>
      <w:r>
        <w:lastRenderedPageBreak/>
        <w:t>Sisäministeriö esittää, että erätarkastajien ajoneuvojen pysäytysoikeudet ja näiden merkkien velvoittavuus huomioitaisiin myös tieliikennelaissa. Erätarkastaja on laill</w:t>
      </w:r>
      <w:r>
        <w:t>i</w:t>
      </w:r>
      <w:r>
        <w:t xml:space="preserve">suusvalvontaviranomainen, jonka tehtävät, kelpoisuusvaatimukset ja </w:t>
      </w:r>
      <w:r>
        <w:t>toimivaltuudet määritellään laissa Metsähallituksen erävalvonnasta (1157/2005). Lain 6 §:n mukaan erätarkastajalla on erävalvontaan kuuluvassa yksittäisessä tehtävässä oikeus pysäy</w:t>
      </w:r>
      <w:r>
        <w:t>t</w:t>
      </w:r>
      <w:r>
        <w:t xml:space="preserve">tää henkilö ja kulkuneuvo. Erätarkastajan tehtävänä on valvoa laillisuutta </w:t>
      </w:r>
      <w:r>
        <w:t>ja luvall</w:t>
      </w:r>
      <w:r>
        <w:t>i</w:t>
      </w:r>
      <w:r>
        <w:t>suutta valtion alueilla tapahtuvassa metsästyksessä, kalastuksessa, luonnonsuojel</w:t>
      </w:r>
      <w:r>
        <w:t>u</w:t>
      </w:r>
      <w:r>
        <w:t>asioissa, maasto- ja vesiliikenteessä ja yleensä kaikessa luonnon käytössä. Lisäksi tehtävänä on vartioida Metsähallituksen hallinnassa olevia valtion alueita ja mu</w:t>
      </w:r>
      <w:r>
        <w:t>uta omaisuutta.</w:t>
      </w:r>
    </w:p>
    <w:p w:rsidR="00BF14B0" w:rsidRDefault="00B00032" w:rsidP="00BF14B0">
      <w:pPr>
        <w:pStyle w:val="Leipteksti"/>
      </w:pPr>
      <w:r>
        <w:t>Valtakunnallisessa erävalvontatyöryhmässä on noussut esille tarve, että tieliikenn</w:t>
      </w:r>
      <w:r>
        <w:t>e</w:t>
      </w:r>
      <w:r>
        <w:t>lain uudistuksen yhteydessä tulisi säätää, että tienkäyttäjän olisi ilmoitettava hi</w:t>
      </w:r>
      <w:r>
        <w:t>r</w:t>
      </w:r>
      <w:r>
        <w:t>vieläin-, suurpeto sekä villisikaonnettomuuksista hätäkeskukseen ja merki</w:t>
      </w:r>
      <w:r>
        <w:t>ttävä onne</w:t>
      </w:r>
      <w:r>
        <w:t>t</w:t>
      </w:r>
      <w:r>
        <w:t>tomuuspaikka selkeästi sille puolen tietä, minne eläin on kuollut tai loukkaantunut eläin on kadonnut. Tällä uudistuksella voitaisiin turvata erityisesti se, että tapaht</w:t>
      </w:r>
      <w:r>
        <w:t>u</w:t>
      </w:r>
      <w:r>
        <w:t>maan liittyvät eläinsuojelulliset näkökohdat hoidetaan riittävällä ammattit</w:t>
      </w:r>
      <w:r>
        <w:t>aidolla, eikä loukkaantunut eläin joudu turhaan kärsimään. Erityisesti HARVA -alueilla voi tulla esi</w:t>
      </w:r>
      <w:r>
        <w:t>l</w:t>
      </w:r>
      <w:r>
        <w:t xml:space="preserve">le tilanteita, ettei poliisi pääse ripeästi paikalle ja pyytää Rajavartiolaitosta hoitamaan eläimen lopettamistoimenpiteet. </w:t>
      </w:r>
    </w:p>
    <w:p w:rsidR="00335C10" w:rsidRDefault="00B00032" w:rsidP="00BF14B0">
      <w:pPr>
        <w:pStyle w:val="Leipteksti"/>
      </w:pPr>
      <w:r>
        <w:t>Sisäministeriö kiinnittää huom</w:t>
      </w:r>
      <w:r>
        <w:t>iota siihen, että säännösten perusteluineen tulee olla niin selviä ja hyvin perusteltua, että tienkäyttäjillä ja liikenteenvalvojilla on helppo tulk</w:t>
      </w:r>
      <w:r>
        <w:t>i</w:t>
      </w:r>
      <w:r>
        <w:t>ta mitä säännöillä tarkoitetaan. Ei ole perusteltua, että epäselvyydet ja epätarkkuudet aiheuttavat säännös</w:t>
      </w:r>
      <w:r>
        <w:t>ten tulkintavaikeuksia. Tällöin liikenteenvalvojat joutuisivat tulki</w:t>
      </w:r>
      <w:r>
        <w:t>t</w:t>
      </w:r>
      <w:r>
        <w:t>semaan säännöksiä ja tuomioistuimet ratkaisukäytännöllään linjaamaan asioita.</w:t>
      </w:r>
    </w:p>
    <w:p w:rsidR="007D24A2" w:rsidRDefault="00B00032" w:rsidP="00305B02">
      <w:pPr>
        <w:pStyle w:val="Leipteksti"/>
      </w:pPr>
      <w:r>
        <w:t>Todettakoon, että</w:t>
      </w:r>
      <w:r>
        <w:t xml:space="preserve"> s</w:t>
      </w:r>
      <w:r>
        <w:t>isäasiainministeriö tulee korvata sisäministeriö -nimellä esityksen sivulla 179</w:t>
      </w:r>
      <w:r>
        <w:t xml:space="preserve"> ja että uu</w:t>
      </w:r>
      <w:r>
        <w:t>sissa säädöksissä Rajavartiolaitos kirjoitetaan isolla R-alkukirjaimella</w:t>
      </w:r>
      <w:r>
        <w:t>.</w:t>
      </w:r>
    </w:p>
    <w:p w:rsidR="00BF14B0" w:rsidRDefault="00B00032" w:rsidP="00305B02">
      <w:pPr>
        <w:pStyle w:val="Leipteksti"/>
      </w:pPr>
    </w:p>
    <w:p w:rsidR="00BF14B0" w:rsidRDefault="00B00032" w:rsidP="00BF14B0">
      <w:pPr>
        <w:pStyle w:val="Leipteksti"/>
        <w:ind w:left="1304"/>
      </w:pPr>
      <w:r>
        <w:t>Esityksen yhteiskunnal</w:t>
      </w:r>
      <w:r>
        <w:t>liset vaikutukset ja vaikutukset</w:t>
      </w:r>
      <w:r>
        <w:t xml:space="preserve"> poliisin toimintaan</w:t>
      </w:r>
    </w:p>
    <w:p w:rsidR="00BF14B0" w:rsidRDefault="00B00032" w:rsidP="00BF14B0">
      <w:pPr>
        <w:pStyle w:val="Leipteksti"/>
      </w:pPr>
      <w:r>
        <w:t>Tieliikennelainsäädäntö vaikuttaa keskeisellä tavalla kaikkien Suomessa olevien to</w:t>
      </w:r>
      <w:r>
        <w:t>i</w:t>
      </w:r>
      <w:r>
        <w:t xml:space="preserve">mintaan. Lähes kaikki </w:t>
      </w:r>
      <w:r>
        <w:t>ovat joka päivä tienkäyttäjiä ja soveltavat tieliikennelainsäädä</w:t>
      </w:r>
      <w:r>
        <w:t>n</w:t>
      </w:r>
      <w:r>
        <w:t>töä. Vaikutus on siis tienkäyttäjiin merkittävä. Tämän vuoksi uudistuksen voimaant</w:t>
      </w:r>
      <w:r>
        <w:t>u</w:t>
      </w:r>
      <w:r>
        <w:t>lon yhteyteen tulee liittää myös aktiivista viestintää. Tämänkaltainen kokonaisuudistus on aina mahdollisuus</w:t>
      </w:r>
      <w:r>
        <w:t xml:space="preserve"> myös parantaa tienkäyttäjien tietämystä. Tähän viestintään t</w:t>
      </w:r>
      <w:r>
        <w:t>u</w:t>
      </w:r>
      <w:r>
        <w:t>lee sitouttaa laajasti liikenteen toimijoita ja siihen tulee varata resursseja. Myös poli</w:t>
      </w:r>
      <w:r>
        <w:t>i</w:t>
      </w:r>
      <w:r>
        <w:t>sin osalta sääntömuutokset edellyttävät lähes koko poliisihallinnon laajaa koulutusta. Tämä tulee sitoma</w:t>
      </w:r>
      <w:r>
        <w:t>an merkittävästi henkilötyövuosia koulutukseen. Koulutuksen la</w:t>
      </w:r>
      <w:r>
        <w:t>a</w:t>
      </w:r>
      <w:r>
        <w:t>juutta on tässä vaiheessa vaikea arvioida, mutta esimerkiksi 7 000 henkilön 8 tunnin koulutus sitoo poliisin työajasta noin 35 henkilötyövuotta ja mahdollisesti edellyttää verkkokurssiympäristö</w:t>
      </w:r>
      <w:r>
        <w:t>n sekä kouluttajaverkoston rakentamisen.</w:t>
      </w:r>
    </w:p>
    <w:p w:rsidR="00BF14B0" w:rsidRDefault="00B00032" w:rsidP="00BF14B0">
      <w:pPr>
        <w:pStyle w:val="Leipteksti"/>
      </w:pPr>
      <w:r>
        <w:t>Tieliikennelain kokonaisuudistuksella on suuri vaikutus poliisin työhön. Merkittävä osa poliisin tietoon tulleista rikoksista tulee liikenneympäristöstä. Lisäksi liikenteeseen lii</w:t>
      </w:r>
      <w:r>
        <w:t>t</w:t>
      </w:r>
      <w:r>
        <w:t>tyvää palautetta ja kysymyksiä tule</w:t>
      </w:r>
      <w:r>
        <w:t>e varsin paljon. Näin ollen tieliikennelain sääntö</w:t>
      </w:r>
      <w:r>
        <w:t>i</w:t>
      </w:r>
      <w:r>
        <w:t>hin, tieliikenteen seuraamusjärjestelmään, esitutkintavelvollisuuteen ja liikenneva</w:t>
      </w:r>
      <w:r>
        <w:t>l</w:t>
      </w:r>
      <w:r>
        <w:t>vonnan toteuttamisen mahdollisuuksiin tehtävät muutokset vaikuttavat suuresti poli</w:t>
      </w:r>
      <w:r>
        <w:t>i</w:t>
      </w:r>
      <w:r>
        <w:t>sin työhön. Esityksen kappaleessa 4.3.</w:t>
      </w:r>
      <w:r>
        <w:t xml:space="preserve"> on arvioitu hallinnollisen seuraamusjärjeste</w:t>
      </w:r>
      <w:r>
        <w:t>l</w:t>
      </w:r>
      <w:r>
        <w:t>män taloudellisia vaikutuksia niin tienkäyttäjiin kuin poliisin toimintaan. Sisäministeriön arvion mukaan vaikutukset ovat kuvattu realistisesti. Poliisin osalta vaikutukset ovat kahdensuuntaisia. Poliisin työm</w:t>
      </w:r>
      <w:r>
        <w:t>äärä vähenisi arvion mukaan muun muassa pienien liikenneonnettomuuksien esitutkintapakon poistuessa. Tällä olisi suuri merkitys niin poliisin hälytystehtävien kuin esitutkinnan suorittamiseen.</w:t>
      </w:r>
    </w:p>
    <w:p w:rsidR="00BF14B0" w:rsidRDefault="00B00032" w:rsidP="00BF14B0">
      <w:pPr>
        <w:pStyle w:val="Leipteksti"/>
      </w:pPr>
      <w:r>
        <w:t>Hallinnollisen maksun käyttöönottaminen mahdollistaisi automaat</w:t>
      </w:r>
      <w:r>
        <w:t>tisen liikenneva</w:t>
      </w:r>
      <w:r>
        <w:t>l</w:t>
      </w:r>
      <w:r>
        <w:t>vonnan prosessin yksinkertaistamisen ja tämä puolestaan omalta osaltaan mahdolli</w:t>
      </w:r>
      <w:r>
        <w:t>s</w:t>
      </w:r>
      <w:r>
        <w:t>taisi valvonnan tehokkaamman toteuttamisen. Toisaalta hallinnollisen seuraamusjä</w:t>
      </w:r>
      <w:r>
        <w:t>r</w:t>
      </w:r>
      <w:r>
        <w:t>jestelmän käyttöönottaminen aiheuttaa myös työmäärän lisääntymistä, kun ensi</w:t>
      </w:r>
      <w:r>
        <w:t>m</w:t>
      </w:r>
      <w:r>
        <w:t>mäisenä muutoksenhakukeinona otetaan käyttöön oikaisu. Myös hallintotuomioi</w:t>
      </w:r>
      <w:r>
        <w:t>s</w:t>
      </w:r>
      <w:r>
        <w:lastRenderedPageBreak/>
        <w:t>tuimeen käsittelyyn menevät asiat työllistäisivät poliisia. Oikaisuvaatimuksen osalta tulisi selvittää oikeusministeriöltä, voisiko oikaisuvaatimuksen käsitteleminen olla maksullis</w:t>
      </w:r>
      <w:r>
        <w:t>ta viranomaisen toimintaa.</w:t>
      </w:r>
    </w:p>
    <w:p w:rsidR="00BF14B0" w:rsidRDefault="00B00032" w:rsidP="00BF14B0">
      <w:pPr>
        <w:pStyle w:val="Leipteksti"/>
      </w:pPr>
      <w:r>
        <w:t>Ajokorttilakiin tehtävät muutokset vähentäisivät poliisin työmäärää jonkin verran ajo-oikeuspäätösten osalta. Liikennevirhemaksun käyttöönottaminen edellyttää laajaa ti</w:t>
      </w:r>
      <w:r>
        <w:t>e</w:t>
      </w:r>
      <w:r>
        <w:t>tojärjestelmäuudistusta useisiin poliisin, Liikenteen turval</w:t>
      </w:r>
      <w:r>
        <w:t>lisuusviraston ja oikeusha</w:t>
      </w:r>
      <w:r>
        <w:t>l</w:t>
      </w:r>
      <w:r>
        <w:t>linnon tietojärjestelmiin. Näiden taloudellisia kustannuksia on arvioitu esityksessä ja tietojärjestelmien muutostyöt voitaisiin käytännössä aloittaa vasta sitten kun lainmu</w:t>
      </w:r>
      <w:r>
        <w:t>u</w:t>
      </w:r>
      <w:r>
        <w:t xml:space="preserve">tokset on vahvistettu. Tämän vuoksi siirtymäajan tulee </w:t>
      </w:r>
      <w:r>
        <w:t>olla riittävän pitkä, jotta tieto-järjestelmämuutokset ja niiden vaatima koulutus saadaan toteutettua. Samassa y</w:t>
      </w:r>
      <w:r>
        <w:t>h</w:t>
      </w:r>
      <w:r>
        <w:t>teydessä tulee yhteen sovittaa myös mahdollisen sakkomenettelyn laajentamisesta ja ajo-oikeuspäätösten poliisille siirtymisen aiheuttamat muuto</w:t>
      </w:r>
      <w:r>
        <w:t xml:space="preserve">kset. </w:t>
      </w:r>
    </w:p>
    <w:p w:rsidR="00BF14B0" w:rsidRDefault="00B00032" w:rsidP="00BF14B0">
      <w:pPr>
        <w:pStyle w:val="Leipteksti"/>
      </w:pPr>
      <w:r>
        <w:t xml:space="preserve">Uudistus mahdollistaisi </w:t>
      </w:r>
      <w:r>
        <w:t xml:space="preserve">sisäministeriön näkemyksen mukaan </w:t>
      </w:r>
      <w:r>
        <w:t>poliisin valvontatyön k</w:t>
      </w:r>
      <w:r>
        <w:t>e</w:t>
      </w:r>
      <w:r>
        <w:t>hittämisen ja tehostamisen. Tämä puolestaan parantaisi osaltaan liikenneturvallisuu</w:t>
      </w:r>
      <w:r>
        <w:t>t</w:t>
      </w:r>
      <w:r>
        <w:t>ta pitkällä aikavälillä ja aiheuttaisi yhteiskunnallisia kustannussäästöjä. Tieliik</w:t>
      </w:r>
      <w:r>
        <w:t>enteessä kuolleet ja loukkaantuneet aiheuttavat merkittäviä yhteiskunnallisia menetyksiä useilla yhteiskunnan sektoreilla sekä merkittäviä kärsimyksiä niin tieliikenneonnettomuuksien osallisille kuin omaisille. Uudistus mahdollistaa poliisin työn tehokkuud</w:t>
      </w:r>
      <w:r>
        <w:t>en merkittävän lisäämisen yksinkertaistamalla prosesseja.</w:t>
      </w:r>
    </w:p>
    <w:p w:rsidR="00BF14B0" w:rsidRDefault="00B00032" w:rsidP="00BF14B0">
      <w:pPr>
        <w:pStyle w:val="Leipteksti"/>
      </w:pPr>
      <w:r>
        <w:t>Uudistuksen toteuttamisen yhteydessä tulee huolehtia muutoksen aiheuttamista tieto-järjestelmä- ja koulutuskustannuksista sisäasiainhallinnon viranomaisille.</w:t>
      </w:r>
    </w:p>
    <w:p w:rsidR="00BF14B0" w:rsidRDefault="00B00032" w:rsidP="00BF14B0">
      <w:pPr>
        <w:pStyle w:val="Leipteksti"/>
      </w:pPr>
    </w:p>
    <w:p w:rsidR="00BF14B0" w:rsidRDefault="00B00032" w:rsidP="00BF14B0">
      <w:pPr>
        <w:pStyle w:val="Leipteksti"/>
        <w:ind w:left="1304"/>
      </w:pPr>
      <w:r>
        <w:t>Kommentit yksittäisistä esityksistä</w:t>
      </w:r>
    </w:p>
    <w:p w:rsidR="00BF14B0" w:rsidRDefault="00B00032" w:rsidP="00BF14B0">
      <w:pPr>
        <w:pStyle w:val="Leipteksti"/>
        <w:ind w:left="1304"/>
      </w:pPr>
      <w:r>
        <w:t xml:space="preserve">1. </w:t>
      </w:r>
      <w:r>
        <w:t>Tieliikennelaki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2 § Määritelmät</w:t>
      </w:r>
    </w:p>
    <w:p w:rsidR="00BF14B0" w:rsidRDefault="00B00032" w:rsidP="00BF14B0">
      <w:pPr>
        <w:pStyle w:val="Leipteksti"/>
      </w:pPr>
      <w:r>
        <w:t>Pykälässä määriteltäisiin tieliikennelainsäädännön määritelmät. Määritelmien rooli p</w:t>
      </w:r>
      <w:r>
        <w:t>e</w:t>
      </w:r>
      <w:r>
        <w:t>rusteluineen on erittäin tärkeä lainsäädännössä ja esitetyt muutokset sekä tarkennu</w:t>
      </w:r>
      <w:r>
        <w:t>k</w:t>
      </w:r>
      <w:r>
        <w:t xml:space="preserve">set ovat kannatettavia. 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11 § Esteetön kulku hälytysajo</w:t>
      </w:r>
      <w:r w:rsidRPr="00BF14B0">
        <w:rPr>
          <w:u w:val="single"/>
        </w:rPr>
        <w:t>neuvolle ja kulkueelle</w:t>
      </w:r>
    </w:p>
    <w:p w:rsidR="00BF14B0" w:rsidRDefault="00B00032" w:rsidP="00BF14B0">
      <w:pPr>
        <w:pStyle w:val="Leipteksti"/>
      </w:pPr>
      <w:r>
        <w:t>Sisäministeriö nostaa esille, että pykälän perusteluihin tulisi lisätä maininta Rajava</w:t>
      </w:r>
      <w:r>
        <w:t>r</w:t>
      </w:r>
      <w:r>
        <w:t>ti</w:t>
      </w:r>
      <w:r>
        <w:t>o</w:t>
      </w:r>
      <w:r>
        <w:t xml:space="preserve">laitoksen ajoneuvon vetämistä saattueista. Pykälässä tämä on </w:t>
      </w:r>
      <w:r>
        <w:t xml:space="preserve">asianmukaisesti </w:t>
      </w:r>
      <w:r>
        <w:t>mainittu, mutta ei perusteluissa.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28 § Lähestyminen ja väistäminen</w:t>
      </w:r>
      <w:r w:rsidRPr="00BF14B0">
        <w:rPr>
          <w:u w:val="single"/>
        </w:rPr>
        <w:t xml:space="preserve"> suojatietä lähestyttäessä</w:t>
      </w:r>
    </w:p>
    <w:p w:rsidR="00BF14B0" w:rsidRDefault="00B00032" w:rsidP="00BF14B0">
      <w:pPr>
        <w:pStyle w:val="Leipteksti"/>
      </w:pPr>
      <w:r>
        <w:t>Pykälän 2 momentin mukaan suojatien eteen pysähtynyttä ajoneuvoa tai raitiotieva</w:t>
      </w:r>
      <w:r>
        <w:t>u</w:t>
      </w:r>
      <w:r>
        <w:t>nua ei saa ohittaa pysähtymättä. Sisäministeriön näkemyksen mukaan perusteluissa tulisi määritellä, mitä suojatien edessä pysähtymisellä tarkoitetaa</w:t>
      </w:r>
      <w:r>
        <w:t>n eli millä etäisyyde</w:t>
      </w:r>
      <w:r>
        <w:t>l</w:t>
      </w:r>
      <w:r>
        <w:t>lä ajoneuvo on vielä pysähtyneenä suojatien edessä.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30 § Kohtaaminen</w:t>
      </w:r>
    </w:p>
    <w:p w:rsidR="00BF14B0" w:rsidRDefault="00B00032" w:rsidP="00BF14B0">
      <w:pPr>
        <w:pStyle w:val="Leipteksti"/>
      </w:pPr>
      <w:r>
        <w:t>Pykälän perusteluissa ei erikseen määritellä, miten riittävä tila määriteltäisiin. Peruste-luissa kuitenkin todetaan, että liikenteenvalvojilla on mahdollisuus ohjei</w:t>
      </w:r>
      <w:r>
        <w:t xml:space="preserve">staa valvonta-käytäntöjään. Sisäministeriö nostaa esille, </w:t>
      </w:r>
      <w:r>
        <w:t xml:space="preserve">että </w:t>
      </w:r>
      <w:r>
        <w:t>lainsäädännön tulee olla selvää ja h</w:t>
      </w:r>
      <w:r>
        <w:t>y</w:t>
      </w:r>
      <w:r>
        <w:t>vin perusteltua, että tätä ei pidä jättää liikenteenvalvojille myöhemmin ohjeistettava</w:t>
      </w:r>
      <w:r>
        <w:t>k</w:t>
      </w:r>
      <w:r>
        <w:t>si. Tämän vuoksi sisäministeriön näkemyksen mukaan kyseinen virke tul</w:t>
      </w:r>
      <w:r>
        <w:t>ee poistaa perusteluista.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55 § Moottorikäyttöisen ajoneuvon tarpeeton joutokäynnin kielto</w:t>
      </w:r>
    </w:p>
    <w:p w:rsidR="00BF14B0" w:rsidRDefault="00B00032" w:rsidP="00BF14B0">
      <w:pPr>
        <w:pStyle w:val="Leipteksti"/>
      </w:pPr>
      <w:r>
        <w:t>Pykälässä säädettäisiin tarpeettoman joutokäynnin kiellosta. Pykälän toisessa m</w:t>
      </w:r>
      <w:r>
        <w:t>o</w:t>
      </w:r>
      <w:r>
        <w:t>mentissa esitetään, että kielto ei koskisi muun muassa kiireellisessä tehtävässä ol</w:t>
      </w:r>
      <w:r>
        <w:t>e</w:t>
      </w:r>
      <w:r>
        <w:t xml:space="preserve">vaa hälytysajoneuvoa ja liikenteenvalvojan virkatehtävässä käyttämää ajoneuvoa. Toisaalta esityksen 186 § 1 momentissa säädettäisiin, että tietyissä tehtävissä oleva tienkäyttäjä voisi poiketa liikennesäännöistä tehtävän edellyttämällä tavalla. Tämä jo </w:t>
      </w:r>
      <w:r>
        <w:lastRenderedPageBreak/>
        <w:t>sin</w:t>
      </w:r>
      <w:r>
        <w:t>änsä mahdollistaa poikkeamisen myös joutokäyntikiellosta. Tulisi arvioida, onko esityksen 55 §:ssä ja 186 §:ssä päällekkäistä säätelyä. Viranomaisilla on usein teht</w:t>
      </w:r>
      <w:r>
        <w:t>ä</w:t>
      </w:r>
      <w:r>
        <w:t>villä tarve käyttää ajoneuvon moottori myös muilla kuin kiireellisillä tehtävillä muun muas</w:t>
      </w:r>
      <w:r>
        <w:t>sa tehtävällä käytettävien teknisten laitteiden käytön vuoksi. Tämä koskee pää-osin kaikkia poikkeussäännöksiä käyttäviä viranomaisia. Tämän vuoksi olisi peruste</w:t>
      </w:r>
      <w:r>
        <w:t>l</w:t>
      </w:r>
      <w:r>
        <w:t>tua, että esityksen 55 §:n 2 momentista poistettaisiin kohta "joutokäynnin kielto ei koske kii</w:t>
      </w:r>
      <w:r>
        <w:t>reellisessä tehtävässä olevaa hälytysajoneuvoa, liikenteenvalvojan virkate</w:t>
      </w:r>
      <w:r>
        <w:t>h</w:t>
      </w:r>
      <w:r>
        <w:t>tävässä käyttämää ajoneuvoa", koska esityksen 186 §:n 1 momentti mahdollistaa jo</w:t>
      </w:r>
      <w:r>
        <w:t>u</w:t>
      </w:r>
      <w:r>
        <w:t xml:space="preserve">tokäynnin kiellosta poikkeamisen tehtävän sitä edellyttäessä. Perusteluiden mukaan tehtävä voi olla </w:t>
      </w:r>
      <w:r>
        <w:t>meneillään, tehtävälle voitaisiin olla siirtymässä tai tehtävää voitaisiin odottaa toimintavalmiudessa.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57 § Tienkäyttäjän varoittaminen</w:t>
      </w:r>
    </w:p>
    <w:p w:rsidR="00BF14B0" w:rsidRDefault="00B00032" w:rsidP="00BF14B0">
      <w:pPr>
        <w:pStyle w:val="Leipteksti"/>
      </w:pPr>
      <w:r>
        <w:t>Pykälän 3 momentissa todetaan, että tielle asetetun varoituskolmion luvaton poist</w:t>
      </w:r>
      <w:r>
        <w:t>a</w:t>
      </w:r>
      <w:r>
        <w:t xml:space="preserve">minen tai siirtäminen on kiellettyä. </w:t>
      </w:r>
      <w:r>
        <w:t>Tiellä kuitenkin näkee ajoittain auton siirtämisen tai korjaamisen jälkeen tielle unohdettuja varoituskolmioita. Sisäministeriö esittää harki</w:t>
      </w:r>
      <w:r>
        <w:t>t</w:t>
      </w:r>
      <w:r>
        <w:t>tavaksi, että esimerkiksi poliisi</w:t>
      </w:r>
      <w:r>
        <w:t xml:space="preserve"> </w:t>
      </w:r>
      <w:r>
        <w:t>tai tienpitäjä saisi poistaa tarpeettoman varoituskolm</w:t>
      </w:r>
      <w:r>
        <w:t>i</w:t>
      </w:r>
      <w:r>
        <w:t>on.</w:t>
      </w:r>
    </w:p>
    <w:p w:rsidR="00BF14B0" w:rsidRPr="00BF14B0" w:rsidRDefault="00B00032" w:rsidP="00BF14B0">
      <w:pPr>
        <w:pStyle w:val="Leipteksti"/>
        <w:rPr>
          <w:u w:val="single"/>
        </w:rPr>
      </w:pPr>
      <w:r w:rsidRPr="00BF14B0">
        <w:rPr>
          <w:u w:val="single"/>
        </w:rPr>
        <w:t>64 § Raitiovaunun kul</w:t>
      </w:r>
      <w:r w:rsidRPr="00BF14B0">
        <w:rPr>
          <w:u w:val="single"/>
        </w:rPr>
        <w:t>jettamista koskevat muut liikennesäännöt</w:t>
      </w:r>
    </w:p>
    <w:p w:rsidR="00BF14B0" w:rsidRDefault="00B00032" w:rsidP="00BF14B0">
      <w:pPr>
        <w:pStyle w:val="Leipteksti"/>
      </w:pPr>
      <w:r>
        <w:t>Pykälässä säädettäisiin niistä liikennesäännöistä, jot</w:t>
      </w:r>
      <w:r>
        <w:t>ka koskevat raitiovaunun kulje</w:t>
      </w:r>
      <w:r>
        <w:t>t</w:t>
      </w:r>
      <w:r>
        <w:t>tamista. Tieliikennelain luonnoksen mukaan (TLL 11§) hälytysääni- ja valomerkkejä antavalle hälytysajoneuvolle, tai tietyille vira</w:t>
      </w:r>
      <w:r>
        <w:t>nomaisten</w:t>
      </w:r>
      <w:r>
        <w:t xml:space="preserve"> vetämille saattueille on anne</w:t>
      </w:r>
      <w:r>
        <w:t>t</w:t>
      </w:r>
      <w:r>
        <w:t>tava esteetön kulku. Olisi tärkeää, että myös raitiovaunujen olisi väistettävä näitä merkkejä antavia hälytysajoneuvoja. Tämän vuoksi olisi perusteltua lisätä kolmanteen momenttiin maininta esteettömän kulun antamise</w:t>
      </w:r>
      <w:r>
        <w:t>sta h</w:t>
      </w:r>
      <w:r>
        <w:t>älytysääni- ja -valomerkkejä a</w:t>
      </w:r>
      <w:r>
        <w:t>n</w:t>
      </w:r>
      <w:r>
        <w:t>tavalle hälytysajoneuvolle (11 §).</w:t>
      </w:r>
    </w:p>
    <w:p w:rsidR="00BF14B0" w:rsidRPr="008D0C5E" w:rsidRDefault="00B00032" w:rsidP="00BF14B0">
      <w:pPr>
        <w:pStyle w:val="Leipteksti"/>
        <w:rPr>
          <w:u w:val="single"/>
        </w:rPr>
      </w:pPr>
      <w:r w:rsidRPr="008D0C5E">
        <w:rPr>
          <w:u w:val="single"/>
        </w:rPr>
        <w:t>65 § Liikenteenohjaaja</w:t>
      </w:r>
    </w:p>
    <w:p w:rsidR="00BF14B0" w:rsidRDefault="00B00032" w:rsidP="00BF14B0">
      <w:pPr>
        <w:pStyle w:val="Leipteksti"/>
      </w:pPr>
      <w:r>
        <w:t>Pykälän mukaan poliisin lisäksi myös pelastusviran</w:t>
      </w:r>
      <w:r>
        <w:t>omainen voi toimia liikenteeno</w:t>
      </w:r>
      <w:r>
        <w:t>h</w:t>
      </w:r>
      <w:r>
        <w:t>jaajana. Tämä on erittäin perusteltua erityisesti esimerkiksi liikenneonnettomuuk</w:t>
      </w:r>
      <w:r>
        <w:t xml:space="preserve">sissa. </w:t>
      </w:r>
    </w:p>
    <w:p w:rsidR="00D91F3C" w:rsidRDefault="00B00032" w:rsidP="00BF14B0">
      <w:pPr>
        <w:pStyle w:val="Leipteksti"/>
      </w:pPr>
      <w:r>
        <w:t>65 §:n 1 momentin mukaan Puolustusvoimien harjoitusten aikana liikennettä ohjaa sotilas. Rajavartiolain 3 §:n mukaan Rajavartiolaitoksen tehtäviin kuuluu myös sot</w:t>
      </w:r>
      <w:r>
        <w:t>i</w:t>
      </w:r>
      <w:r>
        <w:t>laallinen maanpuolustus ja se toimeenpanee sotilaallisia harjoituksia samoin kuin pu</w:t>
      </w:r>
      <w:r>
        <w:t>o</w:t>
      </w:r>
      <w:r>
        <w:t xml:space="preserve">lustusvoimatkin. Tämän vuoksi kohtaan tulisi </w:t>
      </w:r>
      <w:r>
        <w:t>sisäministeriön näkemyksen m</w:t>
      </w:r>
      <w:r>
        <w:t>u</w:t>
      </w:r>
      <w:r>
        <w:t xml:space="preserve">kaan </w:t>
      </w:r>
      <w:r>
        <w:t>lisätä myös Rajavartiolaitoksen harjoitukset esimerkiksi seuraavasti "Puolustu</w:t>
      </w:r>
      <w:r>
        <w:t>s</w:t>
      </w:r>
      <w:r>
        <w:t>voimien ja Rajavartiolaitoksen harjoitusten aikana liikennettä ohjaa sotilas" tai "Sot</w:t>
      </w:r>
      <w:r>
        <w:t>i</w:t>
      </w:r>
      <w:r>
        <w:t xml:space="preserve">laallisten </w:t>
      </w:r>
      <w:r>
        <w:t>harjoitusten aikana liikennettä ohjaa sotilas".</w:t>
      </w:r>
    </w:p>
    <w:p w:rsidR="00D91F3C" w:rsidRDefault="00B00032" w:rsidP="00D91F3C">
      <w:pPr>
        <w:pStyle w:val="Leipteksti"/>
      </w:pPr>
      <w:r>
        <w:t xml:space="preserve">Sisäministeriö </w:t>
      </w:r>
      <w:r>
        <w:t>tuo esille 65 §:n 4 momentin</w:t>
      </w:r>
      <w:r>
        <w:t xml:space="preserve"> "Liikenteenohjaajan on käytettävä pysä</w:t>
      </w:r>
      <w:r>
        <w:t>y</w:t>
      </w:r>
      <w:r>
        <w:t>tysmerkkinä liikennemerkkiä C1. Poliisi voi käyttää pysäytysmerkkinä liikennemerkkiä C46." Kyseessä on ns. STOP/POLIISI -merk</w:t>
      </w:r>
      <w:r>
        <w:t>ki, joka on esitelty nyt annettavan esity</w:t>
      </w:r>
      <w:r>
        <w:t>k</w:t>
      </w:r>
      <w:r>
        <w:t>sen liitteessä C46 Pakollinen pysäyttäminen tarkastusta varten. Mainitussa kohdassa merkin osalta tarkennetaan, että "Merkillä osoitetaan, että ajoneuvo on pysäytettävä merkissä osoitettua tarkastusta varten. Merki</w:t>
      </w:r>
      <w:r>
        <w:t>nnän teksti määräytyy tarkastuksen su</w:t>
      </w:r>
      <w:r>
        <w:t>o</w:t>
      </w:r>
      <w:r>
        <w:t>rittajan mukaan." Mainittua ilmaisua on pidettävä oikeana, koska muun muassa Raj</w:t>
      </w:r>
      <w:r>
        <w:t>a</w:t>
      </w:r>
      <w:r>
        <w:t>vartiolaitoksen tarpeita varten on rajanylityspaikoille asennettu Liikenneviraston pii</w:t>
      </w:r>
      <w:r>
        <w:t>r</w:t>
      </w:r>
      <w:r>
        <w:t>tämä ja vahvistama sekä ELY-keskuksen asentama lii</w:t>
      </w:r>
      <w:r>
        <w:t>kennemerkki "STOP/RAJAVARTIOLAITOS". Tämä seikka tulee sisäministeriön näkemyksen m</w:t>
      </w:r>
      <w:r>
        <w:t>u</w:t>
      </w:r>
      <w:r>
        <w:t>kaan ottaa huomioon myös lakiehdotuksen 65 §:n 4 momentissa, jottei jää epäse</w:t>
      </w:r>
      <w:r>
        <w:t>l</w:t>
      </w:r>
      <w:r>
        <w:t>vyyttä lain tasalla Rajavartiolaitoksen merkin velvoittavuudesta.</w:t>
      </w:r>
    </w:p>
    <w:p w:rsidR="00D91F3C" w:rsidRDefault="00B00032" w:rsidP="00D91F3C">
      <w:pPr>
        <w:pStyle w:val="Leipteksti"/>
      </w:pPr>
      <w:r>
        <w:t>Sisäminis</w:t>
      </w:r>
      <w:r>
        <w:t xml:space="preserve">teriö tuo esille </w:t>
      </w:r>
      <w:r>
        <w:t>tarpeen täydentää</w:t>
      </w:r>
      <w:r>
        <w:t xml:space="preserve"> tieliikennelakia koskevaa lakiehdotusta s</w:t>
      </w:r>
      <w:r>
        <w:t>i</w:t>
      </w:r>
      <w:r>
        <w:t>ten, että pysäytysmerkkinä voidaan käyttää edellä mainittujen merkkien C1 ja C46 l</w:t>
      </w:r>
      <w:r>
        <w:t>i</w:t>
      </w:r>
      <w:r>
        <w:t>säksi myös Rajavartiolaitoksen ajoneuvosta annettavaa punaista vilkkuvaa valoa y</w:t>
      </w:r>
      <w:r>
        <w:t>h</w:t>
      </w:r>
      <w:r>
        <w:t>dessä sinisen vilkkuvan hälytysv</w:t>
      </w:r>
      <w:r>
        <w:t>alon kanssa nykykäytännön mukaisesti. Samassa y</w:t>
      </w:r>
      <w:r>
        <w:t>h</w:t>
      </w:r>
      <w:r>
        <w:t>teydessä on säädettävä 6 luvussa tarkoitetulla liikennevirhemaksulla selkeästi ra</w:t>
      </w:r>
      <w:r>
        <w:t>n</w:t>
      </w:r>
      <w:r>
        <w:t>gaistavaksi myös 185 §:n 2 momentissa säädetyn liikenteenvalvojan ajoneuvolle a</w:t>
      </w:r>
      <w:r>
        <w:t>n</w:t>
      </w:r>
      <w:r>
        <w:t>taman pysäytysmerkin noudattamatta jättäminen,</w:t>
      </w:r>
      <w:r>
        <w:t xml:space="preserve"> joka näyttäisi jääneen lakiehdotu</w:t>
      </w:r>
      <w:r>
        <w:t>k</w:t>
      </w:r>
      <w:r>
        <w:t>sessa mahdollisesti sanktioimatta, vaikkakin liikennevirhemaksun osalta vi</w:t>
      </w:r>
      <w:r>
        <w:t>i</w:t>
      </w:r>
      <w:r>
        <w:t xml:space="preserve">tataankin </w:t>
      </w:r>
      <w:r>
        <w:lastRenderedPageBreak/>
        <w:t>lakiehdotuksen 9 §:n liikennesääntöjen ja liikenteen ohjaajan antaman merkin nouda</w:t>
      </w:r>
      <w:r>
        <w:t>t</w:t>
      </w:r>
      <w:r>
        <w:t>tamatta jättämiseen.</w:t>
      </w:r>
    </w:p>
    <w:p w:rsidR="00BF14B0" w:rsidRPr="00D91F3C" w:rsidRDefault="00B00032" w:rsidP="00BF14B0">
      <w:pPr>
        <w:pStyle w:val="Leipteksti"/>
        <w:rPr>
          <w:u w:val="single"/>
        </w:rPr>
      </w:pPr>
      <w:r w:rsidRPr="00D91F3C">
        <w:rPr>
          <w:u w:val="single"/>
        </w:rPr>
        <w:t>71 § Liikenteenohjauslaitteen as</w:t>
      </w:r>
      <w:r w:rsidRPr="00D91F3C">
        <w:rPr>
          <w:u w:val="single"/>
        </w:rPr>
        <w:t>ettaminen</w:t>
      </w:r>
    </w:p>
    <w:p w:rsidR="00BF14B0" w:rsidRDefault="00B00032" w:rsidP="00BF14B0">
      <w:pPr>
        <w:pStyle w:val="Leipteksti"/>
      </w:pPr>
      <w:r>
        <w:t>Pykälän 1 momentin mukaan poliisi voi poistaa lain va</w:t>
      </w:r>
      <w:r>
        <w:t>staisesti asetetun liikenteeno</w:t>
      </w:r>
      <w:r>
        <w:t>h</w:t>
      </w:r>
      <w:r>
        <w:t>jauslaitteen. Tämä oikeus tulisi</w:t>
      </w:r>
      <w:r>
        <w:t xml:space="preserve"> sisäministeriön näkemyksen mukaan</w:t>
      </w:r>
      <w:r>
        <w:t xml:space="preserve"> kuitenkin olla myös </w:t>
      </w:r>
      <w:r>
        <w:t xml:space="preserve">rajavartiomiehellä ja </w:t>
      </w:r>
      <w:r>
        <w:t>t</w:t>
      </w:r>
      <w:r>
        <w:t>ienpitäjällä, kuten 73 §:n 2 mo</w:t>
      </w:r>
      <w:r>
        <w:t>mentissa säädetään hä</w:t>
      </w:r>
      <w:r>
        <w:t>iri</w:t>
      </w:r>
      <w:r>
        <w:t>t</w:t>
      </w:r>
      <w:r>
        <w:t>sevän tai luvattoman lait</w:t>
      </w:r>
      <w:r>
        <w:t>teen osalta. Toisen momentin mu</w:t>
      </w:r>
      <w:r>
        <w:t>kaan poliisi, rajavartiomies, tullimies tai pelastus</w:t>
      </w:r>
      <w:r>
        <w:t>viranomainen voi asettaa liiken</w:t>
      </w:r>
      <w:r>
        <w:t>teenohjauslaitteen tilapäistä käy</w:t>
      </w:r>
      <w:r>
        <w:t>t</w:t>
      </w:r>
      <w:r>
        <w:t>töä varten. Tämä on p</w:t>
      </w:r>
      <w:r>
        <w:t>erusteltu ja tarpeellinen uudis</w:t>
      </w:r>
      <w:r>
        <w:t>tus.</w:t>
      </w:r>
    </w:p>
    <w:p w:rsidR="00DC2E80" w:rsidRPr="00DC2E80" w:rsidRDefault="00B00032" w:rsidP="00BF14B0">
      <w:pPr>
        <w:pStyle w:val="Leipteksti"/>
        <w:rPr>
          <w:u w:val="single"/>
        </w:rPr>
      </w:pPr>
      <w:r w:rsidRPr="00DC2E80">
        <w:rPr>
          <w:u w:val="single"/>
        </w:rPr>
        <w:t>73</w:t>
      </w:r>
      <w:r>
        <w:rPr>
          <w:u w:val="single"/>
        </w:rPr>
        <w:t xml:space="preserve"> </w:t>
      </w:r>
      <w:r w:rsidRPr="00DC2E80">
        <w:rPr>
          <w:u w:val="single"/>
        </w:rPr>
        <w:t>§ Häiritsevän tai l</w:t>
      </w:r>
      <w:r w:rsidRPr="00DC2E80">
        <w:rPr>
          <w:u w:val="single"/>
        </w:rPr>
        <w:t>uvattoman laitteen asettaminen</w:t>
      </w:r>
    </w:p>
    <w:p w:rsidR="009168B9" w:rsidRDefault="00B00032" w:rsidP="00BF14B0">
      <w:pPr>
        <w:pStyle w:val="Leipteksti"/>
      </w:pPr>
      <w:r>
        <w:t>Tieliikennelakiehdotuksen 73 §:n häiritsevän tai luvattoman laitteen asettaminen tielle 2 momenttiin tulisi sisäministeriön näkemyksen mukaan lisätä rajavartiomiehelle o</w:t>
      </w:r>
      <w:r>
        <w:t>i</w:t>
      </w:r>
      <w:r>
        <w:t>keus poistaa häiritsevä tai luvaton laite tieltä. Rajav</w:t>
      </w:r>
      <w:r>
        <w:t>artiolaitos toimii HARVA -alueella, jossa poliisi tai tienpitäjä voivat olla satojen kilometrien päässä. Lisäksi ao. laite saa</w:t>
      </w:r>
      <w:r>
        <w:t>t</w:t>
      </w:r>
      <w:r>
        <w:t>taa häiritä sellaisen liikennemerkin näkyvyyttä, jolla on merkitystä rajaturvallisuuden ylläpitämisessä tai rajanylityspaikan lii</w:t>
      </w:r>
      <w:r>
        <w:t>kenteenohjauksessa.</w:t>
      </w:r>
    </w:p>
    <w:p w:rsidR="00BF14B0" w:rsidRPr="00DC2E80" w:rsidRDefault="00B00032" w:rsidP="00BF14B0">
      <w:pPr>
        <w:pStyle w:val="Leipteksti"/>
        <w:rPr>
          <w:u w:val="single"/>
        </w:rPr>
      </w:pPr>
      <w:r w:rsidRPr="00DC2E80">
        <w:rPr>
          <w:u w:val="single"/>
        </w:rPr>
        <w:t>92 § Suojakypärä</w:t>
      </w:r>
    </w:p>
    <w:p w:rsidR="00BF14B0" w:rsidRDefault="00B00032" w:rsidP="00BF14B0">
      <w:pPr>
        <w:pStyle w:val="Leipteksti"/>
      </w:pPr>
      <w:r>
        <w:t>Tiettyjen ajoneuvojen kuljettajan ja matkustajan olisi käytettävä tyypiltään hyväksyttyä suojakypärää. Ainakin perusteluita olisi</w:t>
      </w:r>
      <w:r>
        <w:t xml:space="preserve"> sisäministeriön näkemyksen mukaan</w:t>
      </w:r>
      <w:r>
        <w:t xml:space="preserve"> hy</w:t>
      </w:r>
      <w:r>
        <w:t>vä tarkentaa siten, että kypärän käyttämi</w:t>
      </w:r>
      <w:r>
        <w:t xml:space="preserve">nen </w:t>
      </w:r>
      <w:r>
        <w:t>edellyttää kiinnityshihna</w:t>
      </w:r>
      <w:r>
        <w:t>n</w:t>
      </w:r>
      <w:r>
        <w:t xml:space="preserve"> kiinnittämistä k</w:t>
      </w:r>
      <w:r>
        <w:t>u</w:t>
      </w:r>
      <w:r>
        <w:t>ten kypärän valmista</w:t>
      </w:r>
      <w:r>
        <w:t>ja edellyttää. Tämä li</w:t>
      </w:r>
      <w:r>
        <w:t>säys selkeyttäisi liikenteenvalvontaa.</w:t>
      </w:r>
    </w:p>
    <w:p w:rsidR="00DC2E80" w:rsidRDefault="00B00032" w:rsidP="00DC2E80">
      <w:pPr>
        <w:pStyle w:val="Leipteksti"/>
      </w:pPr>
      <w:r>
        <w:t>Sisäministeriö nostaa esille, että tieliikennelakiehdotuksesta näyttäisi puuttuvan n</w:t>
      </w:r>
      <w:r>
        <w:t>y</w:t>
      </w:r>
      <w:r>
        <w:t>kyisen tieliikennelain suojakypärän käytön val</w:t>
      </w:r>
      <w:r>
        <w:t>vontaa koskeva 96 a § ja maastoaj</w:t>
      </w:r>
      <w:r>
        <w:t>o</w:t>
      </w:r>
      <w:r>
        <w:t>neuvon käytön valvontaa koskeva 96 b §, joissa kummassakin säädetään muun m</w:t>
      </w:r>
      <w:r>
        <w:t>u</w:t>
      </w:r>
      <w:r>
        <w:t>assa Rajavartiolaitokselle toimivaltuus tätä koskevaan valvontaan. Lakiehdotuksen li</w:t>
      </w:r>
      <w:r>
        <w:t>i</w:t>
      </w:r>
      <w:r>
        <w:t>kennevirhemaksua koskevassa 160 §:ssä säädetään, että liikenn</w:t>
      </w:r>
      <w:r>
        <w:t>evirhemaksun mä</w:t>
      </w:r>
      <w:r>
        <w:t>ä</w:t>
      </w:r>
      <w:r>
        <w:t>rää 185 §:ssä mainittu liikenteenvalvoja. Mainitussa 185 §:ssä säädetään, että Raj</w:t>
      </w:r>
      <w:r>
        <w:t>a</w:t>
      </w:r>
      <w:r>
        <w:t>vartiolaitos toimii liikenteen valvojana, kuten siitä erikseen laissa säädetään. Rajava</w:t>
      </w:r>
      <w:r>
        <w:t>r</w:t>
      </w:r>
      <w:r>
        <w:t>tiolaissa ei säädetä suojakypärän käytön valvonnasta eikä maastoliike</w:t>
      </w:r>
      <w:r>
        <w:t>nnelaissa kie</w:t>
      </w:r>
      <w:r>
        <w:t>l</w:t>
      </w:r>
      <w:r>
        <w:t>losta käyttää maastoajoneuvoa tiellä. Valvonnasta tulisi näin ollen ottaa nimenoma</w:t>
      </w:r>
      <w:r>
        <w:t>i</w:t>
      </w:r>
      <w:r>
        <w:t>nen säännös myös uuteen ehdotettavaan tieliikennelakiin, kuten asiasta on säädetty nykyisinkin. Muutoin muun muassa Rajavartiolaitos ei voisi enää valvoa suoja</w:t>
      </w:r>
      <w:r>
        <w:t>kypärän käyttöä maastoliikenteessä eikä sitä, ettei maastoajoneuvoa käytetä tiellä esimerkiksi yleistä tietä maastossa ylitettäessä. Nämä toimivaltuudet ovat erityisen tärkeitä n</w:t>
      </w:r>
      <w:r>
        <w:t>i</w:t>
      </w:r>
      <w:r>
        <w:t>menomaan ns. HARVA</w:t>
      </w:r>
      <w:r>
        <w:t>-</w:t>
      </w:r>
      <w:r>
        <w:t>alueilla, joissa viranomaistoimijoita on vähän. Toinen vai</w:t>
      </w:r>
      <w:r>
        <w:t>ht</w:t>
      </w:r>
      <w:r>
        <w:t>o</w:t>
      </w:r>
      <w:r>
        <w:t>ehto on ottaa asiasta säännökset maastoliikennelakiin hallituksen esityksen liitelak</w:t>
      </w:r>
      <w:r>
        <w:t>i</w:t>
      </w:r>
      <w:r>
        <w:t>na.</w:t>
      </w:r>
    </w:p>
    <w:p w:rsidR="00BF14B0" w:rsidRPr="00DC2E80" w:rsidRDefault="00B00032" w:rsidP="00BF14B0">
      <w:pPr>
        <w:pStyle w:val="Leipteksti"/>
        <w:rPr>
          <w:u w:val="single"/>
        </w:rPr>
      </w:pPr>
      <w:r w:rsidRPr="00DC2E80">
        <w:rPr>
          <w:u w:val="single"/>
        </w:rPr>
        <w:t>99 § Ajoneuvon suurin sallittu nopeus</w:t>
      </w:r>
    </w:p>
    <w:p w:rsidR="00BF14B0" w:rsidRDefault="00B00032" w:rsidP="00BF14B0">
      <w:pPr>
        <w:pStyle w:val="Leipteksti"/>
      </w:pPr>
      <w:r>
        <w:t>Tiettyjen ajoneuvojen suurin sallittu nopeus olisi rakenteell</w:t>
      </w:r>
      <w:r>
        <w:t>isesti tieliikennelain liiteta</w:t>
      </w:r>
      <w:r>
        <w:t>u</w:t>
      </w:r>
      <w:r>
        <w:t>lukkona. Tämä on hyvä ja selkeä uu</w:t>
      </w:r>
      <w:r>
        <w:t>distus.</w:t>
      </w:r>
    </w:p>
    <w:p w:rsidR="00BF14B0" w:rsidRPr="00DC2E80" w:rsidRDefault="00B00032" w:rsidP="00BF14B0">
      <w:pPr>
        <w:pStyle w:val="Leipteksti"/>
        <w:rPr>
          <w:u w:val="single"/>
        </w:rPr>
      </w:pPr>
      <w:r w:rsidRPr="00DC2E80">
        <w:rPr>
          <w:u w:val="single"/>
        </w:rPr>
        <w:t>105 § Talviaikana käytettävät renkaat</w:t>
      </w:r>
    </w:p>
    <w:p w:rsidR="00BF14B0" w:rsidRDefault="00B00032" w:rsidP="00BF14B0">
      <w:pPr>
        <w:pStyle w:val="Leipteksti"/>
      </w:pPr>
      <w:r>
        <w:t>Pykälässä esitetään, että jos sää tai keli sitä edellyttää, niin marras - maaliskuussa on käytettävä talvirenkaita. Tämä on turvallisuuden kannalta hyvä uudistus, koska tällöin talvirenkaita edellytetään talvio</w:t>
      </w:r>
      <w:r>
        <w:t>losuhteissa. Pykälän muotoilu tarkoittaa myös sitä, että varsinaista nykyisen kaltaista talvirengas pakkoa ei ole. Tämä puolestaan tarkoittaa tulkinnanvaraisuuden lisääntymistä ja liikennevalvontatilanteissa epävarmuutta talv</w:t>
      </w:r>
      <w:r>
        <w:t>i</w:t>
      </w:r>
      <w:r>
        <w:t>renkaiden käyttövelvollisuudes</w:t>
      </w:r>
      <w:r>
        <w:t>ta varsinkin kelin vaihdellessa.</w:t>
      </w:r>
    </w:p>
    <w:p w:rsidR="00BF14B0" w:rsidRPr="009B1FC7" w:rsidRDefault="00B00032" w:rsidP="00BF14B0">
      <w:pPr>
        <w:pStyle w:val="Leipteksti"/>
        <w:rPr>
          <w:u w:val="single"/>
        </w:rPr>
      </w:pPr>
      <w:r w:rsidRPr="009B1FC7">
        <w:rPr>
          <w:u w:val="single"/>
        </w:rPr>
        <w:t>109 § Kuorman varmistaminen</w:t>
      </w:r>
    </w:p>
    <w:p w:rsidR="00BF14B0" w:rsidRDefault="00B00032" w:rsidP="00BF14B0">
      <w:pPr>
        <w:pStyle w:val="Leipteksti"/>
      </w:pPr>
      <w:r>
        <w:t>Pykälän 3 momentissa esitetään, että kuorman varmistuksen lujuutta määriteltäessä saa kitkavoiman tarjoama</w:t>
      </w:r>
      <w:r>
        <w:t>n pidätyskyvyn ottaa huomioon. Sisäministeriö tuo tässä y</w:t>
      </w:r>
      <w:r>
        <w:t>h</w:t>
      </w:r>
      <w:r>
        <w:t>teydessä esiin, että k</w:t>
      </w:r>
      <w:r>
        <w:t>itkavoima</w:t>
      </w:r>
      <w:r>
        <w:t>n arvioiminen on varsin epäluotettavaa ja kitkavoima voi vaihdella eri sääolosuhteissa. Lisäksi lavan lattiarakenteen kuluessa tai siinä ol</w:t>
      </w:r>
      <w:r>
        <w:t>e</w:t>
      </w:r>
      <w:r>
        <w:lastRenderedPageBreak/>
        <w:t>vat epäpuhtaudet vaikeuttavat kitkan arviointia. Tämän vuoksi</w:t>
      </w:r>
      <w:r>
        <w:t xml:space="preserve"> sisäministeriön näk</w:t>
      </w:r>
      <w:r>
        <w:t>e</w:t>
      </w:r>
      <w:r>
        <w:t xml:space="preserve">myksen mukaan </w:t>
      </w:r>
      <w:r>
        <w:t>kitkavoimaa ei tulis</w:t>
      </w:r>
      <w:r>
        <w:t>i huomioida kuorman varmistamisessa.</w:t>
      </w:r>
    </w:p>
    <w:p w:rsidR="00BF14B0" w:rsidRPr="009B1FC7" w:rsidRDefault="00B00032" w:rsidP="00BF14B0">
      <w:pPr>
        <w:pStyle w:val="Leipteksti"/>
        <w:rPr>
          <w:u w:val="single"/>
        </w:rPr>
      </w:pPr>
      <w:r w:rsidRPr="009B1FC7">
        <w:rPr>
          <w:u w:val="single"/>
        </w:rPr>
        <w:t>156 § Muut valaisimet</w:t>
      </w:r>
    </w:p>
    <w:p w:rsidR="00BF14B0" w:rsidRDefault="00B00032" w:rsidP="00BF14B0">
      <w:pPr>
        <w:pStyle w:val="Leipteksti"/>
      </w:pPr>
      <w:r>
        <w:t>Pykälän 1 momentissa esitetään, että sinistä varoitusvalaisinta saisi käyttää myös p</w:t>
      </w:r>
      <w:r>
        <w:t>o</w:t>
      </w:r>
      <w:r>
        <w:t>liisiajoneuvossa, Tullin ajoneuvossa ja Rajavartiolaitoksen ajoneuvossa. Ajoneuvolain 20 §:n mukaan nämä ovat ky</w:t>
      </w:r>
      <w:r>
        <w:t>seisten viranomaisten käyttöön erityisesti valmistettuja tai varustettu ajoneuvoja. Näissä tehtävissä kuitenkin käytetään jo nykyis</w:t>
      </w:r>
      <w:r>
        <w:t>ellään myös muita kuin erityisesti</w:t>
      </w:r>
      <w:r>
        <w:t xml:space="preserve"> valmistettuja tai varustettuja ajoneuvoja. </w:t>
      </w:r>
      <w:r>
        <w:t>Esimerkiksi Rajavarti</w:t>
      </w:r>
      <w:r>
        <w:t>o</w:t>
      </w:r>
      <w:r>
        <w:t>laitoksen autokannasta su</w:t>
      </w:r>
      <w:r>
        <w:t xml:space="preserve">uri osa on muita kuin hälytysajoneuvoja. </w:t>
      </w:r>
      <w:r>
        <w:t>Autojen tarve voi lisääntyä myös esimerkiksi erityistilanteissa tai yhteiskunnan häiriötilanteissa. Käytö</w:t>
      </w:r>
      <w:r>
        <w:t>s</w:t>
      </w:r>
      <w:r>
        <w:t>sä olevat autot voivat olla esimerkiksi vuokra- tai leasing -autoja. Tietyissä tilanteissa olisi järkevää, et</w:t>
      </w:r>
      <w:r>
        <w:t>tä näissä voisi käyttää sinistä varoitusvaloa viranomaisten tehtävien suorittamisen yhteydessä varoittamaan muita tienkäyttäjiä. Valaisinta saisi käyttää si</w:t>
      </w:r>
      <w:r>
        <w:t>l</w:t>
      </w:r>
      <w:r>
        <w:t>loin, kun ajoneuvon käytt</w:t>
      </w:r>
      <w:r>
        <w:t>ötehtävä sitä edellyttää. Sisäministeriö esittää harkittavaksi, että kysei</w:t>
      </w:r>
      <w:r>
        <w:t>n</w:t>
      </w:r>
      <w:r>
        <w:t>en koh</w:t>
      </w:r>
      <w:r>
        <w:t>ta</w:t>
      </w:r>
      <w:r>
        <w:t xml:space="preserve"> ilmaista</w:t>
      </w:r>
      <w:r>
        <w:t>isiin</w:t>
      </w:r>
      <w:r>
        <w:t xml:space="preserve"> esimerkiksi seuraavasti:</w:t>
      </w:r>
      <w:r>
        <w:t xml:space="preserve"> </w:t>
      </w:r>
      <w:r>
        <w:t xml:space="preserve">… </w:t>
      </w:r>
      <w:r>
        <w:t>"</w:t>
      </w:r>
      <w:r w:rsidRPr="004E1AA6">
        <w:rPr>
          <w:i/>
        </w:rPr>
        <w:t>Tällaista varoitusvalaisi</w:t>
      </w:r>
      <w:r w:rsidRPr="004E1AA6">
        <w:rPr>
          <w:i/>
        </w:rPr>
        <w:t>n</w:t>
      </w:r>
      <w:r w:rsidRPr="004E1AA6">
        <w:rPr>
          <w:i/>
        </w:rPr>
        <w:t>ta saa käyttää myös poliisin, Tullin tai Rajavartiolaitoksen käyttämässä ajoneuvossa, joka ei ole hälytysajoneuvo."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160 § Soveltamisala</w:t>
      </w:r>
    </w:p>
    <w:p w:rsidR="00BF14B0" w:rsidRDefault="00B00032" w:rsidP="00BF14B0">
      <w:pPr>
        <w:pStyle w:val="Leipteksti"/>
      </w:pPr>
      <w:r>
        <w:t>Pykälässä säädettäisiin liikennevirhemaksu</w:t>
      </w:r>
      <w:r>
        <w:t>n soveltamisalasta. Pykälän perusteluissa todetaan, että pykälän 7 momentin mukaan liikennevirhemaksusta vastuussa olevan selvittämiseksi voitaisiin tarvittaessa suorittaa poliisil</w:t>
      </w:r>
      <w:r>
        <w:t>ain (872/2011) 6 luvussa sääde</w:t>
      </w:r>
      <w:r>
        <w:t>t</w:t>
      </w:r>
      <w:r>
        <w:t>ty poliisitutkinta. Pykälästä kyseinen viitta</w:t>
      </w:r>
      <w:r>
        <w:t>us puuttuu.</w:t>
      </w:r>
      <w:r>
        <w:t xml:space="preserve"> Pykälään ehdotetaan lisättävä</w:t>
      </w:r>
      <w:r>
        <w:t>k</w:t>
      </w:r>
      <w:r>
        <w:t>si perusteluissa mainittu 7 momentti poliisitutkinnasta.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161 § Tienkäyttäjän yleiset rikkomukset</w:t>
      </w:r>
    </w:p>
    <w:p w:rsidR="00BF14B0" w:rsidRDefault="00B00032" w:rsidP="00BF14B0">
      <w:pPr>
        <w:pStyle w:val="Leipteksti"/>
      </w:pPr>
      <w:r>
        <w:t>Pykälän mukaan virhemaksu olisi 100 euroa, mutta p</w:t>
      </w:r>
      <w:r>
        <w:t>erusteluiden mukaan 170 euroa. Sisäministeriä tuo esille, että n</w:t>
      </w:r>
      <w:r>
        <w:t>ämä</w:t>
      </w:r>
      <w:r>
        <w:t xml:space="preserve"> kohdat tulisi tarkastaa jatkovalmistelussa.</w:t>
      </w:r>
    </w:p>
    <w:p w:rsidR="00BF14B0" w:rsidRDefault="00B00032" w:rsidP="00BF14B0">
      <w:pPr>
        <w:pStyle w:val="Leipteksti"/>
      </w:pPr>
      <w:r>
        <w:t>Pykälässä viitataan 9 §:ssä ilmaistuun velvollisuuteen noudattaa liikenteenvalvojan tai liikenteenohjaajan merkkejä. Tämä olisi siis liikenne</w:t>
      </w:r>
      <w:r>
        <w:t>virhemaksulla rangaistavaa. Es</w:t>
      </w:r>
      <w:r>
        <w:t>i</w:t>
      </w:r>
      <w:r>
        <w:t xml:space="preserve">tyksen 185 §:n 2 momentissa puolestaan </w:t>
      </w:r>
      <w:r>
        <w:t>todetaan, että ajoneuvo on liik</w:t>
      </w:r>
      <w:r>
        <w:t>enteenvalv</w:t>
      </w:r>
      <w:r>
        <w:t>o</w:t>
      </w:r>
      <w:r>
        <w:t>jan antamasta merkistä pysäytettävä. Tätä ei kuitenkaan esitetä liikennevirhemaksulla rangaistavaksi. Tämän vuoksi olisi perusteltua, e</w:t>
      </w:r>
      <w:r>
        <w:t>ttä myös 185 § huomioidaan 6 l</w:t>
      </w:r>
      <w:r>
        <w:t>u</w:t>
      </w:r>
      <w:r>
        <w:t>vussa. Tai selkeästi muuten tuodaan esille, että</w:t>
      </w:r>
      <w:r>
        <w:t xml:space="preserve"> 185 §:n 2 momentin rikkominen olisi lähtökohtaisesti liikenneturvallisuuden vaarantamista (RL 23:1).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165 § Muut moottorikäyttöisen ajoneuvon ja raitiovaunun kuljettajan liikennesääntö-rikkomukset</w:t>
      </w:r>
    </w:p>
    <w:p w:rsidR="00BF14B0" w:rsidRDefault="00B00032" w:rsidP="00BF14B0">
      <w:pPr>
        <w:pStyle w:val="Leipteksti"/>
      </w:pPr>
      <w:r>
        <w:t xml:space="preserve">Pykälän mukaan 100 euron virhemaksu voitaisiin määrätä </w:t>
      </w:r>
      <w:r>
        <w:t>liikennevalon osoittaman velvollisuud</w:t>
      </w:r>
      <w:r>
        <w:t>en noudattamatta jättämisestä. Sisäministeriö kiinnittää huomiota, että t</w:t>
      </w:r>
      <w:r>
        <w:t xml:space="preserve">ämä </w:t>
      </w:r>
      <w:r>
        <w:t>on euromääräisesti alhainen huo</w:t>
      </w:r>
      <w:r>
        <w:t>mioiden teon luonteen. Nykyisin Poliisihallitu</w:t>
      </w:r>
      <w:r>
        <w:t>k</w:t>
      </w:r>
      <w:r>
        <w:t>sen vahvistaman sakko-ohjeistuksen mukaan punaisen liikennevalon</w:t>
      </w:r>
      <w:r>
        <w:t xml:space="preserve"> noudattamatta jättämisestä määrätään tilanteesta riippuen normaalipäiväsakkoina pienimmillään 8 päiväsakkoa liikenneturvallisuuden vaarantamisesta (RL 23:1). Liikennevalon osoi</w:t>
      </w:r>
      <w:r>
        <w:t>t</w:t>
      </w:r>
      <w:r>
        <w:t>taman velvollisuuden noudattamisen osalta virhemaksun summaa tulisi</w:t>
      </w:r>
      <w:r>
        <w:t xml:space="preserve"> sisäminist</w:t>
      </w:r>
      <w:r>
        <w:t>er</w:t>
      </w:r>
      <w:r>
        <w:t>i</w:t>
      </w:r>
      <w:r>
        <w:t xml:space="preserve">ön näkemyksen mukaan </w:t>
      </w:r>
      <w:r>
        <w:t>korottaa ja perusteluissa arvioida, missä tilanteissa liikenn</w:t>
      </w:r>
      <w:r>
        <w:t>e</w:t>
      </w:r>
      <w:r>
        <w:t>valon noudattamatta jättäminen on liikenneturvallisuuden vaarantamista.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166 § Henkilökohtaisen turvalaitteen käyttöä koskevat rikkomukset</w:t>
      </w:r>
    </w:p>
    <w:p w:rsidR="00BF14B0" w:rsidRDefault="00B00032" w:rsidP="00BF14B0">
      <w:pPr>
        <w:pStyle w:val="Leipteksti"/>
      </w:pPr>
      <w:r>
        <w:t>Henkilökohtaisen turvalaitteen k</w:t>
      </w:r>
      <w:r>
        <w:t xml:space="preserve">äytön laiminlyönnistä seuraisi esityksen mukaan 70 euron liikennevirhemaksu. Onnettomuustutkinnan raporttien mukaan turvalaitteiden käyttämättä jättäminen on kuitenkin yleistä kuolemaan johtaneissa onnettomuuksissa. </w:t>
      </w:r>
      <w:r>
        <w:t>S</w:t>
      </w:r>
      <w:r>
        <w:t xml:space="preserve">isäministeriön näkemyksen mukaan </w:t>
      </w:r>
      <w:r>
        <w:t xml:space="preserve">voisi </w:t>
      </w:r>
      <w:r>
        <w:t>olla perusteltua, että virhemaksu o</w:t>
      </w:r>
      <w:r>
        <w:t>lisi t</w:t>
      </w:r>
      <w:r>
        <w:t>ä</w:t>
      </w:r>
      <w:r>
        <w:t>män vuoksi esitettyä suu</w:t>
      </w:r>
      <w:r>
        <w:t>rempi.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170 § Muut moottorikäyttöisen ajoneuvon ja raitiovaunun kuljettajan käyttöä koskevat rikkomukset</w:t>
      </w:r>
    </w:p>
    <w:p w:rsidR="00BF14B0" w:rsidRDefault="00B00032" w:rsidP="00BF14B0">
      <w:pPr>
        <w:pStyle w:val="Leipteksti"/>
      </w:pPr>
      <w:r>
        <w:lastRenderedPageBreak/>
        <w:t>Pykälän mukaan vain viestintälaitteen käyttämisestä</w:t>
      </w:r>
      <w:r>
        <w:t xml:space="preserve"> (98 § 2 momentti) seuraisi li</w:t>
      </w:r>
      <w:r>
        <w:t>i</w:t>
      </w:r>
      <w:r>
        <w:t>kenn</w:t>
      </w:r>
      <w:r>
        <w:t>evirhemaksu.</w:t>
      </w:r>
      <w:r>
        <w:t xml:space="preserve"> Sisäministeriö esittää harkittavaksi, että</w:t>
      </w:r>
      <w:r>
        <w:t xml:space="preserve"> myös 1 momentin huom</w:t>
      </w:r>
      <w:r>
        <w:t>i</w:t>
      </w:r>
      <w:r>
        <w:t>oimista tässä yhteydessä rikkomuksena, koska myös tästä tekomuodosta aiheutuu</w:t>
      </w:r>
      <w:r>
        <w:t xml:space="preserve"> vaaraa liikenneturvallisuu</w:t>
      </w:r>
      <w:r>
        <w:t>delle kuljettajan huomion kiinnittyessä pois ajamisesta.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172 § Liikennevirh</w:t>
      </w:r>
      <w:r w:rsidRPr="00AF627B">
        <w:rPr>
          <w:u w:val="single"/>
        </w:rPr>
        <w:t>emaksun tiedoksianto</w:t>
      </w:r>
    </w:p>
    <w:p w:rsidR="00BF14B0" w:rsidRDefault="00B00032" w:rsidP="00BF14B0">
      <w:pPr>
        <w:pStyle w:val="Leipteksti"/>
      </w:pPr>
      <w:r>
        <w:t>Pykälän mukaan päätös annetaan tiedoksi rikkomuk</w:t>
      </w:r>
      <w:r>
        <w:t>seen syyllistyneelle henkilöko</w:t>
      </w:r>
      <w:r>
        <w:t>h</w:t>
      </w:r>
      <w:r>
        <w:t>taisesti ja kirjallisesti. Sisäministeriön näkemyksen mukaan t</w:t>
      </w:r>
      <w:r>
        <w:t xml:space="preserve">iedoksi antaminen olisi perusteltua mahdollistaa myös tässä tapauksessa sähköisesti. Kaikki </w:t>
      </w:r>
      <w:r>
        <w:t>tienkäyttäjät e</w:t>
      </w:r>
      <w:r>
        <w:t>i</w:t>
      </w:r>
      <w:r>
        <w:t xml:space="preserve">vät </w:t>
      </w:r>
      <w:r>
        <w:t>välttämättä halua tulostetta mu</w:t>
      </w:r>
      <w:r>
        <w:t>kaansa, vaan virhemaksu tulisi voida lähettää myös</w:t>
      </w:r>
      <w:r>
        <w:t xml:space="preserve"> sähköistä sovellutuksia hyödyn</w:t>
      </w:r>
      <w:r>
        <w:t>täen. Tiedoksi antaminen pitäisi olla mahdollista uusilla joustavilla sähköisillä tavoilla, joita vielä ei ole käytössä. Pyk</w:t>
      </w:r>
      <w:r>
        <w:t>älän tulisi olla tä</w:t>
      </w:r>
      <w:r>
        <w:t>s</w:t>
      </w:r>
      <w:r>
        <w:t>sä suhteessa tekniikkaneutraali.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173 § Ajoneuvokohtainen liikennevirhemaksu</w:t>
      </w:r>
    </w:p>
    <w:p w:rsidR="00BF14B0" w:rsidRDefault="00B00032" w:rsidP="00BF14B0">
      <w:pPr>
        <w:pStyle w:val="Leipteksti"/>
      </w:pPr>
      <w:r>
        <w:t>Ajoneuvokohtainen liikennevirhemaksu voidaan määrätä myös silloin, kun ajoneuvoa ei muuten pysäytetä. Tämä on perusteltua ja mahdollistaa valvonnan kehittämisen</w:t>
      </w:r>
      <w:r>
        <w:t xml:space="preserve"> niiltä osin, kun automaattista liikennevalvontaa ei ol</w:t>
      </w:r>
      <w:r>
        <w:t>e käytettävissä ja rikkomus ku</w:t>
      </w:r>
      <w:r>
        <w:t>i</w:t>
      </w:r>
      <w:r>
        <w:t>tenkin muuten havaitaan poliisin toimesta.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174 § Ajoneuvokohtaisen liikennevirhemaksun tiedoksianto</w:t>
      </w:r>
    </w:p>
    <w:p w:rsidR="00BF14B0" w:rsidRDefault="00B00032" w:rsidP="00BF14B0">
      <w:pPr>
        <w:pStyle w:val="Leipteksti"/>
      </w:pPr>
      <w:r>
        <w:t>Pykälän 1 momentin mukaan ajoneuvokohtainen li</w:t>
      </w:r>
      <w:r>
        <w:t>ikennevirhemaksu lähetet</w:t>
      </w:r>
      <w:r>
        <w:t>ään po</w:t>
      </w:r>
      <w:r>
        <w:t>s</w:t>
      </w:r>
      <w:r>
        <w:t>titse tai annetaan sähköisenä tiedoksiantona. Tiedoksi antaminen pitäisi olla mahdo</w:t>
      </w:r>
      <w:r>
        <w:t>l</w:t>
      </w:r>
      <w:r>
        <w:t>lista uusilla joustavilla sähköisillä tavoilla, joita vielä ei ole käytössä. Pykälän tulisi</w:t>
      </w:r>
      <w:r>
        <w:t xml:space="preserve"> </w:t>
      </w:r>
      <w:r>
        <w:t>olla tässä suhteessa tekniikkaneutraali.</w:t>
      </w:r>
    </w:p>
    <w:p w:rsidR="00BF14B0" w:rsidRDefault="00B00032" w:rsidP="00BF14B0">
      <w:pPr>
        <w:pStyle w:val="Leipteksti"/>
      </w:pPr>
      <w:r>
        <w:t>Pykälän 1 momentin mukaan ajoneu</w:t>
      </w:r>
      <w:r>
        <w:t>vokohtainen li</w:t>
      </w:r>
      <w:r>
        <w:t>ikennevirhemaksu lähetetään ti</w:t>
      </w:r>
      <w:r>
        <w:t>e</w:t>
      </w:r>
      <w:r>
        <w:t>tyissä tilanteissa ajoneuvon käyttövastaavalle. Sisä</w:t>
      </w:r>
      <w:r>
        <w:t>ministeriön saamien tietojen m</w:t>
      </w:r>
      <w:r>
        <w:t>u</w:t>
      </w:r>
      <w:r>
        <w:t>kaan käyttövastaavia ei kuitenkaan ole merkitty kovinkaan laajasti oikeushenkilöiden ajoneuvojen osalta. Tulisikin varmistaa, et</w:t>
      </w:r>
      <w:r>
        <w:t>tä käyttöva</w:t>
      </w:r>
      <w:r>
        <w:t>staavat saataisiin merkittyä r</w:t>
      </w:r>
      <w:r>
        <w:t>e</w:t>
      </w:r>
      <w:r>
        <w:t>kisteriin.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175 § Vastuu ajoneuvokohtaisesta liikennevirhemaksusta</w:t>
      </w:r>
    </w:p>
    <w:p w:rsidR="00BF14B0" w:rsidRDefault="00B00032" w:rsidP="00BF14B0">
      <w:pPr>
        <w:pStyle w:val="Leipteksti"/>
      </w:pPr>
      <w:r>
        <w:t>Sisäministeriö pitää perusteltuna tapaa, jolla ajoneuvokohtaisen liikennevirhemaksun vastuu kohdentuisi.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184 § Tarkemmat säännökset</w:t>
      </w:r>
    </w:p>
    <w:p w:rsidR="00BF14B0" w:rsidRDefault="00B00032" w:rsidP="00BF14B0">
      <w:pPr>
        <w:pStyle w:val="Leipteksti"/>
      </w:pPr>
      <w:r>
        <w:t>Pykälän mukaan v</w:t>
      </w:r>
      <w:r>
        <w:t>altioneuvoston asetuksella</w:t>
      </w:r>
      <w:r>
        <w:t xml:space="preserve"> säädettäisiin tarkemmin muun m</w:t>
      </w:r>
      <w:r>
        <w:t>u</w:t>
      </w:r>
      <w:r>
        <w:t>a</w:t>
      </w:r>
      <w:r>
        <w:t>ssa tietyistä asiakirjoista. Pykälän perusteluiden mukaan tarkemmat säännökset antaisi Poliisihallitus. Näiltä osin asia tarvitsee</w:t>
      </w:r>
      <w:r>
        <w:t xml:space="preserve"> sisäministeriön näkemyksen mukaan</w:t>
      </w:r>
      <w:r>
        <w:t xml:space="preserve"> tarke</w:t>
      </w:r>
      <w:r>
        <w:t>n</w:t>
      </w:r>
      <w:r>
        <w:t>nusta.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185 § Valvonta</w:t>
      </w:r>
    </w:p>
    <w:p w:rsidR="00BF14B0" w:rsidRDefault="00B00032" w:rsidP="00BF14B0">
      <w:pPr>
        <w:pStyle w:val="Leipteksti"/>
      </w:pPr>
      <w:r>
        <w:t>Pykä</w:t>
      </w:r>
      <w:r>
        <w:t>län 3 momentin mukaan liikenteenvalvoja voisi kie</w:t>
      </w:r>
      <w:r>
        <w:t>ltää tai tarvittaessa estää ku</w:t>
      </w:r>
      <w:r>
        <w:t>l</w:t>
      </w:r>
      <w:r>
        <w:t>jettajaa kuljettamasta moottorikäyttöistä ajoneuvo</w:t>
      </w:r>
      <w:r>
        <w:t>a päihtyneenä. Tämä on kannate</w:t>
      </w:r>
      <w:r>
        <w:t>t</w:t>
      </w:r>
      <w:r>
        <w:t>tava</w:t>
      </w:r>
      <w:r>
        <w:t xml:space="preserve"> esitys. </w:t>
      </w:r>
    </w:p>
    <w:p w:rsidR="00BF14B0" w:rsidRDefault="00B00032" w:rsidP="00BF14B0">
      <w:pPr>
        <w:pStyle w:val="Leipteksti"/>
      </w:pPr>
      <w:r>
        <w:t>Pykälässä tulisi säätää niistä keinoista, joilla liikenteenvalvoja voisi estää aj</w:t>
      </w:r>
      <w:r>
        <w:t>oneuvon käytön kun kuljettaja ei noudata pykälän 2 tai 3 momentin nojalla antamia määräy</w:t>
      </w:r>
      <w:r>
        <w:t>k</w:t>
      </w:r>
      <w:r>
        <w:t>siä. Nyt tieliikennelain esityksestä näitä tapoja ei ole säädelty. Esimerkiksi ajoneuv</w:t>
      </w:r>
      <w:r>
        <w:t>o</w:t>
      </w:r>
      <w:r>
        <w:t>lain (1090/2002) 84 §:ssä säädetään, että poliisimies, tullimies tai rajavartiom</w:t>
      </w:r>
      <w:r>
        <w:t>ies voi estää ajoneuvon käyttämisen liikenteessä tai muualla ja määrätä ajoneuvon ajokie</w:t>
      </w:r>
      <w:r>
        <w:t>l</w:t>
      </w:r>
      <w:r>
        <w:t>toon ottamalla pois rekisterikilvet, siirtomerkit, rekisteröinnistä annetun todistuksen, koenumerotodistuksen, siirtoluvan taikka käyttämällä m</w:t>
      </w:r>
      <w:r>
        <w:t>uunlaisia tarvittavia ke</w:t>
      </w:r>
      <w:r>
        <w:t>inoja. Sisäministeriö ehdottaa harkittavaksi, että y</w:t>
      </w:r>
      <w:r>
        <w:t xml:space="preserve">hdeksi uudeksi keinoksi </w:t>
      </w:r>
      <w:r>
        <w:t>säädettäisiin</w:t>
      </w:r>
      <w:r>
        <w:t xml:space="preserve"> es</w:t>
      </w:r>
      <w:r>
        <w:t>i</w:t>
      </w:r>
      <w:r>
        <w:t>merkiksi ajoneuvon avainten poisottamisen.</w:t>
      </w:r>
    </w:p>
    <w:p w:rsidR="00BF14B0" w:rsidRPr="00AF627B" w:rsidRDefault="00B00032" w:rsidP="00BF14B0">
      <w:pPr>
        <w:pStyle w:val="Leipteksti"/>
        <w:rPr>
          <w:u w:val="single"/>
        </w:rPr>
      </w:pPr>
      <w:r w:rsidRPr="00AF627B">
        <w:rPr>
          <w:u w:val="single"/>
        </w:rPr>
        <w:t>186 § Poikkeussäännökset</w:t>
      </w:r>
    </w:p>
    <w:p w:rsidR="00BF14B0" w:rsidRDefault="00B00032" w:rsidP="00BF14B0">
      <w:pPr>
        <w:pStyle w:val="Leipteksti"/>
      </w:pPr>
      <w:r>
        <w:lastRenderedPageBreak/>
        <w:t>Sisäministeriö on ollut mukana valmistelemassa poikkeussäännöksiä yhdessä liike</w:t>
      </w:r>
      <w:r>
        <w:t>n</w:t>
      </w:r>
      <w:r>
        <w:t xml:space="preserve">ne- ja </w:t>
      </w:r>
      <w:r>
        <w:t>viestintäministeriön kanssa. Pykälän 1 momenttiin on koottua keskeisten turva</w:t>
      </w:r>
      <w:r>
        <w:t>l</w:t>
      </w:r>
      <w:r>
        <w:t>lisuustehtäviä tekevien toimijoiden toimivaltuudet poiketa yleisistä säännöksistä. S</w:t>
      </w:r>
      <w:r>
        <w:t>i</w:t>
      </w:r>
      <w:r>
        <w:t>säministeriö pitää hyvänä sitä, että nykyisellään varsin hajallaan olevat säännökset on koott</w:t>
      </w:r>
      <w:r>
        <w:t>u yhteen ja niitä on yksinkertaistettu. Turvallisuustoimijoiden tehtävät ovat monipuolisia ja onkin tärkeää, että säännöksistä voidaan poiketa tehtävän sitä edelly</w:t>
      </w:r>
      <w:r>
        <w:t>t</w:t>
      </w:r>
      <w:r>
        <w:t>täessä. Yksittäisten säännösten luetteleminen on mahdotonta, koska tehtävissä voi joutua teh</w:t>
      </w:r>
      <w:r>
        <w:t>tävän luonteesta riippuen poikkeamaan käytännössä mistä tahansa liike</w:t>
      </w:r>
      <w:r>
        <w:t>n</w:t>
      </w:r>
      <w:r>
        <w:t xml:space="preserve">nesäännöstä ja liikenteenohjauslaitteen osoittamasta. </w:t>
      </w:r>
    </w:p>
    <w:p w:rsidR="00BF14B0" w:rsidRDefault="00B00032" w:rsidP="00BF14B0">
      <w:pPr>
        <w:pStyle w:val="Leipteksti"/>
      </w:pPr>
      <w:r>
        <w:t>Tietyissä tehtävissä olevat voisivat siis poiketa liikennesäännöistä, liikenteen ohjaus-laitteella osoitetusta määräyksestä, rajoit</w:t>
      </w:r>
      <w:r>
        <w:t>uksesta tai kiellosta tai ajoneuvon käyttöä koskevista säännöksistä. Sisäministeriön näkemy</w:t>
      </w:r>
      <w:r>
        <w:t>ksen mukaan on kuitenkin epäse</w:t>
      </w:r>
      <w:r>
        <w:t>l</w:t>
      </w:r>
      <w:r>
        <w:t>vää, mitä määräyksillä, rajoituksella tai kiellolla tässä yhteydessä tarkoitetaan. Tämä ei vastaa liikenteenohjauslaitteiden luokittel</w:t>
      </w:r>
      <w:r>
        <w:t>ua. Esity</w:t>
      </w:r>
      <w:r>
        <w:t>ksen 70 §:n mukaan liikenteeno</w:t>
      </w:r>
      <w:r>
        <w:t>h</w:t>
      </w:r>
      <w:r>
        <w:t>jauslaitteet ovat liikennevalot, liikennemerkit ja tiemerkinnät. Liikennemerkkejä ovat puolestaan 75 §:n mukaan varoitusmerkit, etuajo-oikeus- ja väistämismerkit, opas-merkit ja lisäkilvet sekä muut liikennemerkit. K</w:t>
      </w:r>
      <w:r>
        <w:t>äytännössä pykälän ensimmäisessä momentissa määritellyissä tehtävissä on kuitenkin tarv</w:t>
      </w:r>
      <w:r>
        <w:t>e poiketa kaikista liikenteeno</w:t>
      </w:r>
      <w:r>
        <w:t>h</w:t>
      </w:r>
      <w:r>
        <w:t>jauslaitteiden osoittamista. Tämän vuoksi tätä kohtaa tul</w:t>
      </w:r>
      <w:r>
        <w:t>isi tarkentaa. Lisäksi olisi p</w:t>
      </w:r>
      <w:r>
        <w:t>e</w:t>
      </w:r>
      <w:r>
        <w:t>rusteltua, että ensimmäisessä momentissa mahdollis</w:t>
      </w:r>
      <w:r>
        <w:t>tettaisiin myös poikkeussää</w:t>
      </w:r>
      <w:r>
        <w:t>n</w:t>
      </w:r>
      <w:r>
        <w:t>nösten harjoitteleminen kouluttajien johdolla esimerkiks</w:t>
      </w:r>
      <w:r>
        <w:t>i eri toimijoiden perus- ja ja</w:t>
      </w:r>
      <w:r>
        <w:t>t</w:t>
      </w:r>
      <w:r>
        <w:t>k</w:t>
      </w:r>
      <w:r>
        <w:t>okoulutuksessa.</w:t>
      </w:r>
    </w:p>
    <w:p w:rsidR="00BF14B0" w:rsidRDefault="00B00032" w:rsidP="00BF14B0">
      <w:pPr>
        <w:pStyle w:val="Leipteksti"/>
      </w:pPr>
      <w:r>
        <w:t xml:space="preserve">2 momentissa säädettäisiin hälytysääni- ja valomerkkien antamisesta, jos se </w:t>
      </w:r>
      <w:r>
        <w:t>on mu</w:t>
      </w:r>
      <w:r>
        <w:t>i</w:t>
      </w:r>
      <w:r>
        <w:t>den tienkäyttäjien varoittamiseksi tarpeen</w:t>
      </w:r>
      <w:r>
        <w:t>. Tämän koh</w:t>
      </w:r>
      <w:r>
        <w:t>dan perusteluissa tulisi kuite</w:t>
      </w:r>
      <w:r>
        <w:t>n</w:t>
      </w:r>
      <w:r>
        <w:t>kin huomioida se, että kaikkia poikkeussäännöksiä kä</w:t>
      </w:r>
      <w:r>
        <w:t>yttäviä ajoneuvoja ei ole varu</w:t>
      </w:r>
      <w:r>
        <w:t>s</w:t>
      </w:r>
      <w:r>
        <w:t>t</w:t>
      </w:r>
      <w:r>
        <w:t>ettu hälytyslaitteilla. Tällöin näiden merkkien antaminen ei luonnollisesti ole</w:t>
      </w:r>
      <w:r>
        <w:t xml:space="preserve"> mahdo</w:t>
      </w:r>
      <w:r>
        <w:t>l</w:t>
      </w:r>
      <w:r>
        <w:t>lista. Luonnoksen sivun 296 kappaleessa (kap</w:t>
      </w:r>
      <w:r>
        <w:t xml:space="preserve">pale ennen 3 momentin perusteluita) viitataan esteettömän kulun antamiseen hälytysajoneuvolle. </w:t>
      </w:r>
      <w:r>
        <w:t>Sisäministeriö kiinnittää huomiota, että t</w:t>
      </w:r>
      <w:r>
        <w:t>ässä viitataan kuite</w:t>
      </w:r>
      <w:r>
        <w:t>nkin virheellisesti 10 §:ään.</w:t>
      </w:r>
    </w:p>
    <w:p w:rsidR="00BF14B0" w:rsidRDefault="00B00032" w:rsidP="00BF14B0">
      <w:pPr>
        <w:pStyle w:val="Leipteksti"/>
      </w:pPr>
      <w:r>
        <w:t>3 - 5 momentissa säädettäisiin muun muassa tienpit</w:t>
      </w:r>
      <w:r>
        <w:t>oon, kunnallisen py</w:t>
      </w:r>
      <w:r>
        <w:t>säköinninva</w:t>
      </w:r>
      <w:r>
        <w:t>l</w:t>
      </w:r>
      <w:r>
        <w:t>vontaan ja erikoiskuljetuksiin käytettävien ajon</w:t>
      </w:r>
      <w:r>
        <w:t>euvojen poikkeussäännöksistä. M</w:t>
      </w:r>
      <w:r>
        <w:t>o</w:t>
      </w:r>
      <w:r>
        <w:t>menteissa olevat viittaukset pykäliin ovat ilmeisesti virheellisiä. Ne tulisi tarkastaa ja korjata tarvittaessa. Myös perusteluissa viitataan virheellisiin pykäliin</w:t>
      </w:r>
      <w:r>
        <w:t>.</w:t>
      </w:r>
    </w:p>
    <w:p w:rsidR="00BF14B0" w:rsidRDefault="00B00032" w:rsidP="00BF14B0">
      <w:pPr>
        <w:pStyle w:val="Leipteksti"/>
      </w:pPr>
      <w:r>
        <w:t>7 momentissa esitetään, että poikkeussäännösten käyttäminen olisi mahdollista myös toisen valtion toimivaltaiselle virkamiehelle tai hälytysajoneuvon kuljettajalle. Parhai</w:t>
      </w:r>
      <w:r>
        <w:t>l</w:t>
      </w:r>
      <w:r>
        <w:t>laan eduskunnan käsittelyssä on hallituksen esitys eduskunnalle sisämini</w:t>
      </w:r>
      <w:r>
        <w:t>steriön ha</w:t>
      </w:r>
      <w:r>
        <w:t>l</w:t>
      </w:r>
      <w:r>
        <w:t>linnonalan kansainväl</w:t>
      </w:r>
      <w:r>
        <w:t>isen avun antamisesta ja vastaanottamista koskevan lainsä</w:t>
      </w:r>
      <w:r>
        <w:t>ä</w:t>
      </w:r>
      <w:r>
        <w:t>dännän muuttamiseksi (HE 107/2016 vp). Tässä esityksessä säädettäisiin muun m</w:t>
      </w:r>
      <w:r>
        <w:t>u</w:t>
      </w:r>
      <w:r>
        <w:t>assa kansainvälisen avun vastaanottamisesta.</w:t>
      </w:r>
    </w:p>
    <w:p w:rsidR="00BF14B0" w:rsidRDefault="00B00032" w:rsidP="00BF14B0">
      <w:pPr>
        <w:pStyle w:val="Leipteksti"/>
      </w:pPr>
      <w:r>
        <w:t>Sisäministeriön näkemyksen mukaan on tärkeää,</w:t>
      </w:r>
      <w:r>
        <w:t xml:space="preserve"> että ta</w:t>
      </w:r>
      <w:r>
        <w:t>rvittaessa Suomessa ka</w:t>
      </w:r>
      <w:r>
        <w:t>n</w:t>
      </w:r>
      <w:r>
        <w:t>sainvälistä yhteistyötä tekevien toimijoiden toimivaltuudet ovat riittävät tehtävien ede</w:t>
      </w:r>
      <w:r>
        <w:t>l</w:t>
      </w:r>
      <w:r>
        <w:t>lyt</w:t>
      </w:r>
      <w:r>
        <w:t>tämällä tavalla. Sisäministeriö</w:t>
      </w:r>
      <w:r>
        <w:t xml:space="preserve"> esittää</w:t>
      </w:r>
      <w:r>
        <w:t xml:space="preserve"> harkittavaksi</w:t>
      </w:r>
      <w:r>
        <w:t>, että 7 momentin perusteluita tarkennettaisiin. Sisäministeriön hallinnonalalla on usei</w:t>
      </w:r>
      <w:r>
        <w:t>ta kansainvälisiä ja EU-tason järjestelyitä, joita hyödyntäen poliisi-, pelastus- ja rajaturvallisuusviranomaiset voivat antaa ja vastaanottaa apua sisäistä turvallisuutta koskevien uhkien ja riskien torju</w:t>
      </w:r>
      <w:r>
        <w:t>n</w:t>
      </w:r>
      <w:r>
        <w:t>nassa ja hallinnassa. Esimerkkeinä EU-tason lainsä</w:t>
      </w:r>
      <w:r>
        <w:t>ädäntöön perustuvasta yhtei</w:t>
      </w:r>
      <w:r>
        <w:t>s</w:t>
      </w:r>
      <w:r>
        <w:t>työstä voidaan mainita unionin pelastuspalvelumekanismi (Euroopan parlamentin ja neuvoston päätös 1313/2013/EU), Euroopan rajaturvallisuusviraston (Frontex) koo</w:t>
      </w:r>
      <w:r>
        <w:t>r</w:t>
      </w:r>
      <w:r>
        <w:t xml:space="preserve">dinoima yhteistyö sekä niin sanottu Prüm- yhteistyö (Prüm -päätös; </w:t>
      </w:r>
      <w:r>
        <w:t>2008/615/YOS) ja Atlas-yhteistyö (Atlas-päätös; 2008/617/YOS), joilla pyritään tehostamaan lainvalvo</w:t>
      </w:r>
      <w:r>
        <w:t>n</w:t>
      </w:r>
      <w:r>
        <w:t>ta- ja poliisiviranomaisten yhteistyötä terrorismin ja rajat ylittävän rikollisuuden torj</w:t>
      </w:r>
      <w:r>
        <w:t>u</w:t>
      </w:r>
      <w:r>
        <w:t xml:space="preserve">miseksi. Ylläpitääkseen sisäistä turvallisuutta viranomaisten on </w:t>
      </w:r>
      <w:r>
        <w:t>kyettävä käyttämään täysimääräisesti olemassa olevia välineitä ja tekemään y</w:t>
      </w:r>
      <w:r>
        <w:t>hteistyötä kansallisesti ja va</w:t>
      </w:r>
      <w:r>
        <w:t>l</w:t>
      </w:r>
      <w:r>
        <w:t>tioiden välillä sekä EU:n ja kansainvälisten järjestöjen kanssa. Sisäisen turvallisuuden ylläpito on ensisijaisesti jokaisen valtion omalla vastuulla</w:t>
      </w:r>
      <w:r>
        <w:t>. Valtiot, EU ja kansainväliset järjestöt ovat luoneet erilaisia koordinaatio- ja yhteistyömekanismeja sisäisen turvall</w:t>
      </w:r>
      <w:r>
        <w:t>i</w:t>
      </w:r>
      <w:r>
        <w:t>suuden uhkien torjuntaan ja hallintaan. Ne perustuvat kahden- ja monenvälisiin sop</w:t>
      </w:r>
      <w:r>
        <w:t>i</w:t>
      </w:r>
      <w:r>
        <w:t>muksiin ja yhteistyörakenteisiin. Tarkoituksena on, e</w:t>
      </w:r>
      <w:r>
        <w:t>ttä valtiot voivat antaa apua toisi</w:t>
      </w:r>
      <w:r>
        <w:t>l</w:t>
      </w:r>
      <w:r>
        <w:t>le valtioille sekä EU:n ja kansainvälisten järjestöjen käyttöön esimerkiksi terrorismir</w:t>
      </w:r>
      <w:r>
        <w:t>i</w:t>
      </w:r>
      <w:r>
        <w:lastRenderedPageBreak/>
        <w:t>koksissa, luonnononnettomuuksissa, katastrofeissa ja muissa hätätilanteissa tai ni</w:t>
      </w:r>
      <w:r>
        <w:t>i</w:t>
      </w:r>
      <w:r>
        <w:t>den uhatessa. Lissabonin sopimuksessa jäsenvaltio</w:t>
      </w:r>
      <w:r>
        <w:t>iden yhteisvastuuta vahvistettiin sisällyttämällä Euroopan unionin toiminnasta tehtyyn sopimukseen niin sanottu y</w:t>
      </w:r>
      <w:r>
        <w:t>h</w:t>
      </w:r>
      <w:r>
        <w:t xml:space="preserve">teisvastuulauseke (SEUT 222 artikla) tällaisia tilanteita varten.  </w:t>
      </w:r>
    </w:p>
    <w:p w:rsidR="00BF14B0" w:rsidRDefault="00B00032" w:rsidP="00BF14B0">
      <w:pPr>
        <w:pStyle w:val="Leipteksti"/>
      </w:pPr>
      <w:r>
        <w:t>Sisäministeriö esittää, että 7 momenttia muutettaisiin</w:t>
      </w:r>
      <w:r>
        <w:t xml:space="preserve"> siten, että nyt mom</w:t>
      </w:r>
      <w:r>
        <w:t>entissa ma</w:t>
      </w:r>
      <w:r>
        <w:t>i</w:t>
      </w:r>
      <w:r>
        <w:t>nitun "tehtävän" lisäksi mainittaisiin kansainvälisen avun vastaanottaminen. Kohta voisi olla muotoiltuna esimerkiksi seuraavas</w:t>
      </w:r>
      <w:r>
        <w:t>ti:  …</w:t>
      </w:r>
      <w:r>
        <w:t xml:space="preserve">, jos hän suorittaa Suomen alueella tehtäviä </w:t>
      </w:r>
      <w:r w:rsidRPr="00457E47">
        <w:rPr>
          <w:i/>
        </w:rPr>
        <w:t>tai antaa kansainvälistä apua</w:t>
      </w:r>
      <w:r>
        <w:t>, joista on valtioiden välillä sovittu</w:t>
      </w:r>
      <w:r>
        <w:t xml:space="preserve"> tai erikseen säädetty.</w:t>
      </w:r>
    </w:p>
    <w:p w:rsidR="00BF14B0" w:rsidRDefault="00B00032" w:rsidP="00BF14B0">
      <w:pPr>
        <w:pStyle w:val="Leipteksti"/>
      </w:pPr>
      <w:r>
        <w:t>Lisäksi 7 pykälän perustelun ensimmäisessä kappale</w:t>
      </w:r>
      <w:r>
        <w:t>essa todetaan, että "samalla t</w:t>
      </w:r>
      <w:r>
        <w:t>a</w:t>
      </w:r>
      <w:r>
        <w:t>valla suomalaisella toimijalla on toimivalta t</w:t>
      </w:r>
      <w:r>
        <w:t>oimia toisessa valtiossa". Tämä voisi olla perusteltua poistaa, sillä e</w:t>
      </w:r>
      <w:r>
        <w:t>i ole tiedossa miten muissa maissa</w:t>
      </w:r>
      <w:r>
        <w:t xml:space="preserve"> asioista on säädelty.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 xml:space="preserve">188 § </w:t>
      </w:r>
    </w:p>
    <w:p w:rsidR="00BF14B0" w:rsidRDefault="00B00032" w:rsidP="00BF14B0">
      <w:pPr>
        <w:pStyle w:val="Leipteksti"/>
      </w:pPr>
      <w:r>
        <w:t>Pykälässä esitetyn lisäksi olisi syytä arvioida sitä, miten ajoneuvokohtaisten liikenne-virhemaksujen tiedoksi antaminen ulkomaille hoidetaan. Tämän tulisi olla mahdollista samalla tavalla kuin suomalaisen ajoneuvon kohdalla e</w:t>
      </w:r>
      <w:r>
        <w:t>simerkiksi postitiedoksiantona.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>189 § Tien tilapäinen sulkeminen</w:t>
      </w:r>
    </w:p>
    <w:p w:rsidR="00BF14B0" w:rsidRDefault="00B00032" w:rsidP="00BF14B0">
      <w:pPr>
        <w:pStyle w:val="Leipteksti"/>
      </w:pPr>
      <w:r>
        <w:t>Sisäministeriö pitää perusteltuna muutoksena sitä, että tien tilapäisestä sulkemisesta päättäisi jatkossa tienpitäjä. Tienpitäjällä on parhaat edellytykset arvioida ti</w:t>
      </w:r>
      <w:r>
        <w:t>ensulkem</w:t>
      </w:r>
      <w:r>
        <w:t>i</w:t>
      </w:r>
      <w:r>
        <w:t>sen vai</w:t>
      </w:r>
      <w:r>
        <w:t>kutuksia</w:t>
      </w:r>
      <w:r>
        <w:t xml:space="preserve"> liikenteeseen.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>192 § Voimaantulo</w:t>
      </w:r>
    </w:p>
    <w:p w:rsidR="00BF14B0" w:rsidRDefault="00B00032" w:rsidP="00BF14B0">
      <w:pPr>
        <w:pStyle w:val="Leipteksti"/>
      </w:pPr>
      <w:r>
        <w:t>Sisäministeriö kiinnittää liikenne- ja viestintäministeriön huomiota siihen, että varsi-naiset tieliikennesäännöt ja liikennevirhemaksua säätelevän osuuden on tultava voi-maan samanaikaisesti. Lain voimaantulossa tulee huo</w:t>
      </w:r>
      <w:r>
        <w:t>m</w:t>
      </w:r>
      <w:r>
        <w:t>ioida riittävä aika eri osapuo</w:t>
      </w:r>
      <w:r>
        <w:t>l</w:t>
      </w:r>
      <w:r>
        <w:t>ten tietojärjestelmien muuttamiselle. Lakimuutosten e</w:t>
      </w:r>
      <w:r>
        <w:t>dellyttämiä tietojärjestelmämu</w:t>
      </w:r>
      <w:r>
        <w:t>u</w:t>
      </w:r>
      <w:r>
        <w:t>toksia ei ole mahdollista aloittaa ennen tietoa lain lopullisesta sisällöstä. Samassa y</w:t>
      </w:r>
      <w:r>
        <w:t>h</w:t>
      </w:r>
      <w:r>
        <w:t xml:space="preserve">teydessä tulee arvioida myös sakkomenettelyn </w:t>
      </w:r>
      <w:r>
        <w:t>laajentamisen edellyttämät tietojärje</w:t>
      </w:r>
      <w:r>
        <w:t>s</w:t>
      </w:r>
      <w:r>
        <w:t>telmämuutokset.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>Liite 1</w:t>
      </w:r>
    </w:p>
    <w:p w:rsidR="00BF14B0" w:rsidRDefault="00B00032" w:rsidP="00BF14B0">
      <w:pPr>
        <w:pStyle w:val="Leipteksti"/>
      </w:pPr>
      <w:r>
        <w:t>Sisäministeriö pitää perusteltuna, että liikennevalvojan merkkejä yksinkertaistettaisiin.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>Liite 5 taulukko 1</w:t>
      </w:r>
    </w:p>
    <w:p w:rsidR="00BF14B0" w:rsidRDefault="00B00032" w:rsidP="00BF14B0">
      <w:pPr>
        <w:pStyle w:val="Leipteksti"/>
      </w:pPr>
      <w:r>
        <w:t xml:space="preserve">Poliisilla on käytössä muun muassa kuorma-autoksi rekisteröityjä raskaan liikenteen </w:t>
      </w:r>
      <w:r>
        <w:t>valvontaan tai muuhun käyttöön varusteltuja pol</w:t>
      </w:r>
      <w:r>
        <w:t>iisiajoneuvoja. Sisäministeriö</w:t>
      </w:r>
      <w:r>
        <w:t xml:space="preserve"> esittää, että kuorma-autoksi rekisteröity</w:t>
      </w:r>
      <w:r>
        <w:t>ä</w:t>
      </w:r>
      <w:r>
        <w:t xml:space="preserve"> hälytysajoneuvoa, jonka omamassa on yli 3,5 tonnia ja enintään 4,25 tonnia tulisi voida ajaa nopeusrajoitusten mukaan. Tämä helpottaisi</w:t>
      </w:r>
      <w:r>
        <w:t xml:space="preserve"> näiden hälytysajoneuvojen käyttämistä ja muutoksen ei voida arvioida heikentävän turvallisuutta ja näissä autoissa ei ole nopeudenrajoittimen asennus-pakkoa. Näissä autoissa on myös modernit turvalaitteet. Toisena, mutta operatiivisen toiminnan ka</w:t>
      </w:r>
      <w:r>
        <w:t>n</w:t>
      </w:r>
      <w:r>
        <w:t>nalta h</w:t>
      </w:r>
      <w:r>
        <w:t>uonompana vaihtoehtona on rinnastaa nämä hälytysajoneuvot vaihtoehtoisesti o kohdan mukaiseen matkailuautoon. Nopeusrajoitusmerkintää auton takaosaan ei t</w:t>
      </w:r>
      <w:r>
        <w:t>u</w:t>
      </w:r>
      <w:r>
        <w:t>lisi tällöin hälytysajoneuvoille säätää.</w:t>
      </w:r>
    </w:p>
    <w:p w:rsidR="00BF14B0" w:rsidRDefault="00B00032" w:rsidP="00BF14B0">
      <w:pPr>
        <w:pStyle w:val="Leipteksti"/>
      </w:pPr>
      <w:r>
        <w:t>Pakettiautojen ja enintään 3,5 tonnin painoisten matkailuaut</w:t>
      </w:r>
      <w:r>
        <w:t>ojen ajoneuvokohtaisten nopeusrajoitusten poistaminen on liikenteen sujuvuuden kannalta perusteltua ja t</w:t>
      </w:r>
      <w:r>
        <w:t>ä</w:t>
      </w:r>
      <w:r>
        <w:t>män ei arvioida heikentävän liikenneturvallisuutta oleellisella tavalla.</w:t>
      </w:r>
    </w:p>
    <w:p w:rsidR="00BF14B0" w:rsidRPr="004E45C0" w:rsidRDefault="00B00032" w:rsidP="00BF14B0">
      <w:pPr>
        <w:pStyle w:val="Leipteksti"/>
        <w:rPr>
          <w:u w:val="single"/>
        </w:rPr>
      </w:pPr>
      <w:r w:rsidRPr="004E45C0">
        <w:rPr>
          <w:u w:val="single"/>
        </w:rPr>
        <w:t>Liite 5 taulukko 2</w:t>
      </w:r>
    </w:p>
    <w:p w:rsidR="00BF14B0" w:rsidRDefault="00B00032" w:rsidP="00BF14B0">
      <w:pPr>
        <w:pStyle w:val="Leipteksti"/>
      </w:pPr>
      <w:r>
        <w:t xml:space="preserve">Moottorikäyttöisen ajoneuvon sekä hinattavan ajoneuvon tai </w:t>
      </w:r>
      <w:r>
        <w:t>hinattavien ajoneuvojen muodostaman ajoneuvoyhdistelmän suurin sallittu nopeus nousisi kohdan b mukaan 100 kilometriin tunnissa. Tätä voi pitää perusteltuna liikenteen sujuvuuden kannalta, mutta voi olla liikenneturvallisuuden kannalta ongel</w:t>
      </w:r>
      <w:r>
        <w:t>mallinen. Enint</w:t>
      </w:r>
      <w:r>
        <w:t>ään 750 kilogra</w:t>
      </w:r>
      <w:r>
        <w:t>m</w:t>
      </w:r>
      <w:r>
        <w:t>man painoiset perävaunut ovat jarruttomia, niissä ei ta</w:t>
      </w:r>
      <w:r>
        <w:t>rvitse käyttää jatkossakaan ta</w:t>
      </w:r>
      <w:r>
        <w:t>l</w:t>
      </w:r>
      <w:r>
        <w:t xml:space="preserve">virenkaita ja perävaunuja ei tarvitse katsastaa. Poliisin liikennevalvonnassa saatujen </w:t>
      </w:r>
      <w:r>
        <w:lastRenderedPageBreak/>
        <w:t>kokemusten mukaan näissä perävaunuissa kuljetetaa</w:t>
      </w:r>
      <w:r>
        <w:t>n myös riittämättö</w:t>
      </w:r>
      <w:r>
        <w:t>mästi kiinn</w:t>
      </w:r>
      <w:r>
        <w:t>i</w:t>
      </w:r>
      <w:r>
        <w:t>te</w:t>
      </w:r>
      <w:r>
        <w:t>t</w:t>
      </w:r>
      <w:r>
        <w:t>tyjä kuormia tai muuten virheellisesti sijoitettuja kuormia. Nämä seikat tulisi</w:t>
      </w:r>
      <w:r>
        <w:t xml:space="preserve"> sisäm</w:t>
      </w:r>
      <w:r>
        <w:t>i</w:t>
      </w:r>
      <w:r>
        <w:t>nisteriön näkemyksen mukaan</w:t>
      </w:r>
      <w:r>
        <w:t xml:space="preserve"> huomioida esityksen jatkovalmistelussa.</w:t>
      </w:r>
    </w:p>
    <w:p w:rsidR="00BF14B0" w:rsidRDefault="00B00032" w:rsidP="004E45C0">
      <w:pPr>
        <w:pStyle w:val="Leipteksti"/>
        <w:ind w:left="1304"/>
      </w:pPr>
      <w:r>
        <w:t>2. Laki ajoneuvolain muuttamisesta</w:t>
      </w:r>
    </w:p>
    <w:p w:rsidR="00BF14B0" w:rsidRDefault="00B00032" w:rsidP="00BF14B0">
      <w:pPr>
        <w:pStyle w:val="Leipteksti"/>
      </w:pPr>
      <w:r>
        <w:t xml:space="preserve">Sisäministeriö pitää perusteltuna koota ajoneuvojen </w:t>
      </w:r>
      <w:r>
        <w:t>luokittelua koskevat määrittelyt ajoneuvolakiin. Samoin on erittäin hyvä, että hälytysajoneuvo määriteltäisiin erikseen ajoneuvolain 21 b §:ssä.</w:t>
      </w:r>
    </w:p>
    <w:p w:rsidR="00BF14B0" w:rsidRDefault="00B00032" w:rsidP="004E45C0">
      <w:pPr>
        <w:pStyle w:val="Leipteksti"/>
        <w:ind w:left="1304"/>
      </w:pPr>
      <w:r>
        <w:t>3. Laki pysäköinninvalvonnasta annetun lain 21 §:n kumoamisesta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4E45C0">
      <w:pPr>
        <w:pStyle w:val="Leipteksti"/>
        <w:ind w:left="1304"/>
      </w:pPr>
      <w:r>
        <w:t>4. Laki sakon ja rikesakon m</w:t>
      </w:r>
      <w:r>
        <w:t>ääräämisestä annetun lain 3 luvun kumoamisesta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4E45C0">
      <w:pPr>
        <w:pStyle w:val="Leipteksti"/>
        <w:ind w:left="1304"/>
      </w:pPr>
      <w:r>
        <w:t>5. Laki rikesakkorikkomuksista annetun lain eräiden säännösten kumoamisesta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4E45C0">
      <w:pPr>
        <w:pStyle w:val="Leipteksti"/>
        <w:ind w:left="1304"/>
      </w:pPr>
      <w:r>
        <w:t>6. Laki ajokorttilain muuttamisesta</w:t>
      </w:r>
    </w:p>
    <w:p w:rsidR="00BF14B0" w:rsidRDefault="00B00032" w:rsidP="00BF14B0">
      <w:pPr>
        <w:pStyle w:val="Leipteksti"/>
      </w:pPr>
      <w:r>
        <w:t>Ajokorttilain 65 §:ää muutettaisiin tieliikennelain seuraam</w:t>
      </w:r>
      <w:r>
        <w:t>usjärjestelmän uudistamisen vuoksi. Sisäministeriön näkemyksen mukaan liikenneturvallisuuden kannalta on p</w:t>
      </w:r>
      <w:r>
        <w:t>e</w:t>
      </w:r>
      <w:r>
        <w:t>rusteltua, että liikennevirhemaksu edelle</w:t>
      </w:r>
      <w:r>
        <w:t>enkin vaikuttaisi toistuvina te</w:t>
      </w:r>
      <w:r>
        <w:t>koina kuljettajan ajo-oikeuteen. Kuitenkin pienistä nopeusrajoituksista ei en</w:t>
      </w:r>
      <w:r>
        <w:t>ää voisi määrä</w:t>
      </w:r>
      <w:r>
        <w:t>tä</w:t>
      </w:r>
      <w:r>
        <w:t xml:space="preserve"> ajokieltoa. Tämä on </w:t>
      </w:r>
      <w:r>
        <w:t>sisäministeriön</w:t>
      </w:r>
      <w:r>
        <w:t xml:space="preserve"> näkemy</w:t>
      </w:r>
      <w:r>
        <w:t>ksen mukaan perusteltua huomioi</w:t>
      </w:r>
      <w:r>
        <w:t xml:space="preserve">den automaattisen liikennevalvonnan kehittämisen. </w:t>
      </w:r>
      <w:r>
        <w:t>Sisäministeriön näkemyksen mu</w:t>
      </w:r>
      <w:r>
        <w:t>kaan ajokieltoon määräämiseen vaikuttavien nopeudenyl</w:t>
      </w:r>
      <w:r>
        <w:t>ityksen rajan pitäisi olla kuit</w:t>
      </w:r>
      <w:r>
        <w:t>enk</w:t>
      </w:r>
      <w:r>
        <w:t>in sama kaiki</w:t>
      </w:r>
      <w:r>
        <w:t>l</w:t>
      </w:r>
      <w:r>
        <w:t xml:space="preserve">la nopeusrajoitusalueilla. Tämä voisi </w:t>
      </w:r>
      <w:r>
        <w:t>olla esimerkiksi yli 10 kilomet</w:t>
      </w:r>
      <w:r>
        <w:t>riä tunnissa. S</w:t>
      </w:r>
      <w:r>
        <w:t>a</w:t>
      </w:r>
      <w:r>
        <w:t>man kohdan mukaan huomioitaisiin kuit</w:t>
      </w:r>
      <w:r>
        <w:t>enkin vain liikenteenohjauslait</w:t>
      </w:r>
      <w:r>
        <w:t>teella osoitetun nopeuden ylitykset. Tällöin ajoneuvokoh</w:t>
      </w:r>
      <w:r>
        <w:t>taiset ylitykset jäisivät sovel</w:t>
      </w:r>
      <w:r>
        <w:t>ta</w:t>
      </w:r>
      <w:r>
        <w:t>misalueen ulk</w:t>
      </w:r>
      <w:r>
        <w:t>o</w:t>
      </w:r>
      <w:r>
        <w:t>puolelle. Tätä voi pitää epäkohtana ja ajoneuvokohtaiset nopeuden ylitykset tulisi myös jatkossa huomioida ajokieltoon määräämisen yhteydessä. Kuitenkin tieliikenn</w:t>
      </w:r>
      <w:r>
        <w:t>e</w:t>
      </w:r>
      <w:r>
        <w:t>lain 164 §:ssä myös ajoneuvokohtaisesta rikkomuksesta olisi mahdollista määrät</w:t>
      </w:r>
      <w:r>
        <w:t>ä li</w:t>
      </w:r>
      <w:r>
        <w:t>i</w:t>
      </w:r>
      <w:r>
        <w:t xml:space="preserve">kennevirhemaksu. </w:t>
      </w:r>
    </w:p>
    <w:p w:rsidR="00BF14B0" w:rsidRDefault="00B00032" w:rsidP="00BF14B0">
      <w:pPr>
        <w:pStyle w:val="Leipteksti"/>
      </w:pPr>
      <w:r>
        <w:t>Esityksen mukaan vain tieliikennelain 98 § 2 momentissa tarkoitettu viestintävälineen kielletty käyttö huomioitaisiin ajokieltoon määräämisen yhteydessä. Tällöin 98 §:n 1 momentin teknisen laitteen käyttämistä ei kuitenka</w:t>
      </w:r>
      <w:r>
        <w:t>an huomioita</w:t>
      </w:r>
      <w:r>
        <w:t>isi ajokieltoon mä</w:t>
      </w:r>
      <w:r>
        <w:t>ä</w:t>
      </w:r>
      <w:r>
        <w:t>räämisen yhteydessä. Kysymyksessä on kuitenkin liikenneturvallisuuden kannalta käytännössä samankaltaisesta teosta eli huomion kiinnittymisestä muuhun kuin aj</w:t>
      </w:r>
      <w:r>
        <w:t>a</w:t>
      </w:r>
      <w:r>
        <w:t>miseen. Tämän vuoksi myös tieliikennelain 98 § 1 momentti tulisi tässä yhteyde</w:t>
      </w:r>
      <w:r>
        <w:t>ssä huomioida. Tämä edellyttää sitä, että tieliikennelai</w:t>
      </w:r>
      <w:r>
        <w:t>n 170 §:ssä myös 98 §:n 1 mome</w:t>
      </w:r>
      <w:r>
        <w:t>n</w:t>
      </w:r>
      <w:r>
        <w:t>tin mukainen teko määriteltäisiin rikkomukseksi.</w:t>
      </w:r>
    </w:p>
    <w:p w:rsidR="00BF14B0" w:rsidRDefault="00B00032" w:rsidP="00BF14B0">
      <w:pPr>
        <w:pStyle w:val="Leipteksti"/>
      </w:pPr>
      <w:r>
        <w:t>Nykyisin oikeuskäytännön ja Poliisihallituksen va</w:t>
      </w:r>
      <w:r>
        <w:t>hvistaman sakko-ohjeistuksen m</w:t>
      </w:r>
      <w:r>
        <w:t>u</w:t>
      </w:r>
      <w:r>
        <w:t xml:space="preserve">kaan hyvin monet teot kuten muun maussa </w:t>
      </w:r>
      <w:r>
        <w:t>poliisin, tullimiehen, rajavartiomiehen tai muun liikenteenohjaajan antaman pysäytysmerkin n</w:t>
      </w:r>
      <w:r>
        <w:t>oudattamatta jättäminen, estee</w:t>
      </w:r>
      <w:r>
        <w:t>t</w:t>
      </w:r>
      <w:r>
        <w:t xml:space="preserve">tömän kulun antamatta jättäminen hälytysajoneuvolle, esteettömän kulun antamatta jättäminen suojatiellä olevalle jalankulkijalle tai </w:t>
      </w:r>
      <w:r>
        <w:t>yle</w:t>
      </w:r>
      <w:r>
        <w:t>ensä risteysajoon sekä väistäm</w:t>
      </w:r>
      <w:r>
        <w:t>i</w:t>
      </w:r>
      <w:r>
        <w:t>seen liittyvät rikkomukset arvioidaan nykyisin liikenneturvallisuuden vaarantamisena (RL 23:1) ja normaalipäiväsakkojen määrä on teosta r</w:t>
      </w:r>
      <w:r>
        <w:t>iippuen 8 - 12 päiväsakkoa. Es</w:t>
      </w:r>
      <w:r>
        <w:t>i</w:t>
      </w:r>
      <w:r>
        <w:t>tyksen mukaan näistä seuraisi pääsääntöisesti liikenne</w:t>
      </w:r>
      <w:r>
        <w:t>virhemaksu ja näitä tekoja ei jatkossa enää huomioitaisi ajokieltoon määräämisen yhte</w:t>
      </w:r>
      <w:r>
        <w:t>ydessä. Sisäministeriön n</w:t>
      </w:r>
      <w:r>
        <w:t>ä</w:t>
      </w:r>
      <w:r>
        <w:t>kemyksen mukaan j</w:t>
      </w:r>
      <w:r>
        <w:t>atkovalmisteluissa tulisikin arvioida tarkemmin, mitä liikennevi</w:t>
      </w:r>
      <w:r>
        <w:t>r</w:t>
      </w:r>
      <w:r>
        <w:t>hemaksulla kä</w:t>
      </w:r>
      <w:r>
        <w:t>siteltävistä teoista tulisi kui</w:t>
      </w:r>
      <w:r>
        <w:t>tenkin ehdotettujen</w:t>
      </w:r>
      <w:r>
        <w:t xml:space="preserve"> lisäksi huomioida ajokie</w:t>
      </w:r>
      <w:r>
        <w:t>l</w:t>
      </w:r>
      <w:r>
        <w:t>tojen osalta.</w:t>
      </w:r>
    </w:p>
    <w:p w:rsidR="00BF14B0" w:rsidRDefault="00B00032" w:rsidP="002D3CCE">
      <w:pPr>
        <w:pStyle w:val="Leipteksti"/>
        <w:ind w:left="1304"/>
      </w:pPr>
      <w:r>
        <w:t>7. Laki rajatylittävän yhteistyön tehostamisesta erityisesti terrorismin ja rajatylittävän rikollisuuden torjumiseksi tehdyn neuvoston päätöksen eräiden säännösten täytäntöönpanosta (1207/2011)</w:t>
      </w:r>
    </w:p>
    <w:p w:rsidR="00BF14B0" w:rsidRDefault="00B00032" w:rsidP="00BF14B0">
      <w:pPr>
        <w:pStyle w:val="Leipteksti"/>
      </w:pPr>
      <w:r>
        <w:t>Tieliikennelaki</w:t>
      </w:r>
      <w:r>
        <w:t>a</w:t>
      </w:r>
      <w:r>
        <w:t xml:space="preserve"> koskevassa hallituksen esitysluonnok</w:t>
      </w:r>
      <w:r>
        <w:t>sessa esitetään kumottavaksi ra</w:t>
      </w:r>
      <w:r>
        <w:t>jatylittävän yhteistyön tehostamisesta erityisesti terrorismin ja rajatylittävän rikol</w:t>
      </w:r>
      <w:r>
        <w:t>l</w:t>
      </w:r>
      <w:r>
        <w:t>i</w:t>
      </w:r>
      <w:r>
        <w:lastRenderedPageBreak/>
        <w:t>suu</w:t>
      </w:r>
      <w:r>
        <w:t>den torjumiseksi tehdyn neuvoston päätöksen eräiden säännösten täytäntöö</w:t>
      </w:r>
      <w:r>
        <w:t>n</w:t>
      </w:r>
      <w:r>
        <w:t>panosta annetun lain 3 §</w:t>
      </w:r>
      <w:r>
        <w:t>. Parhaillaan eduskunnan käsittelyssä on hallituksen esitys eduskunnalle sisäministeriön hallinn</w:t>
      </w:r>
      <w:r>
        <w:t>onalan kansainväl</w:t>
      </w:r>
      <w:r>
        <w:t>isen avun antamisesta ja va</w:t>
      </w:r>
      <w:r>
        <w:t>s</w:t>
      </w:r>
      <w:r>
        <w:t>taanottamista koskevan lainsäädännän muuttamiseksi (HE 107/2016 vp). Tässä hall</w:t>
      </w:r>
      <w:r>
        <w:t>i</w:t>
      </w:r>
      <w:r>
        <w:t>tuksen esityksessä puolestaan esite</w:t>
      </w:r>
      <w:r>
        <w:t>tään kumottavaksi edellä mainitun täytäntöö</w:t>
      </w:r>
      <w:r>
        <w:t>n</w:t>
      </w:r>
      <w:r>
        <w:t>panolain 2 § ja 4 §. Jos laki vahvistetaan tältä osin esitetyn kaltaisena ja tieliikenn</w:t>
      </w:r>
      <w:r>
        <w:t>e</w:t>
      </w:r>
      <w:r>
        <w:t>lain käsittelyn yhteydessä kumottaisiin 3 §, niin lakiin jäisi voimaan vain 1 § (lain ta</w:t>
      </w:r>
      <w:r>
        <w:t>r</w:t>
      </w:r>
      <w:r>
        <w:t>koitus) ja 5 § (voimaantulo).</w:t>
      </w:r>
    </w:p>
    <w:p w:rsidR="00BF14B0" w:rsidRDefault="00B00032" w:rsidP="00BF14B0">
      <w:pPr>
        <w:pStyle w:val="Leipteksti"/>
      </w:pPr>
      <w:r>
        <w:t>Sisäm</w:t>
      </w:r>
      <w:r>
        <w:t>inisteriö esittää, että tieliikennelain hallituksen esityksessä huomioidaan hall</w:t>
      </w:r>
      <w:r>
        <w:t>i</w:t>
      </w:r>
      <w:r>
        <w:t>tuksen esityksen HE 107/2016 vp vuoksi tehtävät lakimuutokset. Tämän vuoksi lienee perusteltua, että tieliikennelakiin liittyvässä hallituksen esityksessä kumottaisiin koko ky</w:t>
      </w:r>
      <w:r>
        <w:t>seinen laki.</w:t>
      </w:r>
    </w:p>
    <w:p w:rsidR="00BF14B0" w:rsidRDefault="00B00032" w:rsidP="007D24A2">
      <w:pPr>
        <w:pStyle w:val="Leipteksti"/>
        <w:ind w:left="1304"/>
      </w:pPr>
      <w:r>
        <w:t>8. Laki tieliikenteen turvaamisesta liikennemerkein eräissä tapauksissa annetun lain kumoamisesta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7D24A2">
      <w:pPr>
        <w:pStyle w:val="Leipteksti"/>
        <w:ind w:left="1304"/>
      </w:pPr>
      <w:r>
        <w:t>9. Laki ajoneuvoverolain 35 §:n muuttamisesta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7D24A2">
      <w:pPr>
        <w:pStyle w:val="Leipteksti"/>
        <w:ind w:left="1304"/>
      </w:pPr>
      <w:r>
        <w:t>10. Laki ajoneuvojen siirtämisestä annetun lain muuttamisesta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7D24A2">
      <w:pPr>
        <w:pStyle w:val="Leipteksti"/>
        <w:ind w:left="1304"/>
      </w:pPr>
      <w:r>
        <w:t>11. Laki poliisin hallinnosta annetun lain 15 b §:n muuttamisesta</w:t>
      </w:r>
    </w:p>
    <w:p w:rsidR="00BF14B0" w:rsidRDefault="00B00032" w:rsidP="00BF14B0">
      <w:pPr>
        <w:pStyle w:val="Leipteksti"/>
      </w:pPr>
      <w:r>
        <w:t>Sisäministeriö pitää esitettyä muutosta lähinnä teknisenä muutoksena ja perusteltuna.</w:t>
      </w:r>
    </w:p>
    <w:p w:rsidR="00BF14B0" w:rsidRDefault="00B00032" w:rsidP="007D24A2">
      <w:pPr>
        <w:pStyle w:val="Leipteksti"/>
        <w:ind w:left="1304"/>
      </w:pPr>
      <w:r>
        <w:t>12. Laki ratalain muuttamisesta</w:t>
      </w:r>
    </w:p>
    <w:p w:rsidR="00BF14B0" w:rsidRDefault="00B00032" w:rsidP="00BF14B0">
      <w:pPr>
        <w:pStyle w:val="Leipteksti"/>
      </w:pPr>
      <w:r>
        <w:t>Ei kommentoitavaa.</w:t>
      </w:r>
    </w:p>
    <w:p w:rsidR="00BF14B0" w:rsidRDefault="00B00032" w:rsidP="007D24A2">
      <w:pPr>
        <w:pStyle w:val="Leipteksti"/>
        <w:ind w:left="1304"/>
      </w:pPr>
      <w:r>
        <w:t>13. Laki hallinto-oikeuslain 12 b</w:t>
      </w:r>
      <w:r>
        <w:t xml:space="preserve"> §:n muuttamisesta</w:t>
      </w:r>
    </w:p>
    <w:p w:rsidR="00BF14B0" w:rsidRDefault="00B00032" w:rsidP="00BF14B0">
      <w:pPr>
        <w:pStyle w:val="Leipteksti"/>
      </w:pPr>
      <w:r>
        <w:t>Ei kommentoitavaa.</w:t>
      </w:r>
    </w:p>
    <w:p w:rsidR="007D24A2" w:rsidRDefault="00B00032" w:rsidP="00BF14B0">
      <w:pPr>
        <w:pStyle w:val="Leipteksti"/>
      </w:pPr>
    </w:p>
    <w:p w:rsidR="007D24A2" w:rsidRDefault="00B00032" w:rsidP="00BF14B0">
      <w:pPr>
        <w:pStyle w:val="Leipteksti"/>
      </w:pPr>
      <w:r>
        <w:t>Lisätietoja sisäministeriön lausunnosta antaa poliisitoimen osalta poliisitarkastaja Jari Pajunen ja rajavartiotoimen osalta rajavartioylitarkastaja Pertti Normia.</w:t>
      </w:r>
    </w:p>
    <w:p w:rsidR="00C82C91" w:rsidRDefault="00B00032" w:rsidP="00BF14B0">
      <w:pPr>
        <w:pStyle w:val="Leipteksti"/>
      </w:pPr>
    </w:p>
    <w:p w:rsidR="007D24A2" w:rsidRDefault="00B00032" w:rsidP="007D24A2">
      <w:pPr>
        <w:pStyle w:val="Leipteksti"/>
      </w:pPr>
    </w:p>
    <w:p w:rsidR="007D24A2" w:rsidRDefault="00B00032" w:rsidP="007D24A2">
      <w:pPr>
        <w:pStyle w:val="Leipteksti"/>
      </w:pPr>
      <w:r>
        <w:t>Kansliapäällikkö</w:t>
      </w:r>
      <w:r>
        <w:tab/>
      </w:r>
      <w:r>
        <w:t>Päivi Nerg</w:t>
      </w:r>
    </w:p>
    <w:p w:rsidR="007D24A2" w:rsidRDefault="00B00032" w:rsidP="007D24A2">
      <w:pPr>
        <w:pStyle w:val="Leipteksti"/>
      </w:pPr>
    </w:p>
    <w:p w:rsidR="007D24A2" w:rsidRDefault="00B00032" w:rsidP="007D24A2">
      <w:pPr>
        <w:pStyle w:val="Leipteksti"/>
      </w:pPr>
      <w:r>
        <w:t>Suunnittelija</w:t>
      </w:r>
      <w:r>
        <w:tab/>
      </w:r>
      <w:r>
        <w:tab/>
        <w:t>Jenni H</w:t>
      </w:r>
      <w:r>
        <w:t>opia</w:t>
      </w:r>
    </w:p>
    <w:p w:rsidR="007D24A2" w:rsidRDefault="00B00032" w:rsidP="007D24A2">
      <w:pPr>
        <w:pStyle w:val="Leipteksti"/>
      </w:pPr>
    </w:p>
    <w:p w:rsidR="007D24A2" w:rsidRDefault="00B00032" w:rsidP="007D24A2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12.04.2017</w:t>
      </w:r>
      <w:proofErr w:type="gramEnd"/>
      <w:r>
        <w:t xml:space="preserve"> klo 09:39. Allekirjoituksen oikeellisuuden voi todentaa kirjaamosta.</w:t>
      </w:r>
      <w:r>
        <w:fldChar w:fldCharType="end"/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0823DA" w:rsidTr="007D24A2">
        <w:trPr>
          <w:trHeight w:val="556"/>
        </w:trPr>
        <w:tc>
          <w:tcPr>
            <w:tcW w:w="2608" w:type="dxa"/>
          </w:tcPr>
          <w:p w:rsidR="007D24A2" w:rsidRPr="00242B73" w:rsidRDefault="00B00032" w:rsidP="007D24A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7D24A2" w:rsidRPr="00242B73" w:rsidRDefault="00B00032" w:rsidP="007D24A2">
            <w:pPr>
              <w:rPr>
                <w:sz w:val="20"/>
                <w:szCs w:val="20"/>
              </w:rPr>
            </w:pPr>
          </w:p>
        </w:tc>
      </w:tr>
      <w:tr w:rsidR="000823DA" w:rsidTr="007D24A2">
        <w:trPr>
          <w:trHeight w:val="556"/>
        </w:trPr>
        <w:tc>
          <w:tcPr>
            <w:tcW w:w="2608" w:type="dxa"/>
          </w:tcPr>
          <w:p w:rsidR="007D24A2" w:rsidRPr="00242B73" w:rsidRDefault="00B00032" w:rsidP="007D24A2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7D24A2" w:rsidRPr="00242B73" w:rsidRDefault="00B00032" w:rsidP="007D24A2">
            <w:pPr>
              <w:rPr>
                <w:sz w:val="20"/>
                <w:szCs w:val="20"/>
              </w:rPr>
            </w:pPr>
          </w:p>
        </w:tc>
      </w:tr>
      <w:tr w:rsidR="000823DA" w:rsidTr="007D24A2">
        <w:trPr>
          <w:trHeight w:val="556"/>
        </w:trPr>
        <w:tc>
          <w:tcPr>
            <w:tcW w:w="2608" w:type="dxa"/>
          </w:tcPr>
          <w:p w:rsidR="007D24A2" w:rsidRPr="00242B73" w:rsidRDefault="00B00032" w:rsidP="007D24A2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7D24A2" w:rsidRDefault="00B00032" w:rsidP="007D24A2">
            <w:r>
              <w:t xml:space="preserve">Ministeri </w:t>
            </w:r>
            <w:r>
              <w:t>Risikko</w:t>
            </w:r>
          </w:p>
          <w:p w:rsidR="007D24A2" w:rsidRDefault="00B00032" w:rsidP="007D24A2">
            <w:r>
              <w:t>Erityisavustajat Hannonen ja Rönnholm</w:t>
            </w:r>
          </w:p>
          <w:p w:rsidR="007D24A2" w:rsidRDefault="00B00032" w:rsidP="007D24A2">
            <w:r>
              <w:t>Poliisitarkastaja Pajunen</w:t>
            </w:r>
          </w:p>
          <w:p w:rsidR="00C82C91" w:rsidRPr="00242B73" w:rsidRDefault="00B00032" w:rsidP="007D24A2">
            <w:pPr>
              <w:rPr>
                <w:sz w:val="20"/>
                <w:szCs w:val="20"/>
              </w:rPr>
            </w:pPr>
            <w:r>
              <w:t>Rajavartioylitarkastaja Normia</w:t>
            </w:r>
          </w:p>
        </w:tc>
      </w:tr>
    </w:tbl>
    <w:p w:rsidR="007D24A2" w:rsidRPr="00162585" w:rsidRDefault="00B00032" w:rsidP="007D24A2"/>
    <w:sectPr w:rsidR="007D24A2" w:rsidRPr="00162585" w:rsidSect="007D24A2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0032">
      <w:r>
        <w:separator/>
      </w:r>
    </w:p>
  </w:endnote>
  <w:endnote w:type="continuationSeparator" w:id="0">
    <w:p w:rsidR="00000000" w:rsidRDefault="00B0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0823DA" w:rsidTr="007D24A2">
      <w:tc>
        <w:tcPr>
          <w:tcW w:w="2586" w:type="dxa"/>
          <w:tcBorders>
            <w:bottom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600502" w:rsidRDefault="00B00032" w:rsidP="007D24A2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600502" w:rsidRDefault="00B00032" w:rsidP="007D24A2">
          <w:pPr>
            <w:pStyle w:val="Alatunniste"/>
          </w:pPr>
        </w:p>
      </w:tc>
    </w:tr>
    <w:tr w:rsidR="000823DA" w:rsidTr="007D24A2">
      <w:tc>
        <w:tcPr>
          <w:tcW w:w="2586" w:type="dxa"/>
          <w:tcBorders>
            <w:top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600502" w:rsidRPr="00EF222F" w:rsidRDefault="00B00032" w:rsidP="007D24A2">
          <w:pPr>
            <w:pStyle w:val="Alatunniste"/>
          </w:pPr>
        </w:p>
      </w:tc>
    </w:tr>
    <w:tr w:rsidR="000823DA" w:rsidTr="007D24A2">
      <w:tc>
        <w:tcPr>
          <w:tcW w:w="258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</w:tcPr>
        <w:p w:rsidR="00600502" w:rsidRPr="00EF222F" w:rsidRDefault="00B00032" w:rsidP="007D24A2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600502" w:rsidRPr="00EF222F" w:rsidRDefault="00B00032" w:rsidP="007D24A2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600502" w:rsidRPr="00EF222F" w:rsidRDefault="00B00032" w:rsidP="007D24A2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600502" w:rsidRDefault="00B00032" w:rsidP="007D24A2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0823DA" w:rsidTr="007D24A2">
      <w:tc>
        <w:tcPr>
          <w:tcW w:w="258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</w:tcPr>
        <w:p w:rsidR="00600502" w:rsidRPr="00EF222F" w:rsidRDefault="00B00032" w:rsidP="007D24A2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600502" w:rsidRPr="00EF222F" w:rsidRDefault="00B00032" w:rsidP="007D24A2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600502" w:rsidRPr="00EF222F" w:rsidRDefault="00B00032" w:rsidP="007D24A2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600502" w:rsidRDefault="00B00032" w:rsidP="007D24A2">
          <w:pPr>
            <w:pStyle w:val="Alatunniste"/>
          </w:pPr>
          <w:r>
            <w:t>kirjaamo@intermin.fi</w:t>
          </w:r>
        </w:p>
      </w:tc>
    </w:tr>
    <w:tr w:rsidR="000823DA" w:rsidTr="007D24A2">
      <w:tc>
        <w:tcPr>
          <w:tcW w:w="258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</w:tcPr>
        <w:p w:rsidR="00600502" w:rsidRPr="00EF222F" w:rsidRDefault="00B00032" w:rsidP="007D24A2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600502" w:rsidRPr="00EF222F" w:rsidRDefault="00B00032" w:rsidP="007D24A2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600502" w:rsidRPr="00EF222F" w:rsidRDefault="00B00032" w:rsidP="007D24A2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600502" w:rsidRDefault="00B00032" w:rsidP="007D24A2">
          <w:pPr>
            <w:pStyle w:val="Alatunniste"/>
          </w:pPr>
          <w:r>
            <w:t>www.intermin.fi</w:t>
          </w:r>
        </w:p>
      </w:tc>
    </w:tr>
    <w:tr w:rsidR="000823DA" w:rsidTr="007D24A2">
      <w:tc>
        <w:tcPr>
          <w:tcW w:w="258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</w:tcPr>
        <w:p w:rsidR="00600502" w:rsidRPr="00EF222F" w:rsidRDefault="00B00032" w:rsidP="007D24A2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43" w:type="dxa"/>
        </w:tcPr>
        <w:p w:rsidR="00600502" w:rsidRPr="00EF222F" w:rsidRDefault="00B00032" w:rsidP="007D24A2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600502" w:rsidRDefault="00B00032" w:rsidP="007D24A2">
          <w:pPr>
            <w:pStyle w:val="Alatunniste"/>
          </w:pPr>
        </w:p>
      </w:tc>
    </w:tr>
    <w:tr w:rsidR="000823DA" w:rsidTr="007D24A2">
      <w:tc>
        <w:tcPr>
          <w:tcW w:w="258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09" w:type="dxa"/>
        </w:tcPr>
        <w:p w:rsidR="00600502" w:rsidRDefault="00B00032" w:rsidP="007D24A2">
          <w:pPr>
            <w:pStyle w:val="Alatunniste"/>
          </w:pPr>
        </w:p>
      </w:tc>
      <w:tc>
        <w:tcPr>
          <w:tcW w:w="2126" w:type="dxa"/>
        </w:tcPr>
        <w:p w:rsidR="00600502" w:rsidRPr="00EF222F" w:rsidRDefault="00B00032" w:rsidP="007D24A2">
          <w:pPr>
            <w:pStyle w:val="Alatunniste"/>
          </w:pPr>
        </w:p>
      </w:tc>
      <w:tc>
        <w:tcPr>
          <w:tcW w:w="1843" w:type="dxa"/>
        </w:tcPr>
        <w:p w:rsidR="00600502" w:rsidRDefault="00B00032" w:rsidP="007D24A2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600502" w:rsidRDefault="00B00032" w:rsidP="007D24A2">
          <w:pPr>
            <w:pStyle w:val="Alatunniste"/>
          </w:pPr>
        </w:p>
      </w:tc>
    </w:tr>
  </w:tbl>
  <w:p w:rsidR="00600502" w:rsidRDefault="00B00032" w:rsidP="007D24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0032">
      <w:r>
        <w:separator/>
      </w:r>
    </w:p>
  </w:footnote>
  <w:footnote w:type="continuationSeparator" w:id="0">
    <w:p w:rsidR="00000000" w:rsidRDefault="00B0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0823DA" w:rsidTr="007D24A2">
      <w:tc>
        <w:tcPr>
          <w:tcW w:w="5222" w:type="dxa"/>
        </w:tcPr>
        <w:p w:rsidR="00600502" w:rsidRPr="00770045" w:rsidRDefault="00B00032" w:rsidP="007D24A2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600502" w:rsidRPr="00770045" w:rsidRDefault="00B00032" w:rsidP="007D24A2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600502" w:rsidRDefault="00B00032" w:rsidP="007D24A2">
          <w:pPr>
            <w:pStyle w:val="Yltunniste"/>
          </w:pPr>
        </w:p>
      </w:tc>
      <w:tc>
        <w:tcPr>
          <w:tcW w:w="1054" w:type="dxa"/>
        </w:tcPr>
        <w:p w:rsidR="00600502" w:rsidRDefault="00B00032" w:rsidP="007D24A2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t>)</w:t>
          </w:r>
        </w:p>
      </w:tc>
    </w:tr>
    <w:tr w:rsidR="000823DA" w:rsidTr="007D24A2">
      <w:trPr>
        <w:trHeight w:val="272"/>
      </w:trPr>
      <w:tc>
        <w:tcPr>
          <w:tcW w:w="5222" w:type="dxa"/>
        </w:tcPr>
        <w:p w:rsidR="00600502" w:rsidRPr="002A6CD5" w:rsidRDefault="00B00032" w:rsidP="007D24A2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600502" w:rsidRDefault="00B00032" w:rsidP="007D24A2">
          <w:pPr>
            <w:pStyle w:val="Yltunniste"/>
          </w:pPr>
        </w:p>
      </w:tc>
      <w:tc>
        <w:tcPr>
          <w:tcW w:w="2517" w:type="dxa"/>
          <w:gridSpan w:val="2"/>
        </w:tcPr>
        <w:p w:rsidR="00600502" w:rsidRDefault="00B00032" w:rsidP="007D24A2">
          <w:pPr>
            <w:pStyle w:val="Yltunniste"/>
          </w:pPr>
        </w:p>
      </w:tc>
    </w:tr>
    <w:tr w:rsidR="000823DA" w:rsidTr="007D24A2">
      <w:trPr>
        <w:trHeight w:val="272"/>
      </w:trPr>
      <w:tc>
        <w:tcPr>
          <w:tcW w:w="5222" w:type="dxa"/>
        </w:tcPr>
        <w:p w:rsidR="00600502" w:rsidRDefault="00B00032" w:rsidP="007D24A2">
          <w:pPr>
            <w:pStyle w:val="Yltunniste"/>
          </w:pPr>
        </w:p>
      </w:tc>
      <w:tc>
        <w:tcPr>
          <w:tcW w:w="2608" w:type="dxa"/>
        </w:tcPr>
        <w:p w:rsidR="00600502" w:rsidRDefault="00B00032" w:rsidP="007D24A2">
          <w:pPr>
            <w:pStyle w:val="Yltunniste"/>
          </w:pPr>
        </w:p>
      </w:tc>
      <w:tc>
        <w:tcPr>
          <w:tcW w:w="2517" w:type="dxa"/>
          <w:gridSpan w:val="2"/>
        </w:tcPr>
        <w:p w:rsidR="00600502" w:rsidRDefault="00B00032" w:rsidP="007D24A2">
          <w:pPr>
            <w:pStyle w:val="Yltunniste"/>
          </w:pPr>
        </w:p>
      </w:tc>
    </w:tr>
    <w:tr w:rsidR="000823DA" w:rsidTr="007D24A2">
      <w:trPr>
        <w:trHeight w:val="272"/>
      </w:trPr>
      <w:tc>
        <w:tcPr>
          <w:tcW w:w="5222" w:type="dxa"/>
        </w:tcPr>
        <w:p w:rsidR="00600502" w:rsidRDefault="00B00032" w:rsidP="007D24A2">
          <w:pPr>
            <w:pStyle w:val="Yltunniste"/>
          </w:pPr>
        </w:p>
      </w:tc>
      <w:tc>
        <w:tcPr>
          <w:tcW w:w="2608" w:type="dxa"/>
        </w:tcPr>
        <w:p w:rsidR="00600502" w:rsidRDefault="00B00032" w:rsidP="007D24A2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12.04.2017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600502" w:rsidRDefault="00B00032" w:rsidP="007D24A2">
          <w:pPr>
            <w:pStyle w:val="Yltunniste"/>
          </w:pPr>
        </w:p>
      </w:tc>
    </w:tr>
  </w:tbl>
  <w:p w:rsidR="00600502" w:rsidRDefault="00B0003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0823DA" w:rsidTr="007D24A2">
      <w:tc>
        <w:tcPr>
          <w:tcW w:w="5823" w:type="dxa"/>
          <w:vMerge w:val="restart"/>
          <w:tcMar>
            <w:left w:w="0" w:type="dxa"/>
          </w:tcMar>
        </w:tcPr>
        <w:p w:rsidR="00600502" w:rsidRPr="00F063F8" w:rsidRDefault="00B00032" w:rsidP="007D24A2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600502" w:rsidRPr="00770045" w:rsidRDefault="00B00032" w:rsidP="007D24A2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600502" w:rsidRDefault="00B00032" w:rsidP="007D24A2">
          <w:pPr>
            <w:pStyle w:val="Yltunniste"/>
            <w:jc w:val="center"/>
          </w:pPr>
        </w:p>
      </w:tc>
    </w:tr>
    <w:tr w:rsidR="000823DA" w:rsidTr="007D24A2">
      <w:tc>
        <w:tcPr>
          <w:tcW w:w="5823" w:type="dxa"/>
          <w:vMerge/>
          <w:tcMar>
            <w:left w:w="0" w:type="dxa"/>
          </w:tcMar>
        </w:tcPr>
        <w:p w:rsidR="00600502" w:rsidRPr="009779D7" w:rsidRDefault="00B00032" w:rsidP="007D24A2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600502" w:rsidRPr="00770045" w:rsidRDefault="00B00032" w:rsidP="007D24A2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SM17173419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600502" w:rsidRDefault="00B00032" w:rsidP="007D24A2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0823DA" w:rsidTr="007D24A2">
      <w:tc>
        <w:tcPr>
          <w:tcW w:w="5823" w:type="dxa"/>
          <w:vMerge/>
          <w:tcMar>
            <w:left w:w="0" w:type="dxa"/>
          </w:tcMar>
        </w:tcPr>
        <w:p w:rsidR="00600502" w:rsidRPr="002A6CD5" w:rsidRDefault="00B00032" w:rsidP="007D24A2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600502" w:rsidRDefault="00B00032" w:rsidP="007D24A2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0823DA" w:rsidTr="007D24A2">
      <w:tc>
        <w:tcPr>
          <w:tcW w:w="5823" w:type="dxa"/>
          <w:vMerge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600502" w:rsidRDefault="00B00032" w:rsidP="007D24A2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SMDno-2017-281</w:t>
          </w:r>
          <w:r>
            <w:fldChar w:fldCharType="end"/>
          </w:r>
        </w:p>
      </w:tc>
    </w:tr>
    <w:tr w:rsidR="000823DA" w:rsidTr="007D24A2">
      <w:tc>
        <w:tcPr>
          <w:tcW w:w="5823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600502" w:rsidRDefault="00B00032" w:rsidP="007D24A2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12.04.2017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600502" w:rsidRDefault="00B00032" w:rsidP="007D24A2">
          <w:pPr>
            <w:pStyle w:val="Yltunniste"/>
          </w:pPr>
        </w:p>
      </w:tc>
    </w:tr>
  </w:tbl>
  <w:p w:rsidR="00600502" w:rsidRDefault="00B0003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A"/>
    <w:rsid w:val="000823DA"/>
    <w:rsid w:val="00B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1C11-8448-40D6-AA55-1C186FB3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4478</Words>
  <Characters>36280</Characters>
  <Application>Microsoft Office Word</Application>
  <DocSecurity>4</DocSecurity>
  <Lines>302</Lines>
  <Paragraphs>81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40677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 Sonja</cp:lastModifiedBy>
  <cp:revision>2</cp:revision>
  <dcterms:created xsi:type="dcterms:W3CDTF">2017-04-12T10:24:00Z</dcterms:created>
  <dcterms:modified xsi:type="dcterms:W3CDTF">2017-04-12T10:24:00Z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12.04.2017 klo 09:39.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SMDno-2017-281</vt:lpwstr>
  </property>
  <property fmtid="{D5CDD505-2E9C-101B-9397-08002B2CF9AE}" pid="6" name="sm_id">
    <vt:lpwstr>SM17173419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10.04.2017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12.04.2017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